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Red Mountain Capital Partners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Attn: Willem Mesdag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10100 Santa Monica Boulevard, Suite 925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(310) 432-0200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12, 2013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2 OF 10 PAGES</w:t>
      </w:r>
    </w:p>
    <w:p>
      <w:pPr>
        <w:spacing w:after="0" w:line="167" w:lineRule="exact"/>
        <w:rPr>
          <w:sz w:val="20"/>
          <w:szCs w:val="20"/>
          <w:color w:val="auto"/>
        </w:rPr>
      </w:pPr>
    </w:p>
    <w:p>
      <w:pPr>
        <w:ind w:left="820" w:hanging="565"/>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Red Mountain Capital Partners LLC</w:t>
            </w:r>
          </w:p>
        </w:tc>
        <w:tc>
          <w:tcPr>
            <w:tcW w:w="1840" w:type="dxa"/>
            <w:vAlign w:val="bottom"/>
          </w:tcPr>
          <w:p>
            <w:pPr>
              <w:jc w:val="right"/>
              <w:spacing w:after="0"/>
              <w:rPr>
                <w:sz w:val="20"/>
                <w:szCs w:val="20"/>
                <w:color w:val="auto"/>
              </w:rPr>
            </w:pPr>
            <w:r>
              <w:rPr>
                <w:rFonts w:ascii="Arial" w:cs="Arial" w:eastAsia="Arial" w:hAnsi="Arial"/>
                <w:sz w:val="22"/>
                <w:szCs w:val="22"/>
                <w:color w:val="auto"/>
              </w:rPr>
              <w:t>73-1726370</w:t>
            </w:r>
          </w:p>
        </w:tc>
      </w:tr>
    </w:tbl>
    <w:p>
      <w:pPr>
        <w:ind w:left="820" w:hanging="565"/>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820" w:hanging="565"/>
        <w:spacing w:after="0" w:line="207" w:lineRule="exact"/>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8" w:lineRule="exact"/>
        <w:rPr>
          <w:sz w:val="20"/>
          <w:szCs w:val="20"/>
          <w:color w:val="auto"/>
        </w:rPr>
      </w:pPr>
    </w:p>
    <w:p>
      <w:pPr>
        <w:ind w:left="820" w:hanging="565"/>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p>
      <w:pPr>
        <w:ind w:left="1680"/>
        <w:spacing w:after="0"/>
        <w:tabs>
          <w:tab w:leader="none" w:pos="1900" w:val="left"/>
        </w:tabs>
        <w:rPr>
          <w:sz w:val="20"/>
          <w:szCs w:val="20"/>
          <w:color w:val="auto"/>
        </w:rPr>
      </w:pPr>
      <w:r>
        <w:rPr>
          <w:rFonts w:ascii="Arial" w:cs="Arial" w:eastAsia="Arial" w:hAnsi="Arial"/>
          <w:sz w:val="18"/>
          <w:szCs w:val="18"/>
          <w:b w:val="1"/>
          <w:bCs w:val="1"/>
          <w:color w:val="auto"/>
        </w:rPr>
        <w:t>7</w:t>
        <w:tab/>
        <w:t>SOLE VOTING POWER</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4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960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OWNED BY</w:t>
            </w:r>
          </w:p>
        </w:tc>
        <w:tc>
          <w:tcPr>
            <w:tcW w:w="280" w:type="dxa"/>
            <w:vAlign w:val="bottom"/>
          </w:tcPr>
          <w:p>
            <w:pPr>
              <w:spacing w:after="0"/>
              <w:rPr>
                <w:sz w:val="18"/>
                <w:szCs w:val="18"/>
                <w:color w:val="auto"/>
              </w:rPr>
            </w:pPr>
          </w:p>
        </w:tc>
        <w:tc>
          <w:tcPr>
            <w:tcW w:w="72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12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88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3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6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140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rPr>
              <w:t>REPORTING</w:t>
            </w:r>
          </w:p>
        </w:tc>
        <w:tc>
          <w:tcPr>
            <w:tcW w:w="280" w:type="dxa"/>
            <w:vAlign w:val="bottom"/>
            <w:vMerge w:val="continue"/>
          </w:tcPr>
          <w:p>
            <w:pPr>
              <w:spacing w:after="0"/>
              <w:rPr>
                <w:sz w:val="13"/>
                <w:szCs w:val="13"/>
                <w:color w:val="auto"/>
              </w:rPr>
            </w:pPr>
          </w:p>
        </w:tc>
        <w:tc>
          <w:tcPr>
            <w:tcW w:w="9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18"/>
                <w:szCs w:val="18"/>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207"/>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WITH</w:t>
            </w:r>
          </w:p>
        </w:tc>
        <w:tc>
          <w:tcPr>
            <w:tcW w:w="2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7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w:t>
            </w:r>
          </w:p>
        </w:tc>
        <w:tc>
          <w:tcPr>
            <w:tcW w:w="96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78"/>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bl>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tabs>
          <w:tab w:leader="none" w:pos="2580" w:val="left"/>
        </w:tabs>
        <w:rPr>
          <w:sz w:val="20"/>
          <w:szCs w:val="20"/>
          <w:color w:val="auto"/>
        </w:rPr>
      </w:pPr>
      <w:r>
        <w:rPr>
          <w:rFonts w:ascii="Arial" w:cs="Arial" w:eastAsia="Arial" w:hAnsi="Arial"/>
          <w:sz w:val="22"/>
          <w:szCs w:val="22"/>
          <w:color w:val="auto"/>
        </w:rPr>
        <w:t>4,838,054 shares</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820" w:hanging="655"/>
        <w:spacing w:after="0" w:line="207" w:lineRule="exact"/>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820" w:hanging="655"/>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820"/>
        <w:spacing w:after="0"/>
        <w:tabs>
          <w:tab w:leader="none" w:pos="15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820" w:hanging="655"/>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4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22"/>
          <w:szCs w:val="22"/>
          <w:color w:val="auto"/>
        </w:rPr>
        <w:t>OO – Limited Liability Company</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3 OF 10 PAGES</w:t>
      </w:r>
    </w:p>
    <w:p>
      <w:pPr>
        <w:spacing w:after="0" w:line="167" w:lineRule="exact"/>
        <w:rPr>
          <w:sz w:val="20"/>
          <w:szCs w:val="20"/>
          <w:color w:val="auto"/>
        </w:rPr>
      </w:pPr>
    </w:p>
    <w:p>
      <w:pPr>
        <w:ind w:left="820" w:hanging="565"/>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3260" w:type="dxa"/>
            <w:vAlign w:val="bottom"/>
          </w:tcPr>
          <w:p>
            <w:pPr>
              <w:spacing w:after="0"/>
              <w:rPr>
                <w:sz w:val="20"/>
                <w:szCs w:val="20"/>
                <w:color w:val="auto"/>
              </w:rPr>
            </w:pPr>
            <w:r>
              <w:rPr>
                <w:rFonts w:ascii="Arial" w:cs="Arial" w:eastAsia="Arial" w:hAnsi="Arial"/>
                <w:sz w:val="22"/>
                <w:szCs w:val="22"/>
                <w:color w:val="auto"/>
              </w:rPr>
              <w:t>Red Mountain Partners, L.P.</w:t>
            </w:r>
          </w:p>
        </w:tc>
        <w:tc>
          <w:tcPr>
            <w:tcW w:w="1840" w:type="dxa"/>
            <w:vAlign w:val="bottom"/>
          </w:tcPr>
          <w:p>
            <w:pPr>
              <w:jc w:val="right"/>
              <w:spacing w:after="0"/>
              <w:rPr>
                <w:sz w:val="20"/>
                <w:szCs w:val="20"/>
                <w:color w:val="auto"/>
              </w:rPr>
            </w:pPr>
            <w:r>
              <w:rPr>
                <w:rFonts w:ascii="Arial" w:cs="Arial" w:eastAsia="Arial" w:hAnsi="Arial"/>
                <w:sz w:val="22"/>
                <w:szCs w:val="22"/>
                <w:color w:val="auto"/>
              </w:rPr>
              <w:t>20-4117349</w:t>
            </w:r>
          </w:p>
        </w:tc>
      </w:tr>
    </w:tbl>
    <w:p>
      <w:pPr>
        <w:ind w:left="820" w:hanging="565"/>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WC (See Item 3)</w:t>
      </w:r>
    </w:p>
    <w:p>
      <w:pPr>
        <w:spacing w:after="0" w:line="22" w:lineRule="exact"/>
        <w:rPr>
          <w:sz w:val="20"/>
          <w:szCs w:val="20"/>
          <w:color w:val="auto"/>
        </w:rPr>
      </w:pPr>
    </w:p>
    <w:p>
      <w:pPr>
        <w:ind w:left="820" w:hanging="565"/>
        <w:spacing w:after="0" w:line="207" w:lineRule="exact"/>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8" w:lineRule="exact"/>
        <w:rPr>
          <w:sz w:val="20"/>
          <w:szCs w:val="20"/>
          <w:color w:val="auto"/>
        </w:rPr>
      </w:pPr>
    </w:p>
    <w:p>
      <w:pPr>
        <w:ind w:left="820" w:hanging="565"/>
        <w:spacing w:after="0"/>
        <w:tabs>
          <w:tab w:leader="none" w:pos="8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p>
      <w:pPr>
        <w:ind w:left="1680"/>
        <w:spacing w:after="0"/>
        <w:tabs>
          <w:tab w:leader="none" w:pos="1900" w:val="left"/>
        </w:tabs>
        <w:rPr>
          <w:sz w:val="20"/>
          <w:szCs w:val="20"/>
          <w:color w:val="auto"/>
        </w:rPr>
      </w:pPr>
      <w:r>
        <w:rPr>
          <w:rFonts w:ascii="Arial" w:cs="Arial" w:eastAsia="Arial" w:hAnsi="Arial"/>
          <w:sz w:val="18"/>
          <w:szCs w:val="18"/>
          <w:b w:val="1"/>
          <w:bCs w:val="1"/>
          <w:color w:val="auto"/>
        </w:rPr>
        <w:t>7</w:t>
        <w:tab/>
        <w:t>SOLE VOTING POWER</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4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960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OWNED BY</w:t>
            </w:r>
          </w:p>
        </w:tc>
        <w:tc>
          <w:tcPr>
            <w:tcW w:w="280" w:type="dxa"/>
            <w:vAlign w:val="bottom"/>
          </w:tcPr>
          <w:p>
            <w:pPr>
              <w:spacing w:after="0"/>
              <w:rPr>
                <w:sz w:val="18"/>
                <w:szCs w:val="18"/>
                <w:color w:val="auto"/>
              </w:rPr>
            </w:pPr>
          </w:p>
        </w:tc>
        <w:tc>
          <w:tcPr>
            <w:tcW w:w="72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12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88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3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6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140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rPr>
              <w:t>REPORTING</w:t>
            </w:r>
          </w:p>
        </w:tc>
        <w:tc>
          <w:tcPr>
            <w:tcW w:w="280" w:type="dxa"/>
            <w:vAlign w:val="bottom"/>
            <w:vMerge w:val="continue"/>
          </w:tcPr>
          <w:p>
            <w:pPr>
              <w:spacing w:after="0"/>
              <w:rPr>
                <w:sz w:val="13"/>
                <w:szCs w:val="13"/>
                <w:color w:val="auto"/>
              </w:rPr>
            </w:pPr>
          </w:p>
        </w:tc>
        <w:tc>
          <w:tcPr>
            <w:tcW w:w="9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18"/>
                <w:szCs w:val="18"/>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207"/>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WITH</w:t>
            </w:r>
          </w:p>
        </w:tc>
        <w:tc>
          <w:tcPr>
            <w:tcW w:w="2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7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w:t>
            </w:r>
          </w:p>
        </w:tc>
        <w:tc>
          <w:tcPr>
            <w:tcW w:w="96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78"/>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bl>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tabs>
          <w:tab w:leader="none" w:pos="2580" w:val="left"/>
        </w:tabs>
        <w:rPr>
          <w:sz w:val="20"/>
          <w:szCs w:val="20"/>
          <w:color w:val="auto"/>
        </w:rPr>
      </w:pPr>
      <w:r>
        <w:rPr>
          <w:rFonts w:ascii="Arial" w:cs="Arial" w:eastAsia="Arial" w:hAnsi="Arial"/>
          <w:sz w:val="22"/>
          <w:szCs w:val="22"/>
          <w:color w:val="auto"/>
        </w:rPr>
        <w:t>4,838,054 shares</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820" w:hanging="655"/>
        <w:spacing w:after="0" w:line="207" w:lineRule="exact"/>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820" w:hanging="655"/>
        <w:spacing w:after="0"/>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820"/>
        <w:spacing w:after="0"/>
        <w:tabs>
          <w:tab w:leader="none" w:pos="15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PN – Limited Partnership</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3" w:name="page4"/>
    <w:bookmarkEnd w:id="3"/>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4 OF 10 PAGES</w:t>
      </w:r>
    </w:p>
    <w:p>
      <w:pPr>
        <w:spacing w:after="0" w:line="167" w:lineRule="exact"/>
        <w:rPr>
          <w:sz w:val="20"/>
          <w:szCs w:val="20"/>
          <w:color w:val="auto"/>
        </w:rPr>
      </w:pPr>
    </w:p>
    <w:p>
      <w:pPr>
        <w:ind w:left="820" w:hanging="565"/>
        <w:spacing w:after="0"/>
        <w:tabs>
          <w:tab w:leader="none" w:pos="8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RMCP GP LLC</w:t>
            </w:r>
          </w:p>
        </w:tc>
        <w:tc>
          <w:tcPr>
            <w:tcW w:w="1860" w:type="dxa"/>
            <w:vAlign w:val="bottom"/>
          </w:tcPr>
          <w:p>
            <w:pPr>
              <w:jc w:val="right"/>
              <w:spacing w:after="0"/>
              <w:rPr>
                <w:sz w:val="20"/>
                <w:szCs w:val="20"/>
                <w:color w:val="auto"/>
              </w:rPr>
            </w:pPr>
            <w:r>
              <w:rPr>
                <w:rFonts w:ascii="Arial" w:cs="Arial" w:eastAsia="Arial" w:hAnsi="Arial"/>
                <w:sz w:val="22"/>
                <w:szCs w:val="22"/>
                <w:color w:val="auto"/>
              </w:rPr>
              <w:t>20-4442412</w:t>
            </w:r>
          </w:p>
        </w:tc>
      </w:tr>
    </w:tbl>
    <w:p>
      <w:pPr>
        <w:ind w:left="820" w:hanging="565"/>
        <w:spacing w:after="0"/>
        <w:tabs>
          <w:tab w:leader="none" w:pos="8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820" w:hanging="565"/>
        <w:spacing w:after="0" w:line="207" w:lineRule="exact"/>
        <w:tabs>
          <w:tab w:leader="none" w:pos="8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8" w:lineRule="exact"/>
        <w:rPr>
          <w:sz w:val="20"/>
          <w:szCs w:val="20"/>
          <w:color w:val="auto"/>
        </w:rPr>
      </w:pPr>
    </w:p>
    <w:p>
      <w:pPr>
        <w:ind w:left="820" w:hanging="565"/>
        <w:spacing w:after="0"/>
        <w:tabs>
          <w:tab w:leader="none" w:pos="8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p>
      <w:pPr>
        <w:ind w:left="1680"/>
        <w:spacing w:after="0"/>
        <w:tabs>
          <w:tab w:leader="none" w:pos="1900" w:val="left"/>
        </w:tabs>
        <w:rPr>
          <w:sz w:val="20"/>
          <w:szCs w:val="20"/>
          <w:color w:val="auto"/>
        </w:rPr>
      </w:pPr>
      <w:r>
        <w:rPr>
          <w:rFonts w:ascii="Arial" w:cs="Arial" w:eastAsia="Arial" w:hAnsi="Arial"/>
          <w:sz w:val="18"/>
          <w:szCs w:val="18"/>
          <w:b w:val="1"/>
          <w:bCs w:val="1"/>
          <w:color w:val="auto"/>
        </w:rPr>
        <w:t>7</w:t>
        <w:tab/>
        <w:t>SOLE VOTING POWER</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4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960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OWNED BY</w:t>
            </w:r>
          </w:p>
        </w:tc>
        <w:tc>
          <w:tcPr>
            <w:tcW w:w="280" w:type="dxa"/>
            <w:vAlign w:val="bottom"/>
          </w:tcPr>
          <w:p>
            <w:pPr>
              <w:spacing w:after="0"/>
              <w:rPr>
                <w:sz w:val="18"/>
                <w:szCs w:val="18"/>
                <w:color w:val="auto"/>
              </w:rPr>
            </w:pPr>
          </w:p>
        </w:tc>
        <w:tc>
          <w:tcPr>
            <w:tcW w:w="72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12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88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3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6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140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rPr>
              <w:t>REPORTING</w:t>
            </w:r>
          </w:p>
        </w:tc>
        <w:tc>
          <w:tcPr>
            <w:tcW w:w="280" w:type="dxa"/>
            <w:vAlign w:val="bottom"/>
            <w:vMerge w:val="continue"/>
          </w:tcPr>
          <w:p>
            <w:pPr>
              <w:spacing w:after="0"/>
              <w:rPr>
                <w:sz w:val="13"/>
                <w:szCs w:val="13"/>
                <w:color w:val="auto"/>
              </w:rPr>
            </w:pPr>
          </w:p>
        </w:tc>
        <w:tc>
          <w:tcPr>
            <w:tcW w:w="9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18"/>
                <w:szCs w:val="18"/>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207"/>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WITH</w:t>
            </w:r>
          </w:p>
        </w:tc>
        <w:tc>
          <w:tcPr>
            <w:tcW w:w="2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7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w:t>
            </w:r>
          </w:p>
        </w:tc>
        <w:tc>
          <w:tcPr>
            <w:tcW w:w="96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78"/>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bl>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tabs>
          <w:tab w:leader="none" w:pos="2580" w:val="left"/>
        </w:tabs>
        <w:rPr>
          <w:sz w:val="20"/>
          <w:szCs w:val="20"/>
          <w:color w:val="auto"/>
        </w:rPr>
      </w:pPr>
      <w:r>
        <w:rPr>
          <w:rFonts w:ascii="Arial" w:cs="Arial" w:eastAsia="Arial" w:hAnsi="Arial"/>
          <w:sz w:val="22"/>
          <w:szCs w:val="22"/>
          <w:color w:val="auto"/>
        </w:rPr>
        <w:t>4,838,054 shares</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820" w:hanging="655"/>
        <w:spacing w:after="0" w:line="207" w:lineRule="exact"/>
        <w:tabs>
          <w:tab w:leader="none" w:pos="8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820" w:hanging="655"/>
        <w:spacing w:after="0"/>
        <w:tabs>
          <w:tab w:leader="none" w:pos="8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820"/>
        <w:spacing w:after="0"/>
        <w:tabs>
          <w:tab w:leader="none" w:pos="15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820" w:hanging="655"/>
        <w:spacing w:after="0"/>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4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22"/>
          <w:szCs w:val="22"/>
          <w:color w:val="auto"/>
        </w:rPr>
        <w:t>OO – Limited Liability Company</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4" w:name="page5"/>
    <w:bookmarkEnd w:id="4"/>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5 OF 10 PAGES</w:t>
      </w:r>
    </w:p>
    <w:p>
      <w:pPr>
        <w:spacing w:after="0" w:line="167" w:lineRule="exact"/>
        <w:rPr>
          <w:sz w:val="20"/>
          <w:szCs w:val="20"/>
          <w:color w:val="auto"/>
        </w:rPr>
      </w:pPr>
    </w:p>
    <w:p>
      <w:pPr>
        <w:ind w:left="820" w:hanging="565"/>
        <w:spacing w:after="0"/>
        <w:tabs>
          <w:tab w:leader="none" w:pos="8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4340" w:type="dxa"/>
            <w:vAlign w:val="bottom"/>
          </w:tcPr>
          <w:p>
            <w:pPr>
              <w:spacing w:after="0"/>
              <w:rPr>
                <w:sz w:val="20"/>
                <w:szCs w:val="20"/>
                <w:color w:val="auto"/>
              </w:rPr>
            </w:pPr>
            <w:r>
              <w:rPr>
                <w:rFonts w:ascii="Arial" w:cs="Arial" w:eastAsia="Arial" w:hAnsi="Arial"/>
                <w:sz w:val="22"/>
                <w:szCs w:val="22"/>
                <w:color w:val="auto"/>
              </w:rPr>
              <w:t>Red Mountain Capital Management, Inc.</w:t>
            </w:r>
          </w:p>
        </w:tc>
        <w:tc>
          <w:tcPr>
            <w:tcW w:w="1860" w:type="dxa"/>
            <w:vAlign w:val="bottom"/>
          </w:tcPr>
          <w:p>
            <w:pPr>
              <w:jc w:val="right"/>
              <w:spacing w:after="0"/>
              <w:rPr>
                <w:sz w:val="20"/>
                <w:szCs w:val="20"/>
                <w:color w:val="auto"/>
              </w:rPr>
            </w:pPr>
            <w:r>
              <w:rPr>
                <w:rFonts w:ascii="Arial" w:cs="Arial" w:eastAsia="Arial" w:hAnsi="Arial"/>
                <w:sz w:val="22"/>
                <w:szCs w:val="22"/>
                <w:color w:val="auto"/>
              </w:rPr>
              <w:t>13-4057186</w:t>
            </w:r>
          </w:p>
        </w:tc>
      </w:tr>
    </w:tbl>
    <w:p>
      <w:pPr>
        <w:ind w:left="820" w:hanging="565"/>
        <w:spacing w:after="0"/>
        <w:tabs>
          <w:tab w:leader="none" w:pos="8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820" w:hanging="565"/>
        <w:spacing w:after="0" w:line="207" w:lineRule="exact"/>
        <w:tabs>
          <w:tab w:leader="none" w:pos="8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8" w:lineRule="exact"/>
        <w:rPr>
          <w:sz w:val="20"/>
          <w:szCs w:val="20"/>
          <w:color w:val="auto"/>
        </w:rPr>
      </w:pPr>
    </w:p>
    <w:p>
      <w:pPr>
        <w:ind w:left="820" w:hanging="565"/>
        <w:spacing w:after="0"/>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p>
      <w:pPr>
        <w:ind w:left="1680"/>
        <w:spacing w:after="0"/>
        <w:tabs>
          <w:tab w:leader="none" w:pos="1900" w:val="left"/>
        </w:tabs>
        <w:rPr>
          <w:sz w:val="20"/>
          <w:szCs w:val="20"/>
          <w:color w:val="auto"/>
        </w:rPr>
      </w:pPr>
      <w:r>
        <w:rPr>
          <w:rFonts w:ascii="Arial" w:cs="Arial" w:eastAsia="Arial" w:hAnsi="Arial"/>
          <w:sz w:val="18"/>
          <w:szCs w:val="18"/>
          <w:b w:val="1"/>
          <w:bCs w:val="1"/>
          <w:color w:val="auto"/>
        </w:rPr>
        <w:t>7</w:t>
        <w:tab/>
        <w:t>SOLE VOTING POWER</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4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960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OWNED BY</w:t>
            </w:r>
          </w:p>
        </w:tc>
        <w:tc>
          <w:tcPr>
            <w:tcW w:w="280" w:type="dxa"/>
            <w:vAlign w:val="bottom"/>
          </w:tcPr>
          <w:p>
            <w:pPr>
              <w:spacing w:after="0"/>
              <w:rPr>
                <w:sz w:val="18"/>
                <w:szCs w:val="18"/>
                <w:color w:val="auto"/>
              </w:rPr>
            </w:pPr>
          </w:p>
        </w:tc>
        <w:tc>
          <w:tcPr>
            <w:tcW w:w="72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12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88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3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6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140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rPr>
              <w:t>REPORTING</w:t>
            </w:r>
          </w:p>
        </w:tc>
        <w:tc>
          <w:tcPr>
            <w:tcW w:w="280" w:type="dxa"/>
            <w:vAlign w:val="bottom"/>
            <w:vMerge w:val="continue"/>
          </w:tcPr>
          <w:p>
            <w:pPr>
              <w:spacing w:after="0"/>
              <w:rPr>
                <w:sz w:val="13"/>
                <w:szCs w:val="13"/>
                <w:color w:val="auto"/>
              </w:rPr>
            </w:pPr>
          </w:p>
        </w:tc>
        <w:tc>
          <w:tcPr>
            <w:tcW w:w="9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18"/>
                <w:szCs w:val="18"/>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207"/>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WITH</w:t>
            </w:r>
          </w:p>
        </w:tc>
        <w:tc>
          <w:tcPr>
            <w:tcW w:w="2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7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w:t>
            </w:r>
          </w:p>
        </w:tc>
        <w:tc>
          <w:tcPr>
            <w:tcW w:w="96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78"/>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bl>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tabs>
          <w:tab w:leader="none" w:pos="2580" w:val="left"/>
        </w:tabs>
        <w:rPr>
          <w:sz w:val="20"/>
          <w:szCs w:val="20"/>
          <w:color w:val="auto"/>
        </w:rPr>
      </w:pPr>
      <w:r>
        <w:rPr>
          <w:rFonts w:ascii="Arial" w:cs="Arial" w:eastAsia="Arial" w:hAnsi="Arial"/>
          <w:sz w:val="22"/>
          <w:szCs w:val="22"/>
          <w:color w:val="auto"/>
        </w:rPr>
        <w:t>4,838,054 shares</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820" w:hanging="655"/>
        <w:spacing w:after="0" w:line="207" w:lineRule="exact"/>
        <w:tabs>
          <w:tab w:leader="none" w:pos="8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820" w:hanging="655"/>
        <w:spacing w:after="0"/>
        <w:tabs>
          <w:tab w:leader="none" w:pos="8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820"/>
        <w:spacing w:after="0"/>
        <w:tabs>
          <w:tab w:leader="none" w:pos="15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CO – Corporation</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5" w:name="page6"/>
    <w:bookmarkEnd w:id="5"/>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6 OF 10 PAGES</w:t>
      </w:r>
    </w:p>
    <w:p>
      <w:pPr>
        <w:spacing w:after="0" w:line="167" w:lineRule="exact"/>
        <w:rPr>
          <w:sz w:val="20"/>
          <w:szCs w:val="20"/>
          <w:color w:val="auto"/>
        </w:rPr>
      </w:pPr>
    </w:p>
    <w:p>
      <w:pPr>
        <w:ind w:left="820" w:hanging="565"/>
        <w:spacing w:after="0"/>
        <w:tabs>
          <w:tab w:leader="none" w:pos="8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Willem Mesdag</w:t>
      </w:r>
    </w:p>
    <w:p>
      <w:pPr>
        <w:spacing w:after="0" w:line="22" w:lineRule="exact"/>
        <w:rPr>
          <w:sz w:val="20"/>
          <w:szCs w:val="20"/>
          <w:color w:val="auto"/>
        </w:rPr>
      </w:pPr>
    </w:p>
    <w:p>
      <w:pPr>
        <w:ind w:left="820" w:hanging="565"/>
        <w:spacing w:after="0"/>
        <w:tabs>
          <w:tab w:leader="none" w:pos="8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820" w:hanging="565"/>
        <w:spacing w:after="0" w:line="207" w:lineRule="exact"/>
        <w:tabs>
          <w:tab w:leader="none" w:pos="8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8" w:lineRule="exact"/>
        <w:rPr>
          <w:sz w:val="20"/>
          <w:szCs w:val="20"/>
          <w:color w:val="auto"/>
        </w:rPr>
      </w:pPr>
    </w:p>
    <w:p>
      <w:pPr>
        <w:ind w:left="820" w:hanging="565"/>
        <w:spacing w:after="0"/>
        <w:tabs>
          <w:tab w:leader="none" w:pos="8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U.S. Citizen</w:t>
      </w:r>
    </w:p>
    <w:p>
      <w:pPr>
        <w:spacing w:after="0" w:line="22" w:lineRule="exact"/>
        <w:rPr>
          <w:sz w:val="20"/>
          <w:szCs w:val="20"/>
          <w:color w:val="auto"/>
        </w:rPr>
      </w:pPr>
    </w:p>
    <w:p>
      <w:pPr>
        <w:ind w:left="1680"/>
        <w:spacing w:after="0"/>
        <w:tabs>
          <w:tab w:leader="none" w:pos="1900" w:val="left"/>
        </w:tabs>
        <w:rPr>
          <w:sz w:val="20"/>
          <w:szCs w:val="20"/>
          <w:color w:val="auto"/>
        </w:rPr>
      </w:pPr>
      <w:r>
        <w:rPr>
          <w:rFonts w:ascii="Arial" w:cs="Arial" w:eastAsia="Arial" w:hAnsi="Arial"/>
          <w:sz w:val="18"/>
          <w:szCs w:val="18"/>
          <w:b w:val="1"/>
          <w:bCs w:val="1"/>
          <w:color w:val="auto"/>
        </w:rPr>
        <w:t>7</w:t>
        <w:tab/>
        <w:t>SOLE VOTING POWER</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4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960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OWNED BY</w:t>
            </w:r>
          </w:p>
        </w:tc>
        <w:tc>
          <w:tcPr>
            <w:tcW w:w="280" w:type="dxa"/>
            <w:vAlign w:val="bottom"/>
          </w:tcPr>
          <w:p>
            <w:pPr>
              <w:spacing w:after="0"/>
              <w:rPr>
                <w:sz w:val="18"/>
                <w:szCs w:val="18"/>
                <w:color w:val="auto"/>
              </w:rPr>
            </w:pPr>
          </w:p>
        </w:tc>
        <w:tc>
          <w:tcPr>
            <w:tcW w:w="72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125"/>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88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3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6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140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rPr>
              <w:t>REPORTING</w:t>
            </w:r>
          </w:p>
        </w:tc>
        <w:tc>
          <w:tcPr>
            <w:tcW w:w="280" w:type="dxa"/>
            <w:vAlign w:val="bottom"/>
            <w:vMerge w:val="continue"/>
          </w:tcPr>
          <w:p>
            <w:pPr>
              <w:spacing w:after="0"/>
              <w:rPr>
                <w:sz w:val="13"/>
                <w:szCs w:val="13"/>
                <w:color w:val="auto"/>
              </w:rPr>
            </w:pPr>
          </w:p>
        </w:tc>
        <w:tc>
          <w:tcPr>
            <w:tcW w:w="9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18"/>
                <w:szCs w:val="18"/>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4,838,054 shares</w:t>
            </w:r>
          </w:p>
        </w:tc>
        <w:tc>
          <w:tcPr>
            <w:tcW w:w="7900" w:type="dxa"/>
            <w:vAlign w:val="bottom"/>
            <w:vMerge w:val="restart"/>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r>
        <w:trPr>
          <w:trHeight w:val="207"/>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WITH</w:t>
            </w:r>
          </w:p>
        </w:tc>
        <w:tc>
          <w:tcPr>
            <w:tcW w:w="2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7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w:t>
            </w:r>
          </w:p>
        </w:tc>
        <w:tc>
          <w:tcPr>
            <w:tcW w:w="96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78"/>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22"/>
                <w:szCs w:val="22"/>
                <w:color w:val="auto"/>
              </w:rPr>
              <w:t>None</w:t>
            </w:r>
          </w:p>
        </w:tc>
        <w:tc>
          <w:tcPr>
            <w:tcW w:w="8880" w:type="dxa"/>
            <w:vAlign w:val="bottom"/>
            <w:gridSpan w:val="2"/>
          </w:tcPr>
          <w:p>
            <w:pPr>
              <w:ind w:left="160"/>
              <w:spacing w:after="0"/>
              <w:rPr>
                <w:sz w:val="20"/>
                <w:szCs w:val="20"/>
                <w:color w:val="auto"/>
              </w:rPr>
            </w:pPr>
            <w:r>
              <w:rPr>
                <w:rFonts w:ascii="Arial" w:cs="Arial" w:eastAsia="Arial" w:hAnsi="Arial"/>
                <w:sz w:val="22"/>
                <w:szCs w:val="22"/>
                <w:color w:val="auto"/>
              </w:rPr>
              <w:t>(See Item 5)</w:t>
            </w:r>
          </w:p>
        </w:tc>
        <w:tc>
          <w:tcPr>
            <w:tcW w:w="0" w:type="dxa"/>
            <w:vAlign w:val="bottom"/>
          </w:tcPr>
          <w:p>
            <w:pPr>
              <w:spacing w:after="0"/>
              <w:rPr>
                <w:sz w:val="1"/>
                <w:szCs w:val="1"/>
                <w:color w:val="auto"/>
              </w:rPr>
            </w:pPr>
          </w:p>
        </w:tc>
      </w:tr>
    </w:tbl>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tabs>
          <w:tab w:leader="none" w:pos="2580" w:val="left"/>
        </w:tabs>
        <w:rPr>
          <w:sz w:val="20"/>
          <w:szCs w:val="20"/>
          <w:color w:val="auto"/>
        </w:rPr>
      </w:pPr>
      <w:r>
        <w:rPr>
          <w:rFonts w:ascii="Arial" w:cs="Arial" w:eastAsia="Arial" w:hAnsi="Arial"/>
          <w:sz w:val="22"/>
          <w:szCs w:val="22"/>
          <w:color w:val="auto"/>
        </w:rPr>
        <w:t>4,838,054 shares</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820" w:hanging="655"/>
        <w:spacing w:after="0" w:line="207" w:lineRule="exact"/>
        <w:tabs>
          <w:tab w:leader="none" w:pos="8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820" w:hanging="655"/>
        <w:spacing w:after="0"/>
        <w:tabs>
          <w:tab w:leader="none" w:pos="8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820"/>
        <w:spacing w:after="0"/>
        <w:tabs>
          <w:tab w:leader="none" w:pos="15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IN – Individual</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7 OF 10 PAGES</w:t>
      </w:r>
    </w:p>
    <w:p>
      <w:pPr>
        <w:spacing w:after="0" w:line="15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This Amendment No. 2 amends and supplements the Schedule 13D filed with the Securities and Exchange Commission (the “SEC”) on March 25, 2013, as amended by Amendment No. 1 thereto, filed with the SEC on October 10, 2013, in each case by (i) Red Mountain Capital Partners LLC, a Delaware limited liability company (“RMCP LLC”), (ii) Red Mountain Partners, L.P., a Delaware limited partnership (“RMP”), (iii) RMCP GP LLC, a Delaware limited liability company (“RMCP GP”), (iv) Red Mountain Capital Management, Inc., a Delaware corporation (“RMCM”), and (v) Willem Mesdag, a natural person and citizen of the United States of America, with respect to the common stock, par value $0.01 per share (the “Common Stock”), of Destination XL Group, Inc., a Delaware corporation (“Destination XL”). The filing of any amendment to this Schedule 13D (including the filing of this Amendment No. 2) shall not be construed to be an admission by the Reporting Persons (as defined below) that a material change has occurred in the facts set forth in this Schedule 13D or that such amendment is required under Rule 13d-2 of the Securities Exchange Act of 1934, as amended.</w:t>
      </w:r>
    </w:p>
    <w:p>
      <w:pPr>
        <w:spacing w:after="0" w:line="17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RMCP LLC, RMP, and RMCP GP are sometimes collectively referred to herein as “Red Mountain.” Red Mountain, RMCM and Mr. Mesdag are sometimes collectively referred to herein as the “Reporting Persons.”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of this Schedule 13D is hereby amended to include the following information:</w:t>
      </w:r>
    </w:p>
    <w:p>
      <w:pPr>
        <w:spacing w:after="0" w:line="121"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Between October 10, 2013 and December 12, 2013, RMP has purchased an aggregate of 556,800 shares of Common Stock on the open market at an aggregate purchase price (excluding trading commissions and related administrative costs) of $3,635,713.46. The source of the funds used by RMP to purchase such shares was working capital of RMP.</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5(c) below is hereby incorporated by reference in response to this Item 3.</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5(a) and 5(b) of this Schedule 13D are hereby amended and restated as follows:</w:t>
      </w:r>
    </w:p>
    <w:p>
      <w:pPr>
        <w:spacing w:after="0" w:line="252" w:lineRule="exact"/>
        <w:rPr>
          <w:sz w:val="20"/>
          <w:szCs w:val="20"/>
          <w:color w:val="auto"/>
        </w:rPr>
      </w:pPr>
    </w:p>
    <w:p>
      <w:pPr>
        <w:jc w:val="both"/>
        <w:ind w:left="900" w:right="760" w:hanging="661"/>
        <w:spacing w:after="0" w:line="264" w:lineRule="auto"/>
        <w:tabs>
          <w:tab w:leader="none" w:pos="880" w:val="left"/>
        </w:tabs>
        <w:rPr>
          <w:sz w:val="20"/>
          <w:szCs w:val="20"/>
          <w:color w:val="auto"/>
        </w:rPr>
      </w:pPr>
      <w:r>
        <w:rPr>
          <w:rFonts w:ascii="Arial" w:cs="Arial" w:eastAsia="Arial" w:hAnsi="Arial"/>
          <w:sz w:val="18"/>
          <w:szCs w:val="18"/>
          <w:b w:val="1"/>
          <w:bCs w:val="1"/>
          <w:color w:val="auto"/>
        </w:rPr>
        <w:t>(a)-(b)</w:t>
      </w:r>
      <w:r>
        <w:rPr>
          <w:sz w:val="20"/>
          <w:szCs w:val="20"/>
          <w:color w:val="auto"/>
        </w:rPr>
        <w:tab/>
      </w:r>
      <w:r>
        <w:rPr>
          <w:rFonts w:ascii="Arial" w:cs="Arial" w:eastAsia="Arial" w:hAnsi="Arial"/>
          <w:sz w:val="18"/>
          <w:szCs w:val="18"/>
          <w:color w:val="auto"/>
        </w:rPr>
        <w:t>RMP beneficially owns, in the aggregate, 4,838,054 shares of Common Stock, which represent approximately 9.5% of the outstanding Common Stock.</w:t>
      </w:r>
      <w:r>
        <w:rPr>
          <w:rFonts w:ascii="Arial" w:cs="Arial" w:eastAsia="Arial" w:hAnsi="Arial"/>
          <w:sz w:val="15"/>
          <w:szCs w:val="15"/>
          <w:color w:val="auto"/>
        </w:rPr>
        <w:t>(1)</w:t>
      </w:r>
      <w:r>
        <w:rPr>
          <w:rFonts w:ascii="Arial" w:cs="Arial" w:eastAsia="Arial" w:hAnsi="Arial"/>
          <w:sz w:val="18"/>
          <w:szCs w:val="18"/>
          <w:color w:val="auto"/>
        </w:rPr>
        <w:t xml:space="preserve"> RMP has the sole power to vote or direct the vote, and the sole power to dispose or direct the disposition, of all such 4,838,054 shares of Common Stock.</w:t>
      </w:r>
    </w:p>
    <w:p>
      <w:pPr>
        <w:spacing w:after="0" w:line="77" w:lineRule="exact"/>
        <w:rPr>
          <w:sz w:val="20"/>
          <w:szCs w:val="20"/>
          <w:color w:val="auto"/>
        </w:rPr>
      </w:pPr>
    </w:p>
    <w:p>
      <w:pPr>
        <w:jc w:val="both"/>
        <w:ind w:left="900" w:right="340"/>
        <w:spacing w:after="0" w:line="264" w:lineRule="auto"/>
        <w:rPr>
          <w:sz w:val="20"/>
          <w:szCs w:val="20"/>
          <w:color w:val="auto"/>
        </w:rPr>
      </w:pPr>
      <w:r>
        <w:rPr>
          <w:rFonts w:ascii="Arial" w:cs="Arial" w:eastAsia="Arial" w:hAnsi="Arial"/>
          <w:sz w:val="18"/>
          <w:szCs w:val="18"/>
          <w:color w:val="auto"/>
        </w:rPr>
        <w:t>Because each of RMCP GP, RMCP LLC, RMCM and Mr. Mesdag may be deemed to control RMP, each of RMCP GP, RMCP LLC, RMCM and Mr. Mesdag may be deemed to beneficially own, and to have the power to vote or direct the vote, or dispose or direct the disposition, of all of the Common Stock beneficially owned by RMP.</w:t>
      </w:r>
    </w:p>
    <w:p>
      <w:pPr>
        <w:spacing w:after="0" w:line="73" w:lineRule="exact"/>
        <w:rPr>
          <w:sz w:val="20"/>
          <w:szCs w:val="20"/>
          <w:color w:val="auto"/>
        </w:rPr>
      </w:pPr>
    </w:p>
    <w:p>
      <w:pPr>
        <w:ind w:left="900" w:right="780"/>
        <w:spacing w:after="0" w:line="277" w:lineRule="auto"/>
        <w:rPr>
          <w:sz w:val="20"/>
          <w:szCs w:val="20"/>
          <w:color w:val="auto"/>
        </w:rPr>
      </w:pPr>
      <w:r>
        <w:rPr>
          <w:rFonts w:ascii="Arial" w:cs="Arial" w:eastAsia="Arial" w:hAnsi="Arial"/>
          <w:sz w:val="18"/>
          <w:szCs w:val="18"/>
          <w:color w:val="auto"/>
        </w:rPr>
        <w:t>Other than shares of Common Stock beneficially owned by RMP, none of the Reporting Persons or Mr. Teets or Mr. Watkinson may be deemed to beneficially own any shares of Common Stock.</w:t>
      </w:r>
    </w:p>
    <w:p>
      <w:pPr>
        <w:spacing w:after="0" w:line="62" w:lineRule="exact"/>
        <w:rPr>
          <w:sz w:val="20"/>
          <w:szCs w:val="20"/>
          <w:color w:val="auto"/>
        </w:rPr>
      </w:pPr>
    </w:p>
    <w:p>
      <w:pPr>
        <w:ind w:left="900" w:right="340"/>
        <w:spacing w:after="0" w:line="277" w:lineRule="auto"/>
        <w:rPr>
          <w:sz w:val="20"/>
          <w:szCs w:val="20"/>
          <w:color w:val="auto"/>
        </w:rPr>
      </w:pPr>
      <w:r>
        <w:rPr>
          <w:rFonts w:ascii="Arial" w:cs="Arial" w:eastAsia="Arial" w:hAnsi="Arial"/>
          <w:sz w:val="18"/>
          <w:szCs w:val="18"/>
          <w:color w:val="auto"/>
        </w:rPr>
        <w:t>Each of RMCP LLC, RMP and RMCP GP affirms membership in a group with each other but disclaims membership in a group with RMCM or Mr. Mesdag. Each of RMCM and Mr. Mesdag disclaims membership in a group with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100" w:hanging="452"/>
        <w:spacing w:after="0" w:line="342"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6"/>
          <w:szCs w:val="16"/>
          <w:color w:val="auto"/>
        </w:rPr>
        <w:t>All calculations of percentage ownership in this Schedule 13D are based on 50,930,390 shares of Common Stock outstanding as of November 2, 2013, as reported in the Form 10-Q which was filed by Destination XL Group, Inc. with the Securities and Exchange Commission on November 22, 2013.</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8 OF 10 PAGES</w:t>
      </w:r>
    </w:p>
    <w:p>
      <w:pPr>
        <w:spacing w:after="0" w:line="158" w:lineRule="exact"/>
        <w:rPr>
          <w:sz w:val="20"/>
          <w:szCs w:val="20"/>
          <w:color w:val="auto"/>
        </w:rPr>
      </w:pPr>
    </w:p>
    <w:p>
      <w:pPr>
        <w:ind w:left="1000" w:right="280"/>
        <w:spacing w:after="0" w:line="255" w:lineRule="auto"/>
        <w:rPr>
          <w:sz w:val="20"/>
          <w:szCs w:val="20"/>
          <w:color w:val="auto"/>
        </w:rPr>
      </w:pPr>
      <w:r>
        <w:rPr>
          <w:rFonts w:ascii="Arial" w:cs="Arial" w:eastAsia="Arial" w:hAnsi="Arial"/>
          <w:sz w:val="18"/>
          <w:szCs w:val="18"/>
          <w:color w:val="auto"/>
        </w:rPr>
        <w:t>The filing of this Schedule 13D shall not be construed as an admission that any Reporting Person is the beneficial owner of any of the shares of Common Stock that such Reporting Person may be deemed to beneficially own. Without limiting the foregoing sentence, each of RMCM and Mr. Mesdag disclaims beneficial ownership of all shares of Common Stock reported in this Schedule 13D. In addition, the filing of this Schedule 13D shall not be construed as an admission that any partner, member, director, officer or affiliate of any Reporting Person is the beneficial owner of any of the shares of Common Stock that such partner, member, director, officer or affiliate may be deemed to beneficially own. Without limiting the foregoing sentence, each of Mr. Teets and Mr. Watkinson disclaims beneficial ownership of all shares of Common Stock reported in this Schedule 13D.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5(c) of this Schedule 13D is hereby amended to include the following information:</w:t>
      </w:r>
    </w:p>
    <w:p>
      <w:pPr>
        <w:spacing w:after="0" w:line="135" w:lineRule="exact"/>
        <w:rPr>
          <w:sz w:val="20"/>
          <w:szCs w:val="20"/>
          <w:color w:val="auto"/>
        </w:rPr>
      </w:pPr>
    </w:p>
    <w:p>
      <w:pPr>
        <w:ind w:left="460" w:right="100" w:hanging="452"/>
        <w:spacing w:after="0" w:line="277" w:lineRule="auto"/>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following table lists all transactions in Common Stock effected during the past sixty days by RMP. All such transactions were effected on the open market.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Shares of</w:t>
            </w:r>
          </w:p>
        </w:tc>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10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Common</w:t>
            </w:r>
          </w:p>
        </w:tc>
        <w:tc>
          <w:tcPr>
            <w:tcW w:w="27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Weighted</w:t>
            </w:r>
          </w:p>
        </w:tc>
        <w:tc>
          <w:tcPr>
            <w:tcW w:w="17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9"/>
        </w:trPr>
        <w:tc>
          <w:tcPr>
            <w:tcW w:w="10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3580" w:type="dxa"/>
            <w:vAlign w:val="bottom"/>
            <w:gridSpan w:val="2"/>
          </w:tcPr>
          <w:p>
            <w:pPr>
              <w:jc w:val="center"/>
              <w:ind w:left="2654"/>
              <w:spacing w:after="0" w:line="149" w:lineRule="exact"/>
              <w:rPr>
                <w:sz w:val="20"/>
                <w:szCs w:val="20"/>
                <w:color w:val="auto"/>
              </w:rPr>
            </w:pPr>
            <w:r>
              <w:rPr>
                <w:rFonts w:ascii="Arial" w:cs="Arial" w:eastAsia="Arial" w:hAnsi="Arial"/>
                <w:sz w:val="14"/>
                <w:szCs w:val="14"/>
                <w:color w:val="auto"/>
                <w:w w:val="90"/>
              </w:rPr>
              <w:t>Average Price</w:t>
            </w:r>
          </w:p>
        </w:tc>
        <w:tc>
          <w:tcPr>
            <w:tcW w:w="1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Date of</w:t>
            </w:r>
          </w:p>
        </w:tc>
      </w:tr>
      <w:tr>
        <w:trPr>
          <w:trHeight w:val="135"/>
        </w:trPr>
        <w:tc>
          <w:tcPr>
            <w:tcW w:w="1020" w:type="dxa"/>
            <w:vAlign w:val="bottom"/>
          </w:tcPr>
          <w:p>
            <w:pPr>
              <w:spacing w:after="0"/>
              <w:rPr>
                <w:sz w:val="11"/>
                <w:szCs w:val="11"/>
                <w:color w:val="auto"/>
              </w:rPr>
            </w:pPr>
          </w:p>
        </w:tc>
        <w:tc>
          <w:tcPr>
            <w:tcW w:w="6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color w:val="auto"/>
                <w:w w:val="96"/>
              </w:rPr>
              <w:t>Purchased</w:t>
            </w:r>
          </w:p>
        </w:tc>
        <w:tc>
          <w:tcPr>
            <w:tcW w:w="276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color w:val="auto"/>
                <w:w w:val="92"/>
              </w:rPr>
              <w:t xml:space="preserve">per Share </w:t>
            </w:r>
            <w:r>
              <w:rPr>
                <w:rFonts w:ascii="Arial" w:cs="Arial" w:eastAsia="Arial" w:hAnsi="Arial"/>
                <w:sz w:val="14"/>
                <w:szCs w:val="14"/>
                <w:u w:val="single" w:color="auto"/>
                <w:color w:val="auto"/>
                <w:w w:val="92"/>
              </w:rPr>
              <w:t>($</w:t>
            </w:r>
            <w:r>
              <w:rPr>
                <w:rFonts w:ascii="Arial" w:cs="Arial" w:eastAsia="Arial" w:hAnsi="Arial"/>
                <w:sz w:val="14"/>
                <w:szCs w:val="14"/>
                <w:color w:val="auto"/>
                <w:w w:val="92"/>
              </w:rPr>
              <w:t>)</w:t>
            </w:r>
          </w:p>
        </w:tc>
        <w:tc>
          <w:tcPr>
            <w:tcW w:w="174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color w:val="auto"/>
                <w:w w:val="87"/>
              </w:rPr>
              <w:t>Purchase</w:t>
            </w:r>
          </w:p>
        </w:tc>
      </w:tr>
      <w:tr>
        <w:trPr>
          <w:trHeight w:val="21"/>
        </w:trPr>
        <w:tc>
          <w:tcPr>
            <w:tcW w:w="10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162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251,000</w:t>
            </w:r>
          </w:p>
        </w:tc>
        <w:tc>
          <w:tcPr>
            <w:tcW w:w="27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6.9149</w:t>
            </w: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11/22/2013</w:t>
            </w:r>
          </w:p>
        </w:tc>
      </w:tr>
      <w:tr>
        <w:trPr>
          <w:trHeight w:val="216"/>
        </w:trPr>
        <w:tc>
          <w:tcPr>
            <w:tcW w:w="1620" w:type="dxa"/>
            <w:vAlign w:val="bottom"/>
            <w:gridSpan w:val="2"/>
          </w:tcPr>
          <w:p>
            <w:pPr>
              <w:jc w:val="center"/>
              <w:ind w:left="910"/>
              <w:spacing w:after="0"/>
              <w:rPr>
                <w:sz w:val="20"/>
                <w:szCs w:val="20"/>
                <w:color w:val="auto"/>
              </w:rPr>
            </w:pPr>
            <w:r>
              <w:rPr>
                <w:rFonts w:ascii="Arial" w:cs="Arial" w:eastAsia="Arial" w:hAnsi="Arial"/>
                <w:sz w:val="18"/>
                <w:szCs w:val="18"/>
                <w:color w:val="auto"/>
                <w:w w:val="90"/>
              </w:rPr>
              <w:t>35,300</w:t>
            </w:r>
          </w:p>
        </w:tc>
        <w:tc>
          <w:tcPr>
            <w:tcW w:w="3580" w:type="dxa"/>
            <w:vAlign w:val="bottom"/>
            <w:gridSpan w:val="2"/>
          </w:tcPr>
          <w:p>
            <w:pPr>
              <w:jc w:val="center"/>
              <w:ind w:left="2654"/>
              <w:spacing w:after="0"/>
              <w:rPr>
                <w:sz w:val="20"/>
                <w:szCs w:val="20"/>
                <w:color w:val="auto"/>
              </w:rPr>
            </w:pPr>
            <w:r>
              <w:rPr>
                <w:rFonts w:ascii="Arial" w:cs="Arial" w:eastAsia="Arial" w:hAnsi="Arial"/>
                <w:sz w:val="18"/>
                <w:szCs w:val="18"/>
                <w:color w:val="auto"/>
                <w:w w:val="87"/>
              </w:rPr>
              <w:t>6.2000</w:t>
            </w:r>
          </w:p>
        </w:tc>
        <w:tc>
          <w:tcPr>
            <w:tcW w:w="2560" w:type="dxa"/>
            <w:vAlign w:val="bottom"/>
            <w:gridSpan w:val="2"/>
          </w:tcPr>
          <w:p>
            <w:pPr>
              <w:jc w:val="center"/>
              <w:ind w:left="1630"/>
              <w:spacing w:after="0"/>
              <w:rPr>
                <w:sz w:val="20"/>
                <w:szCs w:val="20"/>
                <w:color w:val="auto"/>
              </w:rPr>
            </w:pPr>
            <w:r>
              <w:rPr>
                <w:rFonts w:ascii="Arial" w:cs="Arial" w:eastAsia="Arial" w:hAnsi="Arial"/>
                <w:sz w:val="18"/>
                <w:szCs w:val="18"/>
                <w:color w:val="auto"/>
                <w:w w:val="89"/>
              </w:rPr>
              <w:t>12/9/2013</w:t>
            </w:r>
          </w:p>
        </w:tc>
      </w:tr>
      <w:tr>
        <w:trPr>
          <w:trHeight w:val="216"/>
        </w:trPr>
        <w:tc>
          <w:tcPr>
            <w:tcW w:w="162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90"/>
              </w:rPr>
              <w:t>68,500</w:t>
            </w:r>
          </w:p>
        </w:tc>
        <w:tc>
          <w:tcPr>
            <w:tcW w:w="3580" w:type="dxa"/>
            <w:vAlign w:val="bottom"/>
            <w:gridSpan w:val="2"/>
            <w:shd w:val="clear" w:color="auto" w:fill="CCEEFF"/>
          </w:tcPr>
          <w:p>
            <w:pPr>
              <w:jc w:val="center"/>
              <w:ind w:left="2654"/>
              <w:spacing w:after="0"/>
              <w:rPr>
                <w:sz w:val="20"/>
                <w:szCs w:val="20"/>
                <w:color w:val="auto"/>
              </w:rPr>
            </w:pPr>
            <w:r>
              <w:rPr>
                <w:rFonts w:ascii="Arial" w:cs="Arial" w:eastAsia="Arial" w:hAnsi="Arial"/>
                <w:sz w:val="18"/>
                <w:szCs w:val="18"/>
                <w:color w:val="auto"/>
                <w:w w:val="87"/>
              </w:rPr>
              <w:t>6.2382</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12/10/2013</w:t>
            </w:r>
          </w:p>
        </w:tc>
      </w:tr>
      <w:tr>
        <w:trPr>
          <w:trHeight w:val="216"/>
        </w:trPr>
        <w:tc>
          <w:tcPr>
            <w:tcW w:w="1620" w:type="dxa"/>
            <w:vAlign w:val="bottom"/>
            <w:gridSpan w:val="2"/>
          </w:tcPr>
          <w:p>
            <w:pPr>
              <w:jc w:val="center"/>
              <w:ind w:left="910"/>
              <w:spacing w:after="0"/>
              <w:rPr>
                <w:sz w:val="20"/>
                <w:szCs w:val="20"/>
                <w:color w:val="auto"/>
              </w:rPr>
            </w:pPr>
            <w:r>
              <w:rPr>
                <w:rFonts w:ascii="Arial" w:cs="Arial" w:eastAsia="Arial" w:hAnsi="Arial"/>
                <w:sz w:val="18"/>
                <w:szCs w:val="18"/>
                <w:color w:val="auto"/>
                <w:w w:val="90"/>
              </w:rPr>
              <w:t>80,000</w:t>
            </w:r>
          </w:p>
        </w:tc>
        <w:tc>
          <w:tcPr>
            <w:tcW w:w="3580" w:type="dxa"/>
            <w:vAlign w:val="bottom"/>
            <w:gridSpan w:val="2"/>
          </w:tcPr>
          <w:p>
            <w:pPr>
              <w:jc w:val="center"/>
              <w:ind w:left="2654"/>
              <w:spacing w:after="0"/>
              <w:rPr>
                <w:sz w:val="20"/>
                <w:szCs w:val="20"/>
                <w:color w:val="auto"/>
              </w:rPr>
            </w:pPr>
            <w:r>
              <w:rPr>
                <w:rFonts w:ascii="Arial" w:cs="Arial" w:eastAsia="Arial" w:hAnsi="Arial"/>
                <w:sz w:val="18"/>
                <w:szCs w:val="18"/>
                <w:color w:val="auto"/>
                <w:w w:val="87"/>
              </w:rPr>
              <w:t>6.1865</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12/11/2013</w:t>
            </w:r>
          </w:p>
        </w:tc>
      </w:tr>
      <w:tr>
        <w:trPr>
          <w:trHeight w:val="216"/>
        </w:trPr>
        <w:tc>
          <w:tcPr>
            <w:tcW w:w="162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90"/>
              </w:rPr>
              <w:t>95,000</w:t>
            </w:r>
          </w:p>
        </w:tc>
        <w:tc>
          <w:tcPr>
            <w:tcW w:w="3580" w:type="dxa"/>
            <w:vAlign w:val="bottom"/>
            <w:gridSpan w:val="2"/>
            <w:shd w:val="clear" w:color="auto" w:fill="CCEEFF"/>
          </w:tcPr>
          <w:p>
            <w:pPr>
              <w:jc w:val="center"/>
              <w:ind w:left="2654"/>
              <w:spacing w:after="0"/>
              <w:rPr>
                <w:sz w:val="20"/>
                <w:szCs w:val="20"/>
                <w:color w:val="auto"/>
              </w:rPr>
            </w:pPr>
            <w:r>
              <w:rPr>
                <w:rFonts w:ascii="Arial" w:cs="Arial" w:eastAsia="Arial" w:hAnsi="Arial"/>
                <w:sz w:val="18"/>
                <w:szCs w:val="18"/>
                <w:color w:val="auto"/>
                <w:w w:val="87"/>
              </w:rPr>
              <w:t>6.1423</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12/12/2013</w:t>
            </w: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9 OF 10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2013</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PARTNERS LLC</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PARTNERS, L.P.</w:t>
      </w:r>
    </w:p>
    <w:p>
      <w:pPr>
        <w:spacing w:after="0" w:line="12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RMCP GP LLC, its general partner</w:t>
      </w:r>
    </w:p>
    <w:p>
      <w:pPr>
        <w:spacing w:after="0" w:line="11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tabs>
          <w:tab w:leader="none" w:pos="78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RMCP GP LLC</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MANAGEMENT, INC.</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WILLEM MESDAG</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w w:val="92"/>
              </w:rPr>
              <w:t>CUSIP No. 25065K104</w:t>
            </w:r>
          </w:p>
        </w:tc>
        <w:tc>
          <w:tcPr>
            <w:tcW w:w="6960" w:type="dxa"/>
            <w:vAlign w:val="bottom"/>
            <w:gridSpan w:val="3"/>
          </w:tcPr>
          <w:p>
            <w:pPr>
              <w:ind w:left="3480"/>
              <w:spacing w:after="0"/>
              <w:rPr>
                <w:sz w:val="20"/>
                <w:szCs w:val="20"/>
                <w:color w:val="auto"/>
              </w:rPr>
            </w:pPr>
            <w:r>
              <w:rPr>
                <w:rFonts w:ascii="Arial" w:cs="Arial" w:eastAsia="Arial" w:hAnsi="Arial"/>
                <w:sz w:val="18"/>
                <w:szCs w:val="18"/>
                <w:color w:val="auto"/>
              </w:rPr>
              <w:t>SCHEDULE 13D/A</w:t>
            </w:r>
          </w:p>
        </w:tc>
        <w:tc>
          <w:tcPr>
            <w:tcW w:w="2720" w:type="dxa"/>
            <w:vAlign w:val="bottom"/>
          </w:tcPr>
          <w:p>
            <w:pPr>
              <w:ind w:left="940"/>
              <w:spacing w:after="0"/>
              <w:rPr>
                <w:sz w:val="20"/>
                <w:szCs w:val="20"/>
                <w:color w:val="auto"/>
              </w:rPr>
            </w:pPr>
            <w:r>
              <w:rPr>
                <w:rFonts w:ascii="Arial" w:cs="Arial" w:eastAsia="Arial" w:hAnsi="Arial"/>
                <w:sz w:val="18"/>
                <w:szCs w:val="18"/>
                <w:color w:val="auto"/>
                <w:w w:val="89"/>
              </w:rPr>
              <w:t>PAGE 10 OF 10 PAGES</w:t>
            </w:r>
          </w:p>
        </w:tc>
      </w:tr>
      <w:tr>
        <w:trPr>
          <w:trHeight w:val="365"/>
        </w:trPr>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60" w:type="dxa"/>
            <w:vAlign w:val="bottom"/>
            <w:gridSpan w:val="3"/>
          </w:tcPr>
          <w:p>
            <w:pPr>
              <w:ind w:left="3280"/>
              <w:spacing w:after="0"/>
              <w:rPr>
                <w:sz w:val="20"/>
                <w:szCs w:val="20"/>
                <w:color w:val="auto"/>
              </w:rPr>
            </w:pPr>
            <w:r>
              <w:rPr>
                <w:rFonts w:ascii="Arial" w:cs="Arial" w:eastAsia="Arial" w:hAnsi="Arial"/>
                <w:sz w:val="18"/>
                <w:szCs w:val="18"/>
                <w:b w:val="1"/>
                <w:bCs w:val="1"/>
                <w:color w:val="auto"/>
              </w:rPr>
              <w:t>EXHIBIT INDEX</w:t>
            </w:r>
          </w:p>
        </w:tc>
        <w:tc>
          <w:tcPr>
            <w:tcW w:w="2720" w:type="dxa"/>
            <w:vAlign w:val="bottom"/>
          </w:tcPr>
          <w:p>
            <w:pPr>
              <w:spacing w:after="0"/>
              <w:rPr>
                <w:sz w:val="24"/>
                <w:szCs w:val="24"/>
                <w:color w:val="auto"/>
              </w:rPr>
            </w:pPr>
          </w:p>
        </w:tc>
      </w:tr>
      <w:tr>
        <w:trPr>
          <w:trHeight w:val="392"/>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Exhibit No.</w:t>
            </w:r>
          </w:p>
        </w:tc>
        <w:tc>
          <w:tcPr>
            <w:tcW w:w="6960" w:type="dxa"/>
            <w:vAlign w:val="bottom"/>
            <w:gridSpan w:val="3"/>
          </w:tcPr>
          <w:p>
            <w:pPr>
              <w:ind w:left="4200"/>
              <w:spacing w:after="0"/>
              <w:rPr>
                <w:sz w:val="20"/>
                <w:szCs w:val="20"/>
                <w:color w:val="auto"/>
              </w:rPr>
            </w:pPr>
            <w:r>
              <w:rPr>
                <w:rFonts w:ascii="Arial" w:cs="Arial" w:eastAsia="Arial" w:hAnsi="Arial"/>
                <w:sz w:val="14"/>
                <w:szCs w:val="14"/>
                <w:color w:val="auto"/>
              </w:rPr>
              <w:t>Description of Exhibit</w:t>
            </w:r>
          </w:p>
        </w:tc>
        <w:tc>
          <w:tcPr>
            <w:tcW w:w="272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303"/>
        </w:trPr>
        <w:tc>
          <w:tcPr>
            <w:tcW w:w="680" w:type="dxa"/>
            <w:vAlign w:val="bottom"/>
          </w:tcPr>
          <w:p>
            <w:pPr>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w w:val="92"/>
              </w:rPr>
              <w:t>Joint Filing Agreement, dated as of March 25, 2013, by and among the Reporting Persons (incorporated by reference to Exhibit 1 to</w:t>
            </w:r>
          </w:p>
        </w:tc>
      </w:tr>
      <w:tr>
        <w:trPr>
          <w:trHeight w:val="230"/>
        </w:trPr>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the Schedule 13D filed by the Reporting Persons with the SEC on March 25, 2013).</w:t>
            </w:r>
          </w:p>
        </w:tc>
        <w:tc>
          <w:tcPr>
            <w:tcW w:w="2720" w:type="dxa"/>
            <w:vAlign w:val="bottom"/>
          </w:tcPr>
          <w:p>
            <w:pPr>
              <w:spacing w:after="0"/>
              <w:rPr>
                <w:sz w:val="20"/>
                <w:szCs w:val="20"/>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bullet"/>
      <w:start w:val="1"/>
    </w:lvl>
  </w:abstractNum>
  <w:abstractNum w:abstractNumId="2">
    <w:nsid w:val="333AB105"/>
    <w:multiLevelType w:val="hybridMultilevel"/>
    <w:lvl w:ilvl="0">
      <w:lvlJc w:val="left"/>
      <w:lvlText w:val="2"/>
      <w:numFmt w:val="bullet"/>
      <w:start w:val="1"/>
    </w:lvl>
  </w:abstractNum>
  <w:abstractNum w:abstractNumId="3">
    <w:nsid w:val="721DA317"/>
    <w:multiLevelType w:val="hybridMultilevel"/>
    <w:lvl w:ilvl="0">
      <w:lvlJc w:val="left"/>
      <w:lvlText w:val="3"/>
      <w:numFmt w:val="bullet"/>
      <w:start w:val="1"/>
    </w:lvl>
  </w:abstractNum>
  <w:abstractNum w:abstractNumId="4">
    <w:nsid w:val="2443A858"/>
    <w:multiLevelType w:val="hybridMultilevel"/>
    <w:lvl w:ilvl="0">
      <w:lvlJc w:val="left"/>
      <w:lvlText w:val="4"/>
      <w:numFmt w:val="bullet"/>
      <w:start w:val="1"/>
    </w:lvl>
  </w:abstractNum>
  <w:abstractNum w:abstractNumId="5">
    <w:nsid w:val="2D1D5AE9"/>
    <w:multiLevelType w:val="hybridMultilevel"/>
    <w:lvl w:ilvl="0">
      <w:lvlJc w:val="left"/>
      <w:lvlText w:val="5"/>
      <w:numFmt w:val="bullet"/>
      <w:start w:val="1"/>
    </w:lvl>
  </w:abstractNum>
  <w:abstractNum w:abstractNumId="6">
    <w:nsid w:val="6763845E"/>
    <w:multiLevelType w:val="hybridMultilevel"/>
    <w:lvl w:ilvl="0">
      <w:lvlJc w:val="left"/>
      <w:lvlText w:val="6"/>
      <w:numFmt w:val="bullet"/>
      <w:start w:val="1"/>
    </w:lvl>
  </w:abstractNum>
  <w:abstractNum w:abstractNumId="7">
    <w:nsid w:val="75A2A8D4"/>
    <w:multiLevelType w:val="hybridMultilevel"/>
    <w:lvl w:ilvl="0">
      <w:lvlJc w:val="left"/>
      <w:lvlText w:val="%1"/>
      <w:numFmt w:val="decimal"/>
      <w:start w:val="12"/>
    </w:lvl>
  </w:abstractNum>
  <w:abstractNum w:abstractNumId="8">
    <w:nsid w:val="8EDBDAB"/>
    <w:multiLevelType w:val="hybridMultilevel"/>
    <w:lvl w:ilvl="0">
      <w:lvlJc w:val="left"/>
      <w:lvlText w:val="%1"/>
      <w:numFmt w:val="decimal"/>
      <w:start w:val="14"/>
    </w:lvl>
  </w:abstractNum>
  <w:abstractNum w:abstractNumId="9">
    <w:nsid w:val="79838CB2"/>
    <w:multiLevelType w:val="hybridMultilevel"/>
    <w:lvl w:ilvl="0">
      <w:lvlJc w:val="left"/>
      <w:lvlText w:val="1"/>
      <w:numFmt w:val="bullet"/>
      <w:start w:val="1"/>
    </w:lvl>
  </w:abstractNum>
  <w:abstractNum w:abstractNumId="10">
    <w:nsid w:val="4353D0CD"/>
    <w:multiLevelType w:val="hybridMultilevel"/>
    <w:lvl w:ilvl="0">
      <w:lvlJc w:val="left"/>
      <w:lvlText w:val="2"/>
      <w:numFmt w:val="bullet"/>
      <w:start w:val="1"/>
    </w:lvl>
  </w:abstractNum>
  <w:abstractNum w:abstractNumId="11">
    <w:nsid w:val="B03E0C6"/>
    <w:multiLevelType w:val="hybridMultilevel"/>
    <w:lvl w:ilvl="0">
      <w:lvlJc w:val="left"/>
      <w:lvlText w:val="3"/>
      <w:numFmt w:val="bullet"/>
      <w:start w:val="1"/>
    </w:lvl>
  </w:abstractNum>
  <w:abstractNum w:abstractNumId="12">
    <w:nsid w:val="189A769B"/>
    <w:multiLevelType w:val="hybridMultilevel"/>
    <w:lvl w:ilvl="0">
      <w:lvlJc w:val="left"/>
      <w:lvlText w:val="4"/>
      <w:numFmt w:val="bullet"/>
      <w:start w:val="1"/>
    </w:lvl>
  </w:abstractNum>
  <w:abstractNum w:abstractNumId="13">
    <w:nsid w:val="54E49EB4"/>
    <w:multiLevelType w:val="hybridMultilevel"/>
    <w:lvl w:ilvl="0">
      <w:lvlJc w:val="left"/>
      <w:lvlText w:val="5"/>
      <w:numFmt w:val="bullet"/>
      <w:start w:val="1"/>
    </w:lvl>
  </w:abstractNum>
  <w:abstractNum w:abstractNumId="14">
    <w:nsid w:val="71F32454"/>
    <w:multiLevelType w:val="hybridMultilevel"/>
    <w:lvl w:ilvl="0">
      <w:lvlJc w:val="left"/>
      <w:lvlText w:val="6"/>
      <w:numFmt w:val="bullet"/>
      <w:start w:val="1"/>
    </w:lvl>
  </w:abstractNum>
  <w:abstractNum w:abstractNumId="15">
    <w:nsid w:val="2CA88611"/>
    <w:multiLevelType w:val="hybridMultilevel"/>
    <w:lvl w:ilvl="0">
      <w:lvlJc w:val="left"/>
      <w:lvlText w:val="%1"/>
      <w:numFmt w:val="decimal"/>
      <w:start w:val="12"/>
    </w:lvl>
  </w:abstractNum>
  <w:abstractNum w:abstractNumId="16">
    <w:nsid w:val="836C40E"/>
    <w:multiLevelType w:val="hybridMultilevel"/>
    <w:lvl w:ilvl="0">
      <w:lvlJc w:val="left"/>
      <w:lvlText w:val="1"/>
      <w:numFmt w:val="bullet"/>
      <w:start w:val="1"/>
    </w:lvl>
  </w:abstractNum>
  <w:abstractNum w:abstractNumId="17">
    <w:nsid w:val="2901D82"/>
    <w:multiLevelType w:val="hybridMultilevel"/>
    <w:lvl w:ilvl="0">
      <w:lvlJc w:val="left"/>
      <w:lvlText w:val="2"/>
      <w:numFmt w:val="bullet"/>
      <w:start w:val="1"/>
    </w:lvl>
  </w:abstractNum>
  <w:abstractNum w:abstractNumId="18">
    <w:nsid w:val="3A95F874"/>
    <w:multiLevelType w:val="hybridMultilevel"/>
    <w:lvl w:ilvl="0">
      <w:lvlJc w:val="left"/>
      <w:lvlText w:val="3"/>
      <w:numFmt w:val="bullet"/>
      <w:start w:val="1"/>
    </w:lvl>
  </w:abstractNum>
  <w:abstractNum w:abstractNumId="19">
    <w:nsid w:val="8138641"/>
    <w:multiLevelType w:val="hybridMultilevel"/>
    <w:lvl w:ilvl="0">
      <w:lvlJc w:val="left"/>
      <w:lvlText w:val="4"/>
      <w:numFmt w:val="bullet"/>
      <w:start w:val="1"/>
    </w:lvl>
  </w:abstractNum>
  <w:abstractNum w:abstractNumId="20">
    <w:nsid w:val="1E7FF521"/>
    <w:multiLevelType w:val="hybridMultilevel"/>
    <w:lvl w:ilvl="0">
      <w:lvlJc w:val="left"/>
      <w:lvlText w:val="5"/>
      <w:numFmt w:val="bullet"/>
      <w:start w:val="1"/>
    </w:lvl>
  </w:abstractNum>
  <w:abstractNum w:abstractNumId="21">
    <w:nsid w:val="7C3DBD3D"/>
    <w:multiLevelType w:val="hybridMultilevel"/>
    <w:lvl w:ilvl="0">
      <w:lvlJc w:val="left"/>
      <w:lvlText w:val="6"/>
      <w:numFmt w:val="bullet"/>
      <w:start w:val="1"/>
    </w:lvl>
  </w:abstractNum>
  <w:abstractNum w:abstractNumId="22">
    <w:nsid w:val="737B8DDC"/>
    <w:multiLevelType w:val="hybridMultilevel"/>
    <w:lvl w:ilvl="0">
      <w:lvlJc w:val="left"/>
      <w:lvlText w:val="%1"/>
      <w:numFmt w:val="decimal"/>
      <w:start w:val="12"/>
    </w:lvl>
  </w:abstractNum>
  <w:abstractNum w:abstractNumId="23">
    <w:nsid w:val="6CEAF087"/>
    <w:multiLevelType w:val="hybridMultilevel"/>
    <w:lvl w:ilvl="0">
      <w:lvlJc w:val="left"/>
      <w:lvlText w:val="%1"/>
      <w:numFmt w:val="decimal"/>
      <w:start w:val="14"/>
    </w:lvl>
  </w:abstractNum>
  <w:abstractNum w:abstractNumId="24">
    <w:nsid w:val="22221A70"/>
    <w:multiLevelType w:val="hybridMultilevel"/>
    <w:lvl w:ilvl="0">
      <w:lvlJc w:val="left"/>
      <w:lvlText w:val="1"/>
      <w:numFmt w:val="bullet"/>
      <w:start w:val="1"/>
    </w:lvl>
  </w:abstractNum>
  <w:abstractNum w:abstractNumId="25">
    <w:nsid w:val="4516DDE9"/>
    <w:multiLevelType w:val="hybridMultilevel"/>
    <w:lvl w:ilvl="0">
      <w:lvlJc w:val="left"/>
      <w:lvlText w:val="2"/>
      <w:numFmt w:val="bullet"/>
      <w:start w:val="1"/>
    </w:lvl>
  </w:abstractNum>
  <w:abstractNum w:abstractNumId="26">
    <w:nsid w:val="3006C83E"/>
    <w:multiLevelType w:val="hybridMultilevel"/>
    <w:lvl w:ilvl="0">
      <w:lvlJc w:val="left"/>
      <w:lvlText w:val="3"/>
      <w:numFmt w:val="bullet"/>
      <w:start w:val="1"/>
    </w:lvl>
  </w:abstractNum>
  <w:abstractNum w:abstractNumId="27">
    <w:nsid w:val="614FD4A1"/>
    <w:multiLevelType w:val="hybridMultilevel"/>
    <w:lvl w:ilvl="0">
      <w:lvlJc w:val="left"/>
      <w:lvlText w:val="4"/>
      <w:numFmt w:val="bullet"/>
      <w:start w:val="1"/>
    </w:lvl>
  </w:abstractNum>
  <w:abstractNum w:abstractNumId="28">
    <w:nsid w:val="419AC241"/>
    <w:multiLevelType w:val="hybridMultilevel"/>
    <w:lvl w:ilvl="0">
      <w:lvlJc w:val="left"/>
      <w:lvlText w:val="5"/>
      <w:numFmt w:val="bullet"/>
      <w:start w:val="1"/>
    </w:lvl>
  </w:abstractNum>
  <w:abstractNum w:abstractNumId="29">
    <w:nsid w:val="5577F8E1"/>
    <w:multiLevelType w:val="hybridMultilevel"/>
    <w:lvl w:ilvl="0">
      <w:lvlJc w:val="left"/>
      <w:lvlText w:val="6"/>
      <w:numFmt w:val="bullet"/>
      <w:start w:val="1"/>
    </w:lvl>
  </w:abstractNum>
  <w:abstractNum w:abstractNumId="30">
    <w:nsid w:val="440BADFC"/>
    <w:multiLevelType w:val="hybridMultilevel"/>
    <w:lvl w:ilvl="0">
      <w:lvlJc w:val="left"/>
      <w:lvlText w:val="%1"/>
      <w:numFmt w:val="decimal"/>
      <w:start w:val="12"/>
    </w:lvl>
  </w:abstractNum>
  <w:abstractNum w:abstractNumId="31">
    <w:nsid w:val="5072367"/>
    <w:multiLevelType w:val="hybridMultilevel"/>
    <w:lvl w:ilvl="0">
      <w:lvlJc w:val="left"/>
      <w:lvlText w:val="1"/>
      <w:numFmt w:val="bullet"/>
      <w:start w:val="1"/>
    </w:lvl>
  </w:abstractNum>
  <w:abstractNum w:abstractNumId="32">
    <w:nsid w:val="3804823E"/>
    <w:multiLevelType w:val="hybridMultilevel"/>
    <w:lvl w:ilvl="0">
      <w:lvlJc w:val="left"/>
      <w:lvlText w:val="2"/>
      <w:numFmt w:val="bullet"/>
      <w:start w:val="1"/>
    </w:lvl>
  </w:abstractNum>
  <w:abstractNum w:abstractNumId="33">
    <w:nsid w:val="77465F01"/>
    <w:multiLevelType w:val="hybridMultilevel"/>
    <w:lvl w:ilvl="0">
      <w:lvlJc w:val="left"/>
      <w:lvlText w:val="3"/>
      <w:numFmt w:val="bullet"/>
      <w:start w:val="1"/>
    </w:lvl>
  </w:abstractNum>
  <w:abstractNum w:abstractNumId="34">
    <w:nsid w:val="7724C67E"/>
    <w:multiLevelType w:val="hybridMultilevel"/>
    <w:lvl w:ilvl="0">
      <w:lvlJc w:val="left"/>
      <w:lvlText w:val="4"/>
      <w:numFmt w:val="bullet"/>
      <w:start w:val="1"/>
    </w:lvl>
  </w:abstractNum>
  <w:abstractNum w:abstractNumId="35">
    <w:nsid w:val="5C482A97"/>
    <w:multiLevelType w:val="hybridMultilevel"/>
    <w:lvl w:ilvl="0">
      <w:lvlJc w:val="left"/>
      <w:lvlText w:val="5"/>
      <w:numFmt w:val="bullet"/>
      <w:start w:val="1"/>
    </w:lvl>
  </w:abstractNum>
  <w:abstractNum w:abstractNumId="36">
    <w:nsid w:val="2463B9EA"/>
    <w:multiLevelType w:val="hybridMultilevel"/>
    <w:lvl w:ilvl="0">
      <w:lvlJc w:val="left"/>
      <w:lvlText w:val="6"/>
      <w:numFmt w:val="bullet"/>
      <w:start w:val="1"/>
    </w:lvl>
  </w:abstractNum>
  <w:abstractNum w:abstractNumId="37">
    <w:nsid w:val="5E884ADC"/>
    <w:multiLevelType w:val="hybridMultilevel"/>
    <w:lvl w:ilvl="0">
      <w:lvlJc w:val="left"/>
      <w:lvlText w:val="%1"/>
      <w:numFmt w:val="decimal"/>
      <w:start w:val="12"/>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2019-12-06T00:37:45Z</dcterms:created>
  <dcterms:modified xsi:type="dcterms:W3CDTF">2019-12-06T00:37:45Z</dcterms:modified>
</cp:coreProperties>
</file>