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2628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KANTER HARVEY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CANTON</w:t>
      </w:r>
      <w:r>
        <w:rPr>
          <w:sz w:val="20"/>
          <w:szCs w:val="20"/>
          <w:color w:val="auto"/>
        </w:rPr>
        <w:tab/>
      </w:r>
      <w:r>
        <w:rPr>
          <w:rFonts w:ascii="Times New Roman" w:cs="Times New Roman" w:eastAsia="Times New Roman" w:hAnsi="Times New Roman"/>
          <w:sz w:val="16"/>
          <w:szCs w:val="16"/>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3820" w:type="dxa"/>
            <w:vAlign w:val="bottom"/>
            <w:gridSpan w:val="4"/>
          </w:tcPr>
          <w:p>
            <w:pPr>
              <w:ind w:left="60"/>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04/01/2024</w:t>
            </w: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9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0000FF"/>
              </w:rPr>
              <w:t>President and CEO</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spacing w:after="0"/>
              <w:rPr>
                <w:sz w:val="15"/>
                <w:szCs w:val="15"/>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101,760</w:t>
            </w:r>
            <w:r>
              <w:rPr>
                <w:rFonts w:ascii="Times New Roman" w:cs="Times New Roman" w:eastAsia="Times New Roman" w:hAnsi="Times New Roman"/>
                <w:sz w:val="20"/>
                <w:szCs w:val="20"/>
                <w:color w:val="008000"/>
                <w:vertAlign w:val="superscript"/>
              </w:rPr>
              <w:t>(2)</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3"/>
                <w:szCs w:val="13"/>
                <w:color w:val="0000FF"/>
              </w:rPr>
              <w:t>04/01/2024</w:t>
            </w:r>
          </w:p>
        </w:tc>
        <w:tc>
          <w:tcPr>
            <w:tcW w:w="1060" w:type="dxa"/>
            <w:vAlign w:val="bottom"/>
          </w:tcPr>
          <w:p>
            <w:pPr>
              <w:spacing w:after="0"/>
              <w:rPr>
                <w:sz w:val="10"/>
                <w:szCs w:val="10"/>
                <w:color w:val="auto"/>
              </w:rPr>
            </w:pPr>
          </w:p>
        </w:tc>
        <w:tc>
          <w:tcPr>
            <w:tcW w:w="78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101,760</w:t>
            </w: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04/01/2034</w:t>
            </w: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60"/>
              <w:spacing w:after="0" w:line="126" w:lineRule="exact"/>
              <w:rPr>
                <w:sz w:val="20"/>
                <w:szCs w:val="20"/>
                <w:color w:val="auto"/>
              </w:rPr>
            </w:pPr>
            <w:r>
              <w:rPr>
                <w:rFonts w:ascii="Times New Roman" w:cs="Times New Roman" w:eastAsia="Times New Roman" w:hAnsi="Times New Roman"/>
                <w:sz w:val="13"/>
                <w:szCs w:val="13"/>
                <w:color w:val="0000FF"/>
              </w:rPr>
              <w:t>101,760</w:t>
            </w:r>
          </w:p>
        </w:tc>
        <w:tc>
          <w:tcPr>
            <w:tcW w:w="72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2024-2026 Long-Term Incentive Plan award for the Reporting Person. The RSUs vest and become exercisable in four equal installments on April 1, 2025, April 1, 2026, April 1, 2027 and April 1, 2028..</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Harvey S. Kanter</w:t>
            </w:r>
          </w:p>
        </w:tc>
        <w:tc>
          <w:tcPr>
            <w:tcW w:w="10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04/03/2024</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2024-04-03T15:18:50Z</dcterms:created>
  <dcterms:modified xsi:type="dcterms:W3CDTF">2024-04-03T15:18:50Z</dcterms:modified>
</cp:coreProperties>
</file>