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493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4932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CHOPER JESSE 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line="162"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line="115" w:lineRule="exact"/>
              <w:rPr>
                <w:sz w:val="20"/>
                <w:szCs w:val="20"/>
                <w:color w:val="auto"/>
              </w:rPr>
            </w:pPr>
            <w:r>
              <w:rPr>
                <w:rFonts w:ascii="Arial" w:cs="Arial" w:eastAsia="Arial" w:hAnsi="Arial"/>
                <w:sz w:val="11"/>
                <w:szCs w:val="11"/>
                <w:color w:val="0000FF"/>
              </w:rPr>
              <w:t xml:space="preserve">CMRG </w:t>
            </w:r>
            <w:r>
              <w:rPr>
                <w:rFonts w:ascii="Arial" w:cs="Arial" w:eastAsia="Arial" w:hAnsi="Arial"/>
                <w:sz w:val="13"/>
                <w:szCs w:val="13"/>
                <w:color w:val="000000"/>
              </w:rPr>
              <w:t>]</w:t>
            </w: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04/24/2006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6"/>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26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line="20" w:lineRule="exact"/>
              <w:rPr>
                <w:sz w:val="1"/>
                <w:szCs w:val="1"/>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8"/>
            <w:vMerge w:val="continue"/>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gridSpan w:val="5"/>
            <w:vMerge w:val="restart"/>
          </w:tcPr>
          <w:p>
            <w:pPr>
              <w:ind w:left="160"/>
              <w:spacing w:after="0" w:line="189" w:lineRule="exact"/>
              <w:rPr>
                <w:sz w:val="20"/>
                <w:szCs w:val="20"/>
                <w:color w:val="auto"/>
              </w:rPr>
            </w:pPr>
            <w:r>
              <w:rPr>
                <w:rFonts w:ascii="Arial" w:cs="Arial" w:eastAsia="Arial" w:hAnsi="Arial"/>
                <w:sz w:val="18"/>
                <w:szCs w:val="18"/>
                <w:color w:val="0000FF"/>
              </w:rPr>
              <w:t>04/26/2006</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98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9"/>
          </w:tcPr>
          <w:p>
            <w:pPr>
              <w:jc w:val="center"/>
              <w:ind w:right="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04/24/2006</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9"/>
              </w:rPr>
              <w:t>323</w:t>
            </w:r>
          </w:p>
        </w:tc>
        <w:tc>
          <w:tcPr>
            <w:tcW w:w="76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9.27</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56,168</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8"/>
          </w:tcPr>
          <w:p>
            <w:pPr>
              <w:jc w:val="center"/>
              <w:ind w:left="5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40" w:type="dxa"/>
            <w:vAlign w:val="bottom"/>
            <w:gridSpan w:val="15"/>
          </w:tcPr>
          <w:p>
            <w:pPr>
              <w:jc w:val="center"/>
              <w:ind w:left="51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5"/>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issued in lieu of certain director's fees for participation in meetings of the Board of Directors and certain of its committees.</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the original Form 4 filed on April 26, 2006, the number of shares shown as being beneficially owned following the reported transaction was incorrect. Following the transaction reported on the original Form 4, the reporting person actually beneficially owned 56,168 shares of common stock.</w:t>
      </w:r>
    </w:p>
    <w:p>
      <w:pPr>
        <w:ind w:left="6860"/>
        <w:spacing w:after="0" w:line="183" w:lineRule="auto"/>
        <w:rPr>
          <w:sz w:val="20"/>
          <w:szCs w:val="20"/>
          <w:color w:val="auto"/>
        </w:rPr>
      </w:pPr>
      <w:r>
        <w:rPr>
          <w:rFonts w:ascii="Arial" w:cs="Arial" w:eastAsia="Arial" w:hAnsi="Arial"/>
          <w:sz w:val="17"/>
          <w:szCs w:val="17"/>
          <w:color w:val="0000FF"/>
        </w:rPr>
        <w:t xml:space="preserve">Dennis R. Hernreich, Attorney- </w:t>
      </w:r>
      <w:r>
        <w:rPr>
          <w:rFonts w:ascii="Arial" w:cs="Arial" w:eastAsia="Arial" w:hAnsi="Arial"/>
          <w:sz w:val="33"/>
          <w:szCs w:val="33"/>
          <w:color w:val="0000FF"/>
          <w:vertAlign w:val="subscript"/>
        </w:rPr>
        <w:t>05/17/2006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8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Jesse H. Choper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230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301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781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2019-12-16T04:39:08Z</dcterms:created>
  <dcterms:modified xsi:type="dcterms:W3CDTF">2019-12-16T04:39:08Z</dcterms:modified>
</cp:coreProperties>
</file>