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FORM 10-Q</w:t>
      </w: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Quarterly Report Under Section 13 or 15(d)</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of the Securities Exchange Act of 1934</w:t>
      </w:r>
    </w:p>
    <w:p>
      <w:pPr>
        <w:sectPr>
          <w:pgSz w:w="11900" w:h="16838"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Quarter Ended May 4, 1996</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0-15898</w:t>
      </w:r>
    </w:p>
    <w:p>
      <w:pPr>
        <w:spacing w:after="0" w:line="200" w:lineRule="exact"/>
        <w:rPr>
          <w:sz w:val="24"/>
          <w:szCs w:val="24"/>
          <w:color w:val="auto"/>
        </w:rPr>
      </w:pPr>
    </w:p>
    <w:p>
      <w:pPr>
        <w:sectPr>
          <w:pgSz w:w="11900" w:h="16838" w:orient="portrait"/>
          <w:cols w:equalWidth="0" w:num="3">
            <w:col w:w="2980" w:space="720"/>
            <w:col w:w="2320" w:space="300"/>
            <w:col w:w="3899"/>
          </w:cols>
          <w:pgMar w:left="240" w:top="447" w:right="1440" w:bottom="0" w:gutter="0" w:footer="0" w:header="0"/>
          <w:type w:val="continuous"/>
        </w:sectPr>
      </w:pPr>
    </w:p>
    <w:p>
      <w:pPr>
        <w:spacing w:after="0" w:line="22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DESIGNS, INC.</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(Exact name of registrant as</w:t>
      </w:r>
    </w:p>
    <w:p>
      <w:pPr>
        <w:spacing w:after="0" w:line="16"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specified in its charter)</w:t>
      </w:r>
    </w:p>
    <w:p>
      <w:pPr>
        <w:sectPr>
          <w:pgSz w:w="11900" w:h="16838" w:orient="portrait"/>
          <w:cols w:equalWidth="0" w:num="1">
            <w:col w:w="10219"/>
          </w:cols>
          <w:pgMar w:left="240" w:top="447"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 of</w:t>
      </w:r>
    </w:p>
    <w:p>
      <w:pPr>
        <w:spacing w:after="0" w:line="238" w:lineRule="auto"/>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126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 Identification No.)</w:t>
      </w:r>
    </w:p>
    <w:p>
      <w:pPr>
        <w:spacing w:after="0" w:line="402" w:lineRule="exact"/>
        <w:rPr>
          <w:sz w:val="24"/>
          <w:szCs w:val="24"/>
          <w:color w:val="auto"/>
        </w:rPr>
      </w:pPr>
    </w:p>
    <w:p>
      <w:pPr>
        <w:sectPr>
          <w:pgSz w:w="11900" w:h="16838" w:orient="portrait"/>
          <w:cols w:equalWidth="0" w:num="2">
            <w:col w:w="3480" w:space="540"/>
            <w:col w:w="6199"/>
          </w:cols>
          <w:pgMar w:left="240" w:top="447" w:right="1440" w:bottom="0" w:gutter="0" w:footer="0" w:header="0"/>
          <w:type w:val="continuous"/>
        </w:sect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66 B Street, Needham, MA</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02194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(Zip Code)</w:t>
      </w:r>
    </w:p>
    <w:p>
      <w:pPr>
        <w:spacing w:after="0" w:line="200" w:lineRule="exact"/>
        <w:rPr>
          <w:sz w:val="24"/>
          <w:szCs w:val="24"/>
          <w:color w:val="auto"/>
        </w:rPr>
      </w:pPr>
    </w:p>
    <w:p>
      <w:pPr>
        <w:sectPr>
          <w:pgSz w:w="11900" w:h="16838" w:orient="portrait"/>
          <w:cols w:equalWidth="0" w:num="2">
            <w:col w:w="5080" w:space="720"/>
            <w:col w:w="4419"/>
          </w:cols>
          <w:pgMar w:left="240" w:top="447" w:right="1440" w:bottom="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(617) 444-7222</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(Registrant's telephone</w:t>
      </w:r>
    </w:p>
    <w:p>
      <w:pPr>
        <w:spacing w:after="0" w:line="3" w:lineRule="exact"/>
        <w:rPr>
          <w:sz w:val="24"/>
          <w:szCs w:val="24"/>
          <w:color w:val="auto"/>
        </w:rPr>
      </w:pPr>
    </w:p>
    <w:p>
      <w:pPr>
        <w:ind w:left="2960"/>
        <w:spacing w:after="0"/>
        <w:rPr>
          <w:sz w:val="20"/>
          <w:szCs w:val="20"/>
          <w:color w:val="auto"/>
        </w:rPr>
      </w:pPr>
      <w:r>
        <w:rPr>
          <w:rFonts w:ascii="Courier New" w:cs="Courier New" w:eastAsia="Courier New" w:hAnsi="Courier New"/>
          <w:sz w:val="16"/>
          <w:szCs w:val="16"/>
          <w:color w:val="auto"/>
        </w:rPr>
        <w:t>number, including area code)</w:t>
      </w:r>
    </w:p>
    <w:p>
      <w:pPr>
        <w:sectPr>
          <w:pgSz w:w="11900" w:h="16838" w:orient="portrait"/>
          <w:cols w:equalWidth="0" w:num="1">
            <w:col w:w="10219"/>
          </w:cols>
          <w:pgMar w:left="240" w:top="447" w:right="1440" w:bottom="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540" w:type="dxa"/>
            <w:vAlign w:val="bottom"/>
            <w:gridSpan w:val="3"/>
          </w:tcPr>
          <w:p>
            <w:pPr>
              <w:spacing w:after="0"/>
              <w:rPr>
                <w:sz w:val="20"/>
                <w:szCs w:val="20"/>
                <w:color w:val="auto"/>
              </w:rPr>
            </w:pPr>
            <w:r>
              <w:rPr>
                <w:rFonts w:ascii="Courier New" w:cs="Courier New" w:eastAsia="Courier New" w:hAnsi="Courier New"/>
                <w:sz w:val="18"/>
                <w:szCs w:val="18"/>
                <w:color w:val="auto"/>
                <w:w w:val="98"/>
              </w:rPr>
              <w:t>Indicate by "X" whether the registrant (1) has filed</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all reports required to</w:t>
            </w: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be filed by Section 13 or 15(d) of</w:t>
            </w:r>
          </w:p>
        </w:tc>
        <w:tc>
          <w:tcPr>
            <w:tcW w:w="4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Securities Act of 1934 during the</w:t>
            </w:r>
          </w:p>
        </w:tc>
      </w:tr>
      <w:tr>
        <w:trPr>
          <w:trHeight w:val="203"/>
        </w:trPr>
        <w:tc>
          <w:tcPr>
            <w:tcW w:w="5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preceding 12 months (or for such shorter period that</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the registrant was required</w:t>
            </w: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to file such reports), and (2) has</w:t>
            </w:r>
          </w:p>
        </w:tc>
        <w:tc>
          <w:tcPr>
            <w:tcW w:w="4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been subject to such filing requirements for</w:t>
            </w: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past 90 days.</w:t>
            </w:r>
          </w:p>
        </w:tc>
        <w:tc>
          <w:tcPr>
            <w:tcW w:w="19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Yes  X</w:t>
            </w:r>
          </w:p>
        </w:tc>
        <w:tc>
          <w:tcPr>
            <w:tcW w:w="2580" w:type="dxa"/>
            <w:vAlign w:val="bottom"/>
          </w:tcPr>
          <w:p>
            <w:pPr>
              <w:jc w:val="right"/>
              <w:ind w:right="1972"/>
              <w:spacing w:after="0"/>
              <w:rPr>
                <w:sz w:val="20"/>
                <w:szCs w:val="20"/>
                <w:color w:val="auto"/>
              </w:rPr>
            </w:pPr>
            <w:r>
              <w:rPr>
                <w:rFonts w:ascii="Courier New" w:cs="Courier New" w:eastAsia="Courier New" w:hAnsi="Courier New"/>
                <w:sz w:val="18"/>
                <w:szCs w:val="18"/>
                <w:color w:val="auto"/>
              </w:rPr>
              <w:t>No</w:t>
            </w:r>
          </w:p>
        </w:tc>
        <w:tc>
          <w:tcPr>
            <w:tcW w:w="190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03"/>
        </w:trPr>
        <w:tc>
          <w:tcPr>
            <w:tcW w:w="1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5"/>
              </w:rPr>
              <w:t>------</w:t>
            </w:r>
          </w:p>
        </w:tc>
        <w:tc>
          <w:tcPr>
            <w:tcW w:w="258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608"/>
        </w:trPr>
        <w:tc>
          <w:tcPr>
            <w:tcW w:w="5540" w:type="dxa"/>
            <w:vAlign w:val="bottom"/>
            <w:gridSpan w:val="3"/>
          </w:tcPr>
          <w:p>
            <w:pPr>
              <w:spacing w:after="0"/>
              <w:rPr>
                <w:sz w:val="20"/>
                <w:szCs w:val="20"/>
                <w:color w:val="auto"/>
              </w:rPr>
            </w:pPr>
            <w:r>
              <w:rPr>
                <w:rFonts w:ascii="Courier New" w:cs="Courier New" w:eastAsia="Courier New" w:hAnsi="Courier New"/>
                <w:sz w:val="18"/>
                <w:szCs w:val="18"/>
                <w:color w:val="auto"/>
                <w:w w:val="98"/>
              </w:rPr>
              <w:t>Indicate the number of shares outstanding of each of</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the issuer's classes of</w:t>
            </w:r>
          </w:p>
        </w:tc>
      </w:tr>
      <w:tr>
        <w:trPr>
          <w:trHeight w:val="203"/>
        </w:trPr>
        <w:tc>
          <w:tcPr>
            <w:tcW w:w="5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common stock, as of the latest practicable date.</w:t>
            </w:r>
          </w:p>
        </w:tc>
        <w:tc>
          <w:tcPr>
            <w:tcW w:w="2900" w:type="dxa"/>
            <w:vAlign w:val="bottom"/>
          </w:tcPr>
          <w:p>
            <w:pPr>
              <w:spacing w:after="0"/>
              <w:rPr>
                <w:sz w:val="17"/>
                <w:szCs w:val="17"/>
                <w:color w:val="auto"/>
              </w:rPr>
            </w:pPr>
          </w:p>
        </w:tc>
      </w:tr>
      <w:tr>
        <w:trPr>
          <w:trHeight w:val="405"/>
        </w:trPr>
        <w:tc>
          <w:tcPr>
            <w:tcW w:w="1060" w:type="dxa"/>
            <w:vAlign w:val="bottom"/>
          </w:tcPr>
          <w:p>
            <w:pPr>
              <w:spacing w:after="0"/>
              <w:rPr>
                <w:sz w:val="24"/>
                <w:szCs w:val="24"/>
                <w:color w:val="auto"/>
              </w:rPr>
            </w:pPr>
          </w:p>
        </w:tc>
        <w:tc>
          <w:tcPr>
            <w:tcW w:w="2580" w:type="dxa"/>
            <w:vAlign w:val="bottom"/>
          </w:tcPr>
          <w:p>
            <w:pPr>
              <w:jc w:val="right"/>
              <w:ind w:right="1972"/>
              <w:spacing w:after="0"/>
              <w:rPr>
                <w:sz w:val="20"/>
                <w:szCs w:val="20"/>
                <w:color w:val="auto"/>
              </w:rPr>
            </w:pPr>
            <w:r>
              <w:rPr>
                <w:rFonts w:ascii="Courier New" w:cs="Courier New" w:eastAsia="Courier New" w:hAnsi="Courier New"/>
                <w:sz w:val="18"/>
                <w:szCs w:val="18"/>
                <w:color w:val="auto"/>
                <w:w w:val="92"/>
              </w:rPr>
              <w:t>Class</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w w:val="99"/>
              </w:rPr>
              <w:t>Outstanding as of</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May 4, 1996</w:t>
            </w:r>
          </w:p>
        </w:tc>
      </w:tr>
      <w:tr>
        <w:trPr>
          <w:trHeight w:val="203"/>
        </w:trPr>
        <w:tc>
          <w:tcPr>
            <w:tcW w:w="1060" w:type="dxa"/>
            <w:vAlign w:val="bottom"/>
          </w:tcPr>
          <w:p>
            <w:pPr>
              <w:spacing w:after="0"/>
              <w:rPr>
                <w:sz w:val="17"/>
                <w:szCs w:val="17"/>
                <w:color w:val="auto"/>
              </w:rPr>
            </w:pPr>
          </w:p>
        </w:tc>
        <w:tc>
          <w:tcPr>
            <w:tcW w:w="2580" w:type="dxa"/>
            <w:vAlign w:val="bottom"/>
          </w:tcPr>
          <w:p>
            <w:pPr>
              <w:jc w:val="right"/>
              <w:ind w:right="1972"/>
              <w:spacing w:after="0" w:line="203" w:lineRule="exact"/>
              <w:rPr>
                <w:sz w:val="20"/>
                <w:szCs w:val="20"/>
                <w:color w:val="auto"/>
              </w:rPr>
            </w:pPr>
            <w:r>
              <w:rPr>
                <w:rFonts w:ascii="Courier New" w:cs="Courier New" w:eastAsia="Courier New" w:hAnsi="Courier New"/>
                <w:sz w:val="18"/>
                <w:szCs w:val="18"/>
                <w:color w:val="auto"/>
                <w:w w:val="92"/>
              </w:rPr>
              <w:t>-----</w:t>
            </w:r>
          </w:p>
        </w:tc>
        <w:tc>
          <w:tcPr>
            <w:tcW w:w="4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060" w:type="dxa"/>
            <w:vAlign w:val="bottom"/>
          </w:tcPr>
          <w:p>
            <w:pPr>
              <w:spacing w:after="0"/>
              <w:rPr>
                <w:sz w:val="24"/>
                <w:szCs w:val="24"/>
                <w:color w:val="auto"/>
              </w:rPr>
            </w:pPr>
          </w:p>
        </w:tc>
        <w:tc>
          <w:tcPr>
            <w:tcW w:w="2580" w:type="dxa"/>
            <w:vAlign w:val="bottom"/>
          </w:tcPr>
          <w:p>
            <w:pPr>
              <w:jc w:val="right"/>
              <w:ind w:right="1852"/>
              <w:spacing w:after="0"/>
              <w:rPr>
                <w:sz w:val="20"/>
                <w:szCs w:val="20"/>
                <w:color w:val="auto"/>
              </w:rPr>
            </w:pPr>
            <w:r>
              <w:rPr>
                <w:rFonts w:ascii="Courier New" w:cs="Courier New" w:eastAsia="Courier New" w:hAnsi="Courier New"/>
                <w:sz w:val="18"/>
                <w:szCs w:val="18"/>
                <w:color w:val="auto"/>
                <w:w w:val="95"/>
              </w:rPr>
              <w:t>Common</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w w:val="99"/>
              </w:rPr>
              <w:t>15,812,443 shares</w:t>
            </w:r>
          </w:p>
        </w:tc>
        <w:tc>
          <w:tcPr>
            <w:tcW w:w="2900" w:type="dxa"/>
            <w:vAlign w:val="bottom"/>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DESIGNS, INC.</w:t>
            </w: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020" w:type="dxa"/>
            <w:vAlign w:val="bottom"/>
            <w:gridSpan w:val="2"/>
          </w:tcPr>
          <w:p>
            <w:pPr>
              <w:ind w:left="2540"/>
              <w:spacing w:after="0" w:line="203" w:lineRule="exact"/>
              <w:rPr>
                <w:sz w:val="20"/>
                <w:szCs w:val="20"/>
                <w:color w:val="auto"/>
              </w:rPr>
            </w:pPr>
            <w:r>
              <w:rPr>
                <w:rFonts w:ascii="Courier New" w:cs="Courier New" w:eastAsia="Courier New" w:hAnsi="Courier New"/>
                <w:sz w:val="18"/>
                <w:szCs w:val="18"/>
                <w:color w:val="auto"/>
              </w:rPr>
              <w:t>CONSOLIDATED BALANCE SHEETS</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May 4, 1996, April 29, 1995 and</w:t>
            </w:r>
          </w:p>
        </w:tc>
        <w:tc>
          <w:tcPr>
            <w:tcW w:w="22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w w:val="99"/>
              </w:rPr>
              <w:t>February 3, 1996</w:t>
            </w:r>
          </w:p>
        </w:tc>
        <w:tc>
          <w:tcPr>
            <w:tcW w:w="1060" w:type="dxa"/>
            <w:vAlign w:val="bottom"/>
          </w:tcPr>
          <w:p>
            <w:pPr>
              <w:spacing w:after="0"/>
              <w:rPr>
                <w:sz w:val="17"/>
                <w:szCs w:val="17"/>
                <w:color w:val="auto"/>
              </w:rPr>
            </w:pPr>
          </w:p>
        </w:tc>
      </w:tr>
      <w:tr>
        <w:trPr>
          <w:trHeight w:val="203"/>
        </w:trPr>
        <w:tc>
          <w:tcPr>
            <w:tcW w:w="6020" w:type="dxa"/>
            <w:vAlign w:val="bottom"/>
            <w:gridSpan w:val="2"/>
          </w:tcPr>
          <w:p>
            <w:pPr>
              <w:ind w:left="2440"/>
              <w:spacing w:after="0" w:line="203" w:lineRule="exact"/>
              <w:rPr>
                <w:sz w:val="20"/>
                <w:szCs w:val="20"/>
                <w:color w:val="auto"/>
              </w:rPr>
            </w:pPr>
            <w:r>
              <w:rPr>
                <w:rFonts w:ascii="Courier New" w:cs="Courier New" w:eastAsia="Courier New" w:hAnsi="Courier New"/>
                <w:sz w:val="18"/>
                <w:szCs w:val="18"/>
                <w:color w:val="auto"/>
                <w:w w:val="99"/>
              </w:rPr>
              <w:t>(In thousands, except share data)</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800" w:type="dxa"/>
            <w:vAlign w:val="bottom"/>
          </w:tcPr>
          <w:p>
            <w:pPr>
              <w:ind w:left="3580"/>
              <w:spacing w:after="0" w:line="203" w:lineRule="exact"/>
              <w:rPr>
                <w:sz w:val="20"/>
                <w:szCs w:val="20"/>
                <w:color w:val="auto"/>
              </w:rPr>
            </w:pPr>
            <w:r>
              <w:rPr>
                <w:rFonts w:ascii="Courier New" w:cs="Courier New" w:eastAsia="Courier New" w:hAnsi="Courier New"/>
                <w:sz w:val="18"/>
                <w:szCs w:val="18"/>
                <w:color w:val="auto"/>
              </w:rPr>
              <w:t>(Unaudited)</w:t>
            </w: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4800" w:type="dxa"/>
            <w:vAlign w:val="bottom"/>
          </w:tcPr>
          <w:p>
            <w:pPr>
              <w:spacing w:after="0"/>
              <w:rPr>
                <w:sz w:val="24"/>
                <w:szCs w:val="24"/>
                <w:color w:val="auto"/>
              </w:rPr>
            </w:pPr>
          </w:p>
        </w:tc>
        <w:tc>
          <w:tcPr>
            <w:tcW w:w="33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May 4,   April 29, February 3,</w:t>
            </w:r>
          </w:p>
        </w:tc>
      </w:tr>
      <w:tr>
        <w:trPr>
          <w:trHeight w:val="203"/>
        </w:trPr>
        <w:tc>
          <w:tcPr>
            <w:tcW w:w="4800" w:type="dxa"/>
            <w:vAlign w:val="bottom"/>
          </w:tcPr>
          <w:p>
            <w:pPr>
              <w:spacing w:after="0"/>
              <w:rPr>
                <w:sz w:val="17"/>
                <w:szCs w:val="17"/>
                <w:color w:val="auto"/>
              </w:rPr>
            </w:pP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1996</w:t>
            </w:r>
          </w:p>
        </w:tc>
        <w:tc>
          <w:tcPr>
            <w:tcW w:w="1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2"/>
              </w:rPr>
              <w:t>1995</w:t>
            </w:r>
          </w:p>
        </w:tc>
        <w:tc>
          <w:tcPr>
            <w:tcW w:w="1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4800" w:type="dxa"/>
            <w:vAlign w:val="bottom"/>
          </w:tcPr>
          <w:p>
            <w:pPr>
              <w:spacing w:after="0"/>
              <w:rPr>
                <w:sz w:val="17"/>
                <w:szCs w:val="17"/>
                <w:color w:val="auto"/>
              </w:rPr>
            </w:pPr>
          </w:p>
        </w:tc>
        <w:tc>
          <w:tcPr>
            <w:tcW w:w="3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ASSETS</w:t>
            </w: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$ 21,435</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$15,172</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$13,941</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5,978</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576</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473</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64,752</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60,033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58,008</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922</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1,579</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922</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income taxes</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1,154</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126</w:t>
            </w:r>
          </w:p>
        </w:tc>
      </w:tr>
    </w:tbl>
    <w:p>
      <w:pPr>
        <w:sectPr>
          <w:pgSz w:w="11900" w:h="16838" w:orient="portrait"/>
          <w:cols w:equalWidth="0" w:num="1">
            <w:col w:w="10219"/>
          </w:cols>
          <w:pgMar w:left="240" w:top="447" w:right="1440" w:bottom="0" w:gutter="0" w:footer="0" w:header="0"/>
          <w:type w:val="continuous"/>
        </w:sectPr>
      </w:pPr>
    </w:p>
    <w:bookmarkStart w:id="1" w:name="page2"/>
    <w:bookmarkEnd w:id="1"/>
    <w:p>
      <w:pPr>
        <w:spacing w:after="0" w:line="193" w:lineRule="auto"/>
        <w:framePr w:w="400" w:h="146" w:wrap="auto" w:vAnchor="page" w:hAnchor="page" w:x="5900" w:y="9056"/>
        <w:rPr>
          <w:rFonts w:ascii="Courier New" w:cs="Courier New" w:eastAsia="Courier New" w:hAnsi="Courier New"/>
          <w:sz w:val="16"/>
          <w:szCs w:val="16"/>
          <w:color w:val="auto"/>
        </w:rPr>
      </w:pPr>
      <w:r>
        <w:rPr>
          <w:rFonts w:ascii="Courier New" w:cs="Courier New" w:eastAsia="Courier New" w:hAnsi="Courier New"/>
          <w:sz w:val="16"/>
          <w:szCs w:val="16"/>
          <w:color w:val="auto"/>
        </w:rPr>
        <w:t>158</w:t>
      </w:r>
    </w:p>
    <w:p>
      <w:pPr>
        <w:spacing w:after="0" w:line="193" w:lineRule="auto"/>
        <w:framePr w:w="400" w:h="146" w:wrap="auto" w:vAnchor="page" w:hAnchor="page" w:x="6840" w:y="9056"/>
        <w:rPr>
          <w:rFonts w:ascii="Courier New" w:cs="Courier New" w:eastAsia="Courier New" w:hAnsi="Courier New"/>
          <w:sz w:val="16"/>
          <w:szCs w:val="16"/>
          <w:color w:val="auto"/>
        </w:rPr>
      </w:pPr>
      <w:r>
        <w:rPr>
          <w:rFonts w:ascii="Courier New" w:cs="Courier New" w:eastAsia="Courier New" w:hAnsi="Courier New"/>
          <w:sz w:val="16"/>
          <w:szCs w:val="16"/>
          <w:color w:val="auto"/>
        </w:rPr>
        <w:t>157</w:t>
      </w:r>
    </w:p>
    <w:p>
      <w:pPr>
        <w:spacing w:after="0" w:line="193" w:lineRule="auto"/>
        <w:framePr w:w="380" w:h="146" w:wrap="auto" w:vAnchor="page" w:hAnchor="page" w:x="7800" w:y="9056"/>
        <w:rPr>
          <w:rFonts w:ascii="Courier New" w:cs="Courier New" w:eastAsia="Courier New" w:hAnsi="Courier New"/>
          <w:sz w:val="16"/>
          <w:szCs w:val="16"/>
          <w:color w:val="auto"/>
        </w:rPr>
      </w:pPr>
      <w:r>
        <w:rPr>
          <w:rFonts w:ascii="Courier New" w:cs="Courier New" w:eastAsia="Courier New" w:hAnsi="Courier New"/>
          <w:sz w:val="16"/>
          <w:szCs w:val="16"/>
          <w:color w:val="auto"/>
        </w:rPr>
        <w:t>158</w:t>
      </w:r>
    </w:p>
    <w:p>
      <w:pPr>
        <w:spacing w:after="0" w:line="193" w:lineRule="auto"/>
        <w:framePr w:w="2600" w:h="146" w:wrap="auto" w:vAnchor="page" w:hAnchor="page" w:x="5580" w:y="9258"/>
        <w:rPr>
          <w:rFonts w:ascii="Courier New" w:cs="Courier New" w:eastAsia="Courier New" w:hAnsi="Courier New"/>
          <w:sz w:val="16"/>
          <w:szCs w:val="16"/>
          <w:color w:val="auto"/>
        </w:rPr>
      </w:pPr>
      <w:r>
        <w:rPr>
          <w:rFonts w:ascii="Courier New" w:cs="Courier New" w:eastAsia="Courier New" w:hAnsi="Courier New"/>
          <w:sz w:val="16"/>
          <w:szCs w:val="16"/>
          <w:color w:val="auto"/>
        </w:rPr>
        <w:t>52,769   52,629   52,767</w:t>
      </w:r>
    </w:p>
    <w:p>
      <w:pPr>
        <w:spacing w:after="0" w:line="193" w:lineRule="auto"/>
        <w:framePr w:w="2600" w:h="146" w:wrap="auto" w:vAnchor="page" w:hAnchor="page" w:x="5580" w:y="9461"/>
        <w:rPr>
          <w:rFonts w:ascii="Courier New" w:cs="Courier New" w:eastAsia="Courier New" w:hAnsi="Courier New"/>
          <w:sz w:val="16"/>
          <w:szCs w:val="16"/>
          <w:color w:val="auto"/>
        </w:rPr>
      </w:pPr>
      <w:r>
        <w:rPr>
          <w:rFonts w:ascii="Courier New" w:cs="Courier New" w:eastAsia="Courier New" w:hAnsi="Courier New"/>
          <w:sz w:val="16"/>
          <w:szCs w:val="16"/>
          <w:color w:val="auto"/>
        </w:rPr>
        <w:t>51,926   44,753   53,160</w:t>
      </w:r>
    </w:p>
    <w:p>
      <w:pPr>
        <w:spacing w:after="0" w:line="193" w:lineRule="auto"/>
        <w:framePr w:w="2700" w:h="146" w:wrap="auto" w:vAnchor="page" w:hAnchor="page" w:x="5480" w:y="9663"/>
        <w:rPr>
          <w:rFonts w:ascii="Courier New" w:cs="Courier New" w:eastAsia="Courier New" w:hAnsi="Courier New"/>
          <w:sz w:val="16"/>
          <w:szCs w:val="16"/>
          <w:color w:val="auto"/>
        </w:rPr>
      </w:pPr>
      <w:r>
        <w:rPr>
          <w:rFonts w:ascii="Courier New" w:cs="Courier New" w:eastAsia="Courier New" w:hAnsi="Courier New"/>
          <w:sz w:val="16"/>
          <w:szCs w:val="16"/>
          <w:color w:val="auto"/>
        </w:rPr>
        <w:t>_______   ______  _______</w:t>
      </w:r>
    </w:p>
    <w:p>
      <w:pPr>
        <w:spacing w:after="0" w:line="193" w:lineRule="auto"/>
        <w:framePr w:w="2700" w:h="146" w:wrap="auto" w:vAnchor="page" w:hAnchor="page" w:x="5480" w:y="9866"/>
        <w:rPr>
          <w:rFonts w:ascii="Courier New" w:cs="Courier New" w:eastAsia="Courier New" w:hAnsi="Courier New"/>
          <w:sz w:val="16"/>
          <w:szCs w:val="16"/>
          <w:color w:val="auto"/>
        </w:rPr>
      </w:pPr>
      <w:r>
        <w:rPr>
          <w:rFonts w:ascii="Courier New" w:cs="Courier New" w:eastAsia="Courier New" w:hAnsi="Courier New"/>
          <w:sz w:val="16"/>
          <w:szCs w:val="16"/>
          <w:color w:val="auto"/>
        </w:rPr>
        <w:t>104,853   97,539  106,085</w:t>
      </w:r>
    </w:p>
    <w:p>
      <w:pPr>
        <w:spacing w:after="0" w:line="193" w:lineRule="auto"/>
        <w:framePr w:w="2700" w:h="146" w:wrap="auto" w:vAnchor="page" w:hAnchor="page" w:x="5480" w:y="10069"/>
        <w:rPr>
          <w:rFonts w:ascii="Courier New" w:cs="Courier New" w:eastAsia="Courier New" w:hAnsi="Courier New"/>
          <w:sz w:val="16"/>
          <w:szCs w:val="16"/>
          <w:color w:val="auto"/>
        </w:rPr>
      </w:pPr>
      <w:r>
        <w:rPr>
          <w:rFonts w:ascii="Courier New" w:cs="Courier New" w:eastAsia="Courier New" w:hAnsi="Courier New"/>
          <w:sz w:val="16"/>
          <w:szCs w:val="16"/>
          <w:color w:val="auto"/>
        </w:rPr>
        <w:t>_______  _______  _______</w:t>
      </w:r>
    </w:p>
    <w:p>
      <w:pPr>
        <w:spacing w:after="0" w:line="193" w:lineRule="auto"/>
        <w:framePr w:w="2820" w:h="146" w:wrap="auto" w:vAnchor="page" w:hAnchor="page" w:x="5360" w:y="10271"/>
        <w:rPr>
          <w:rFonts w:ascii="Courier New" w:cs="Courier New" w:eastAsia="Courier New" w:hAnsi="Courier New"/>
          <w:sz w:val="16"/>
          <w:szCs w:val="16"/>
          <w:color w:val="auto"/>
        </w:rPr>
      </w:pPr>
      <w:r>
        <w:rPr>
          <w:rFonts w:ascii="Courier New" w:cs="Courier New" w:eastAsia="Courier New" w:hAnsi="Courier New"/>
          <w:sz w:val="16"/>
          <w:szCs w:val="16"/>
          <w:color w:val="auto"/>
        </w:rPr>
        <w:t>$144,694 $127,234 $132,649</w:t>
      </w:r>
    </w:p>
    <w:p>
      <w:pPr>
        <w:spacing w:after="0" w:line="193" w:lineRule="auto"/>
        <w:framePr w:w="2700" w:h="146" w:wrap="auto" w:vAnchor="page" w:hAnchor="page" w:x="5480" w:y="10474"/>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tbl>
      <w:tblPr>
        <w:tblLayout w:type="fixed"/>
        <w:tblInd w:w="0" w:type="dxa"/>
        <w:tblCellMar>
          <w:top w:w="0" w:type="dxa"/>
          <w:left w:w="0" w:type="dxa"/>
          <w:bottom w:w="0" w:type="dxa"/>
          <w:right w:w="0" w:type="dxa"/>
        </w:tblCellMar>
      </w:tblPr>
      <w:tr>
        <w:trPr>
          <w:trHeight w:val="204"/>
        </w:trPr>
        <w:tc>
          <w:tcPr>
            <w:tcW w:w="4800" w:type="dxa"/>
            <w:vAlign w:val="bottom"/>
          </w:tcPr>
          <w:p>
            <w:pPr>
              <w:ind w:left="220"/>
              <w:spacing w:after="0"/>
              <w:rPr>
                <w:sz w:val="20"/>
                <w:szCs w:val="20"/>
                <w:color w:val="auto"/>
              </w:rPr>
            </w:pPr>
            <w:r>
              <w:rPr>
                <w:rFonts w:ascii="Courier New" w:cs="Courier New" w:eastAsia="Courier New" w:hAnsi="Courier New"/>
                <w:sz w:val="18"/>
                <w:szCs w:val="18"/>
                <w:color w:val="auto"/>
              </w:rPr>
              <w:t>Pre-opening costs, net</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492</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1,067</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884</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4,021</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1,223</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3,842</w:t>
            </w:r>
          </w:p>
        </w:tc>
      </w:tr>
      <w:tr>
        <w:trPr>
          <w:trHeight w:val="203"/>
        </w:trPr>
        <w:tc>
          <w:tcPr>
            <w:tcW w:w="48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______</w:t>
            </w:r>
          </w:p>
        </w:tc>
      </w:tr>
      <w:tr>
        <w:trPr>
          <w:trHeight w:val="203"/>
        </w:trPr>
        <w:tc>
          <w:tcPr>
            <w:tcW w:w="4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93,352</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79,897</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84,174</w:t>
            </w:r>
          </w:p>
        </w:tc>
      </w:tr>
      <w:tr>
        <w:trPr>
          <w:trHeight w:val="608"/>
        </w:trPr>
        <w:tc>
          <w:tcPr>
            <w:tcW w:w="4800" w:type="dxa"/>
            <w:vAlign w:val="bottom"/>
          </w:tcPr>
          <w:p>
            <w:pPr>
              <w:spacing w:after="0"/>
              <w:rPr>
                <w:sz w:val="20"/>
                <w:szCs w:val="20"/>
                <w:color w:val="auto"/>
              </w:rPr>
            </w:pPr>
            <w:r>
              <w:rPr>
                <w:rFonts w:ascii="Courier New" w:cs="Courier New" w:eastAsia="Courier New" w:hAnsi="Courier New"/>
                <w:sz w:val="18"/>
                <w:szCs w:val="18"/>
                <w:color w:val="auto"/>
              </w:rPr>
              <w:t>Property and equipment, net of accumulated</w:t>
            </w: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39,281</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28,863</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36,083</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Long-term investments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5,665</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16,161</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6,050</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2,763</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1,620</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2,698</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Intangible assets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2,783</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2,901</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assets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693</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743</w:t>
            </w:r>
          </w:p>
        </w:tc>
      </w:tr>
      <w:tr>
        <w:trPr>
          <w:trHeight w:val="203"/>
        </w:trPr>
        <w:tc>
          <w:tcPr>
            <w:tcW w:w="48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_____</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_____</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_____</w:t>
            </w:r>
          </w:p>
        </w:tc>
      </w:tr>
      <w:tr>
        <w:trPr>
          <w:trHeight w:val="405"/>
        </w:trPr>
        <w:tc>
          <w:tcPr>
            <w:tcW w:w="4800" w:type="dxa"/>
            <w:vAlign w:val="bottom"/>
          </w:tcPr>
          <w:p>
            <w:pPr>
              <w:ind w:left="740"/>
              <w:spacing w:after="0"/>
              <w:rPr>
                <w:sz w:val="20"/>
                <w:szCs w:val="20"/>
                <w:color w:val="auto"/>
              </w:rPr>
            </w:pPr>
            <w:r>
              <w:rPr>
                <w:rFonts w:ascii="Courier New" w:cs="Courier New" w:eastAsia="Courier New" w:hAnsi="Courier New"/>
                <w:sz w:val="18"/>
                <w:szCs w:val="18"/>
                <w:color w:val="auto"/>
              </w:rPr>
              <w:t>Total assets</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$144,694</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4"/>
              </w:rPr>
              <w:t>$127,234</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$132,649</w:t>
            </w:r>
          </w:p>
        </w:tc>
      </w:tr>
      <w:tr>
        <w:trPr>
          <w:trHeight w:val="203"/>
        </w:trPr>
        <w:tc>
          <w:tcPr>
            <w:tcW w:w="48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800" w:type="dxa"/>
            <w:vAlign w:val="bottom"/>
          </w:tcPr>
          <w:p>
            <w:pPr>
              <w:ind w:left="220"/>
              <w:spacing w:after="0"/>
              <w:rPr>
                <w:sz w:val="20"/>
                <w:szCs w:val="20"/>
                <w:color w:val="auto"/>
              </w:rPr>
            </w:pPr>
            <w:r>
              <w:rPr>
                <w:rFonts w:ascii="Courier New" w:cs="Courier New" w:eastAsia="Courier New" w:hAnsi="Courier New"/>
                <w:sz w:val="18"/>
                <w:szCs w:val="18"/>
                <w:color w:val="auto"/>
              </w:rPr>
              <w:t>LIABILITIES AND STOCKHOLDERS' EQUITY</w:t>
            </w: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$20,170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$13,869</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$8,185</w:t>
            </w: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Accrued expenses and other current</w:t>
            </w: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liabilities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9,886</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7,531</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8,346</w:t>
            </w: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Accrued rent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2,414</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2,853</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2,586</w:t>
            </w: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643</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Current portion of long-term note</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500</w:t>
            </w:r>
          </w:p>
        </w:tc>
      </w:tr>
      <w:tr>
        <w:trPr>
          <w:trHeight w:val="203"/>
        </w:trPr>
        <w:tc>
          <w:tcPr>
            <w:tcW w:w="48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______</w:t>
            </w:r>
          </w:p>
        </w:tc>
      </w:tr>
      <w:tr>
        <w:trPr>
          <w:trHeight w:val="203"/>
        </w:trPr>
        <w:tc>
          <w:tcPr>
            <w:tcW w:w="4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33,470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24,896</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19,617</w:t>
            </w:r>
          </w:p>
        </w:tc>
      </w:tr>
      <w:tr>
        <w:trPr>
          <w:trHeight w:val="405"/>
        </w:trPr>
        <w:tc>
          <w:tcPr>
            <w:tcW w:w="4800" w:type="dxa"/>
            <w:vAlign w:val="bottom"/>
          </w:tcPr>
          <w:p>
            <w:pPr>
              <w:ind w:left="220"/>
              <w:spacing w:after="0"/>
              <w:rPr>
                <w:sz w:val="20"/>
                <w:szCs w:val="20"/>
                <w:color w:val="auto"/>
              </w:rPr>
            </w:pPr>
            <w:r>
              <w:rPr>
                <w:rFonts w:ascii="Courier New" w:cs="Courier New" w:eastAsia="Courier New" w:hAnsi="Courier New"/>
                <w:sz w:val="18"/>
                <w:szCs w:val="18"/>
                <w:color w:val="auto"/>
              </w:rPr>
              <w:t>Long-term note payable</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500</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Minority interest (Note 2)</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6,371</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4,799</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6,447</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4" w:lineRule="exact"/>
        <w:rPr>
          <w:rFonts w:ascii="Courier New" w:cs="Courier New" w:eastAsia="Courier New" w:hAnsi="Courier New"/>
          <w:sz w:val="16"/>
          <w:szCs w:val="16"/>
          <w:color w:val="auto"/>
        </w:rPr>
      </w:pPr>
    </w:p>
    <w:p>
      <w:pPr>
        <w:ind w:left="220" w:right="4739"/>
        <w:spacing w:after="0" w:line="235" w:lineRule="auto"/>
        <w:rPr>
          <w:sz w:val="20"/>
          <w:szCs w:val="20"/>
          <w:color w:val="auto"/>
        </w:rPr>
      </w:pPr>
      <w:r>
        <w:rPr>
          <w:rFonts w:ascii="Courier New" w:cs="Courier New" w:eastAsia="Courier New" w:hAnsi="Courier New"/>
          <w:sz w:val="18"/>
          <w:szCs w:val="18"/>
          <w:color w:val="auto"/>
        </w:rPr>
        <w:t>Preferred Stock, $0.01 par value, 1,000,000 shares authorized, none issued</w:t>
      </w:r>
    </w:p>
    <w:p>
      <w:pPr>
        <w:spacing w:after="0" w:line="6" w:lineRule="exact"/>
        <w:rPr>
          <w:rFonts w:ascii="Courier New" w:cs="Courier New" w:eastAsia="Courier New" w:hAnsi="Courier New"/>
          <w:sz w:val="16"/>
          <w:szCs w:val="16"/>
          <w:color w:val="auto"/>
        </w:rPr>
      </w:pPr>
    </w:p>
    <w:p>
      <w:pPr>
        <w:ind w:left="220" w:right="4839"/>
        <w:spacing w:after="0" w:line="268" w:lineRule="auto"/>
        <w:rPr>
          <w:sz w:val="20"/>
          <w:szCs w:val="20"/>
          <w:color w:val="auto"/>
        </w:rPr>
      </w:pPr>
      <w:r>
        <w:rPr>
          <w:rFonts w:ascii="Courier New" w:cs="Courier New" w:eastAsia="Courier New" w:hAnsi="Courier New"/>
          <w:sz w:val="16"/>
          <w:szCs w:val="16"/>
          <w:color w:val="auto"/>
        </w:rPr>
        <w:t>Common Stock, $0.01 par value, 50,000,000 shares authorized, 15,812,000, 15,759,000 and 15,818,000 shares issued at May 4, 1996, April 29, 1995 and</w:t>
      </w:r>
    </w:p>
    <w:p>
      <w:pPr>
        <w:spacing w:after="0" w:line="1" w:lineRule="exact"/>
        <w:rPr>
          <w:rFonts w:ascii="Courier New" w:cs="Courier New" w:eastAsia="Courier New" w:hAnsi="Courier New"/>
          <w:sz w:val="16"/>
          <w:szCs w:val="16"/>
          <w:color w:val="auto"/>
        </w:rPr>
      </w:pPr>
    </w:p>
    <w:p>
      <w:pPr>
        <w:ind w:left="220" w:right="6839"/>
        <w:spacing w:after="0" w:line="236" w:lineRule="auto"/>
        <w:rPr>
          <w:sz w:val="20"/>
          <w:szCs w:val="20"/>
          <w:color w:val="auto"/>
        </w:rPr>
      </w:pPr>
      <w:r>
        <w:rPr>
          <w:rFonts w:ascii="Courier New" w:cs="Courier New" w:eastAsia="Courier New" w:hAnsi="Courier New"/>
          <w:sz w:val="18"/>
          <w:szCs w:val="18"/>
          <w:color w:val="auto"/>
        </w:rPr>
        <w:t>February 3, 1996 respectively Additional paid-in capital Retained earnings</w:t>
      </w:r>
    </w:p>
    <w:p>
      <w:pPr>
        <w:spacing w:after="0" w:line="203" w:lineRule="exact"/>
        <w:rPr>
          <w:rFonts w:ascii="Courier New" w:cs="Courier New" w:eastAsia="Courier New" w:hAnsi="Courier New"/>
          <w:sz w:val="16"/>
          <w:szCs w:val="16"/>
          <w:color w:val="auto"/>
        </w:rPr>
      </w:pPr>
    </w:p>
    <w:p>
      <w:pPr>
        <w:ind w:left="640"/>
        <w:spacing w:after="0"/>
        <w:rPr>
          <w:sz w:val="20"/>
          <w:szCs w:val="20"/>
          <w:color w:val="auto"/>
        </w:rPr>
      </w:pPr>
      <w:r>
        <w:rPr>
          <w:rFonts w:ascii="Courier New" w:cs="Courier New" w:eastAsia="Courier New" w:hAnsi="Courier New"/>
          <w:sz w:val="18"/>
          <w:szCs w:val="18"/>
          <w:color w:val="auto"/>
        </w:rPr>
        <w:t>Total stockholders' equity</w:t>
      </w:r>
    </w:p>
    <w:p>
      <w:pPr>
        <w:spacing w:after="0" w:line="201" w:lineRule="exact"/>
        <w:rPr>
          <w:rFonts w:ascii="Courier New" w:cs="Courier New" w:eastAsia="Courier New" w:hAnsi="Courier New"/>
          <w:sz w:val="16"/>
          <w:szCs w:val="16"/>
          <w:color w:val="auto"/>
        </w:rPr>
      </w:pPr>
    </w:p>
    <w:p>
      <w:pPr>
        <w:ind w:left="640"/>
        <w:spacing w:after="0"/>
        <w:rPr>
          <w:sz w:val="20"/>
          <w:szCs w:val="20"/>
          <w:color w:val="auto"/>
        </w:rPr>
      </w:pPr>
      <w:r>
        <w:rPr>
          <w:rFonts w:ascii="Courier New" w:cs="Courier New" w:eastAsia="Courier New" w:hAnsi="Courier New"/>
          <w:sz w:val="18"/>
          <w:szCs w:val="18"/>
          <w:color w:val="auto"/>
        </w:rPr>
        <w:t>Total liabilities and stockholders'equity</w:t>
      </w:r>
    </w:p>
    <w:p>
      <w:pPr>
        <w:spacing w:after="0" w:line="200" w:lineRule="exact"/>
        <w:rPr>
          <w:rFonts w:ascii="Courier New" w:cs="Courier New" w:eastAsia="Courier New" w:hAnsi="Courier New"/>
          <w:sz w:val="16"/>
          <w:szCs w:val="16"/>
          <w:color w:val="auto"/>
        </w:rPr>
      </w:pPr>
    </w:p>
    <w:p>
      <w:pPr>
        <w:spacing w:after="0" w:line="204" w:lineRule="exact"/>
        <w:rPr>
          <w:rFonts w:ascii="Courier New" w:cs="Courier New" w:eastAsia="Courier New" w:hAnsi="Courier New"/>
          <w:sz w:val="16"/>
          <w:szCs w:val="16"/>
          <w:color w:val="auto"/>
        </w:rPr>
      </w:pPr>
    </w:p>
    <w:p>
      <w:pPr>
        <w:jc w:val="center"/>
        <w:ind w:right="1459"/>
        <w:spacing w:after="0"/>
        <w:rPr>
          <w:sz w:val="20"/>
          <w:szCs w:val="20"/>
          <w:color w:val="auto"/>
        </w:rPr>
      </w:pPr>
      <w:r>
        <w:rPr>
          <w:rFonts w:ascii="Courier New" w:cs="Courier New" w:eastAsia="Courier New" w:hAnsi="Courier New"/>
          <w:sz w:val="18"/>
          <w:szCs w:val="18"/>
          <w:color w:val="auto"/>
        </w:rPr>
        <w:t>The accompanying notes are an integral part of the consolidated</w:t>
      </w:r>
    </w:p>
    <w:p>
      <w:pPr>
        <w:jc w:val="center"/>
        <w:ind w:right="123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136" w:right="1440" w:bottom="1440" w:gutter="0" w:footer="0" w:header="0"/>
        </w:sectPr>
      </w:pPr>
    </w:p>
    <w:bookmarkStart w:id="2" w:name="page3"/>
    <w:bookmarkEnd w:id="2"/>
    <w:p>
      <w:pPr>
        <w:jc w:val="center"/>
        <w:ind w:right="2299"/>
        <w:spacing w:after="0"/>
        <w:rPr>
          <w:sz w:val="20"/>
          <w:szCs w:val="20"/>
          <w:color w:val="auto"/>
        </w:rPr>
      </w:pPr>
      <w:r>
        <w:rPr>
          <w:rFonts w:ascii="Courier New" w:cs="Courier New" w:eastAsia="Courier New" w:hAnsi="Courier New"/>
          <w:sz w:val="18"/>
          <w:szCs w:val="18"/>
          <w:color w:val="auto"/>
        </w:rPr>
        <w:t>DESIGNS, INC.</w:t>
      </w:r>
    </w:p>
    <w:p>
      <w:pPr>
        <w:jc w:val="center"/>
        <w:ind w:right="2299"/>
        <w:spacing w:after="0" w:line="238" w:lineRule="auto"/>
        <w:rPr>
          <w:sz w:val="20"/>
          <w:szCs w:val="20"/>
          <w:color w:val="auto"/>
        </w:rPr>
      </w:pPr>
      <w:r>
        <w:rPr>
          <w:rFonts w:ascii="Courier New" w:cs="Courier New" w:eastAsia="Courier New" w:hAnsi="Courier New"/>
          <w:sz w:val="18"/>
          <w:szCs w:val="18"/>
          <w:color w:val="auto"/>
        </w:rPr>
        <w:t>CONSOLIDATED STATEMENTS OF INCOME</w:t>
      </w:r>
    </w:p>
    <w:p>
      <w:pPr>
        <w:jc w:val="center"/>
        <w:ind w:right="2299"/>
        <w:spacing w:after="0"/>
        <w:rPr>
          <w:sz w:val="20"/>
          <w:szCs w:val="20"/>
          <w:color w:val="auto"/>
        </w:rPr>
      </w:pPr>
      <w:r>
        <w:rPr>
          <w:rFonts w:ascii="Courier New" w:cs="Courier New" w:eastAsia="Courier New" w:hAnsi="Courier New"/>
          <w:sz w:val="18"/>
          <w:szCs w:val="18"/>
          <w:color w:val="auto"/>
        </w:rPr>
        <w:t>(In thousands, except per share data)</w:t>
      </w:r>
    </w:p>
    <w:p>
      <w:pPr>
        <w:jc w:val="center"/>
        <w:ind w:right="2299"/>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Three Months Ended</w:t>
            </w:r>
          </w:p>
        </w:tc>
        <w:tc>
          <w:tcPr>
            <w:tcW w:w="238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rPr>
              <w:t>Twelve Months Ended</w:t>
            </w:r>
          </w:p>
        </w:tc>
      </w:tr>
      <w:tr>
        <w:trPr>
          <w:trHeight w:val="203"/>
        </w:trPr>
        <w:tc>
          <w:tcPr>
            <w:tcW w:w="3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3"/>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May 4,</w:t>
            </w: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April 29,</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May 4,</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April 29,</w:t>
            </w:r>
          </w:p>
        </w:tc>
      </w:tr>
      <w:tr>
        <w:trPr>
          <w:trHeight w:val="203"/>
        </w:trPr>
        <w:tc>
          <w:tcPr>
            <w:tcW w:w="3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1996</w:t>
            </w:r>
          </w:p>
        </w:tc>
        <w:tc>
          <w:tcPr>
            <w:tcW w:w="420" w:type="dxa"/>
            <w:vAlign w:val="bottom"/>
          </w:tcPr>
          <w:p>
            <w:pPr>
              <w:spacing w:after="0"/>
              <w:rPr>
                <w:sz w:val="17"/>
                <w:szCs w:val="17"/>
                <w:color w:val="auto"/>
              </w:rPr>
            </w:pP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1995</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1996</w:t>
            </w:r>
          </w:p>
        </w:tc>
        <w:tc>
          <w:tcPr>
            <w:tcW w:w="3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3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______</w:t>
            </w:r>
          </w:p>
        </w:tc>
        <w:tc>
          <w:tcPr>
            <w:tcW w:w="14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________</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______</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59,336</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5"/>
              </w:rPr>
              <w:t>57,337</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$ 302,932</w:t>
            </w:r>
          </w:p>
        </w:tc>
        <w:tc>
          <w:tcPr>
            <w:tcW w:w="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274,287</w:t>
            </w: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Cost of goods sold including</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occupancy</w:t>
            </w:r>
          </w:p>
        </w:tc>
        <w:tc>
          <w:tcPr>
            <w:tcW w:w="16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43,179</w:t>
            </w:r>
          </w:p>
        </w:tc>
        <w:tc>
          <w:tcPr>
            <w:tcW w:w="4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41,140</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213,895</w:t>
            </w:r>
          </w:p>
        </w:tc>
        <w:tc>
          <w:tcPr>
            <w:tcW w:w="32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187,173</w:t>
            </w:r>
          </w:p>
        </w:tc>
      </w:tr>
      <w:tr>
        <w:trPr>
          <w:trHeight w:val="203"/>
        </w:trPr>
        <w:tc>
          <w:tcPr>
            <w:tcW w:w="3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Gross profit</w:t>
            </w:r>
          </w:p>
        </w:tc>
        <w:tc>
          <w:tcPr>
            <w:tcW w:w="160" w:type="dxa"/>
            <w:vAlign w:val="bottom"/>
          </w:tcPr>
          <w:p>
            <w:pPr>
              <w:spacing w:after="0"/>
              <w:rPr>
                <w:sz w:val="24"/>
                <w:szCs w:val="24"/>
                <w:color w:val="auto"/>
              </w:rPr>
            </w:pP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16,157</w:t>
            </w:r>
          </w:p>
        </w:tc>
        <w:tc>
          <w:tcPr>
            <w:tcW w:w="420" w:type="dxa"/>
            <w:vAlign w:val="bottom"/>
          </w:tcPr>
          <w:p>
            <w:pPr>
              <w:spacing w:after="0"/>
              <w:rPr>
                <w:sz w:val="24"/>
                <w:szCs w:val="24"/>
                <w:color w:val="auto"/>
              </w:rPr>
            </w:pPr>
          </w:p>
        </w:tc>
        <w:tc>
          <w:tcPr>
            <w:tcW w:w="100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5"/>
              </w:rPr>
              <w:t>16,197</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89,037</w:t>
            </w:r>
          </w:p>
        </w:tc>
        <w:tc>
          <w:tcPr>
            <w:tcW w:w="32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87,114</w:t>
            </w: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administrative</w:t>
            </w:r>
          </w:p>
        </w:tc>
        <w:tc>
          <w:tcPr>
            <w:tcW w:w="16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16,060</w:t>
            </w:r>
          </w:p>
        </w:tc>
        <w:tc>
          <w:tcPr>
            <w:tcW w:w="4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14,176</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70,991</w:t>
            </w:r>
          </w:p>
        </w:tc>
        <w:tc>
          <w:tcPr>
            <w:tcW w:w="32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55,802</w:t>
            </w: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Restructuring (income)</w:t>
            </w:r>
          </w:p>
        </w:tc>
        <w:tc>
          <w:tcPr>
            <w:tcW w:w="16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(2,200)</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(5,400)</w:t>
            </w:r>
          </w:p>
        </w:tc>
      </w:tr>
      <w:tr>
        <w:trPr>
          <w:trHeight w:val="203"/>
        </w:trPr>
        <w:tc>
          <w:tcPr>
            <w:tcW w:w="32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8"/>
              </w:rPr>
              <w:t>Depreciation and amortization</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2,484</w:t>
            </w:r>
          </w:p>
        </w:tc>
        <w:tc>
          <w:tcPr>
            <w:tcW w:w="4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1,864</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7,253</w:t>
            </w:r>
          </w:p>
        </w:tc>
        <w:tc>
          <w:tcPr>
            <w:tcW w:w="32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7,112</w:t>
            </w:r>
          </w:p>
        </w:tc>
      </w:tr>
      <w:tr>
        <w:trPr>
          <w:trHeight w:val="203"/>
        </w:trPr>
        <w:tc>
          <w:tcPr>
            <w:tcW w:w="3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expenses</w:t>
            </w:r>
          </w:p>
        </w:tc>
        <w:tc>
          <w:tcPr>
            <w:tcW w:w="16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18,544</w:t>
            </w:r>
          </w:p>
        </w:tc>
        <w:tc>
          <w:tcPr>
            <w:tcW w:w="4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13,840</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78,244</w:t>
            </w:r>
          </w:p>
        </w:tc>
        <w:tc>
          <w:tcPr>
            <w:tcW w:w="32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57,514</w:t>
            </w:r>
          </w:p>
        </w:tc>
      </w:tr>
      <w:tr>
        <w:trPr>
          <w:trHeight w:val="203"/>
        </w:trPr>
        <w:tc>
          <w:tcPr>
            <w:tcW w:w="3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Operating income (loss)</w:t>
            </w:r>
          </w:p>
        </w:tc>
        <w:tc>
          <w:tcPr>
            <w:tcW w:w="160" w:type="dxa"/>
            <w:vAlign w:val="bottom"/>
          </w:tcPr>
          <w:p>
            <w:pPr>
              <w:spacing w:after="0"/>
              <w:rPr>
                <w:sz w:val="24"/>
                <w:szCs w:val="24"/>
                <w:color w:val="auto"/>
              </w:rPr>
            </w:pP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(2,387)</w:t>
            </w:r>
          </w:p>
        </w:tc>
        <w:tc>
          <w:tcPr>
            <w:tcW w:w="420" w:type="dxa"/>
            <w:vAlign w:val="bottom"/>
          </w:tcPr>
          <w:p>
            <w:pPr>
              <w:spacing w:after="0"/>
              <w:rPr>
                <w:sz w:val="24"/>
                <w:szCs w:val="24"/>
                <w:color w:val="auto"/>
              </w:rPr>
            </w:pPr>
          </w:p>
        </w:tc>
        <w:tc>
          <w:tcPr>
            <w:tcW w:w="10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2,357</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10,793</w:t>
            </w:r>
          </w:p>
        </w:tc>
        <w:tc>
          <w:tcPr>
            <w:tcW w:w="32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29,600</w:t>
            </w: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160" w:type="dxa"/>
            <w:vAlign w:val="bottom"/>
          </w:tcPr>
          <w:p>
            <w:pPr>
              <w:spacing w:after="0"/>
              <w:rPr>
                <w:sz w:val="24"/>
                <w:szCs w:val="24"/>
                <w:color w:val="auto"/>
              </w:rPr>
            </w:pP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44</w:t>
            </w:r>
          </w:p>
        </w:tc>
        <w:tc>
          <w:tcPr>
            <w:tcW w:w="420" w:type="dxa"/>
            <w:vAlign w:val="bottom"/>
          </w:tcPr>
          <w:p>
            <w:pPr>
              <w:spacing w:after="0"/>
              <w:rPr>
                <w:sz w:val="24"/>
                <w:szCs w:val="24"/>
                <w:color w:val="auto"/>
              </w:rPr>
            </w:pPr>
          </w:p>
        </w:tc>
        <w:tc>
          <w:tcPr>
            <w:tcW w:w="10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22</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218</w:t>
            </w:r>
          </w:p>
        </w:tc>
        <w:tc>
          <w:tcPr>
            <w:tcW w:w="32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110</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16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318</w:t>
            </w:r>
          </w:p>
        </w:tc>
        <w:tc>
          <w:tcPr>
            <w:tcW w:w="4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471</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1,438</w:t>
            </w:r>
          </w:p>
        </w:tc>
        <w:tc>
          <w:tcPr>
            <w:tcW w:w="32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1,546</w:t>
            </w:r>
          </w:p>
        </w:tc>
      </w:tr>
      <w:tr>
        <w:trPr>
          <w:trHeight w:val="203"/>
        </w:trPr>
        <w:tc>
          <w:tcPr>
            <w:tcW w:w="3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060" w:type="dxa"/>
            <w:vAlign w:val="bottom"/>
          </w:tcPr>
          <w:p>
            <w:pPr>
              <w:spacing w:after="0"/>
              <w:rPr>
                <w:sz w:val="20"/>
                <w:szCs w:val="20"/>
                <w:color w:val="auto"/>
              </w:rPr>
            </w:pPr>
            <w:r>
              <w:rPr>
                <w:rFonts w:ascii="Courier New" w:cs="Courier New" w:eastAsia="Courier New" w:hAnsi="Courier New"/>
                <w:sz w:val="18"/>
                <w:szCs w:val="18"/>
                <w:color w:val="auto"/>
                <w:w w:val="97"/>
              </w:rPr>
              <w:t>Income (loss) before minority</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and income taxes</w:t>
            </w:r>
          </w:p>
        </w:tc>
        <w:tc>
          <w:tcPr>
            <w:tcW w:w="1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(2,113)</w:t>
            </w:r>
          </w:p>
        </w:tc>
        <w:tc>
          <w:tcPr>
            <w:tcW w:w="4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2,806</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12,013</w:t>
            </w:r>
          </w:p>
        </w:tc>
        <w:tc>
          <w:tcPr>
            <w:tcW w:w="32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31,036</w:t>
            </w: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Less minority interest</w:t>
            </w:r>
          </w:p>
        </w:tc>
        <w:tc>
          <w:tcPr>
            <w:tcW w:w="160" w:type="dxa"/>
            <w:vAlign w:val="bottom"/>
          </w:tcPr>
          <w:p>
            <w:pPr>
              <w:spacing w:after="0"/>
              <w:rPr>
                <w:sz w:val="24"/>
                <w:szCs w:val="24"/>
                <w:color w:val="auto"/>
              </w:rPr>
            </w:pP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(145)</w:t>
            </w:r>
          </w:p>
        </w:tc>
        <w:tc>
          <w:tcPr>
            <w:tcW w:w="420" w:type="dxa"/>
            <w:vAlign w:val="bottom"/>
          </w:tcPr>
          <w:p>
            <w:pPr>
              <w:spacing w:after="0"/>
              <w:rPr>
                <w:sz w:val="24"/>
                <w:szCs w:val="24"/>
                <w:color w:val="auto"/>
              </w:rPr>
            </w:pPr>
          </w:p>
        </w:tc>
        <w:tc>
          <w:tcPr>
            <w:tcW w:w="10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91</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140</w:t>
            </w:r>
          </w:p>
        </w:tc>
        <w:tc>
          <w:tcPr>
            <w:tcW w:w="32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91</w:t>
            </w:r>
          </w:p>
        </w:tc>
      </w:tr>
      <w:tr>
        <w:trPr>
          <w:trHeight w:val="203"/>
        </w:trPr>
        <w:tc>
          <w:tcPr>
            <w:tcW w:w="3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Income (loss) before</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1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(1,968)</w:t>
            </w:r>
          </w:p>
        </w:tc>
        <w:tc>
          <w:tcPr>
            <w:tcW w:w="4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2,715</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11,873</w:t>
            </w:r>
          </w:p>
        </w:tc>
        <w:tc>
          <w:tcPr>
            <w:tcW w:w="32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30,945</w:t>
            </w: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Provision (benefit) for</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1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(823)</w:t>
            </w:r>
          </w:p>
        </w:tc>
        <w:tc>
          <w:tcPr>
            <w:tcW w:w="4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1,118</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4,819</w:t>
            </w:r>
          </w:p>
        </w:tc>
        <w:tc>
          <w:tcPr>
            <w:tcW w:w="32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12,545</w:t>
            </w:r>
          </w:p>
        </w:tc>
      </w:tr>
      <w:tr>
        <w:trPr>
          <w:trHeight w:val="203"/>
        </w:trPr>
        <w:tc>
          <w:tcPr>
            <w:tcW w:w="3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Net income (loss)</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(1,145)</w:t>
            </w:r>
          </w:p>
        </w:tc>
        <w:tc>
          <w:tcPr>
            <w:tcW w:w="420" w:type="dxa"/>
            <w:vAlign w:val="bottom"/>
          </w:tcPr>
          <w:p>
            <w:pPr>
              <w:ind w:left="320"/>
              <w:spacing w:after="0"/>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1,597</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$ 7,054</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18,400</w:t>
            </w:r>
          </w:p>
        </w:tc>
      </w:tr>
      <w:tr>
        <w:trPr>
          <w:trHeight w:val="203"/>
        </w:trPr>
        <w:tc>
          <w:tcPr>
            <w:tcW w:w="3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060" w:type="dxa"/>
            <w:vAlign w:val="bottom"/>
          </w:tcPr>
          <w:p>
            <w:pPr>
              <w:spacing w:after="0"/>
              <w:rPr>
                <w:sz w:val="20"/>
                <w:szCs w:val="20"/>
                <w:color w:val="auto"/>
              </w:rPr>
            </w:pPr>
            <w:r>
              <w:rPr>
                <w:rFonts w:ascii="Courier New" w:cs="Courier New" w:eastAsia="Courier New" w:hAnsi="Courier New"/>
                <w:sz w:val="18"/>
                <w:szCs w:val="18"/>
                <w:color w:val="auto"/>
              </w:rPr>
              <w:t>Net income (loss) per common</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and common equivalent share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(0.07)</w:t>
            </w:r>
          </w:p>
        </w:tc>
        <w:tc>
          <w:tcPr>
            <w:tcW w:w="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0.10</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$ 0.45</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1.16</w:t>
            </w: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Weighted average common and</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equivalent shares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w:t>
            </w:r>
          </w:p>
        </w:tc>
        <w:tc>
          <w:tcPr>
            <w:tcW w:w="16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15,812</w:t>
            </w:r>
          </w:p>
        </w:tc>
        <w:tc>
          <w:tcPr>
            <w:tcW w:w="4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15,756</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15,778</w:t>
            </w:r>
          </w:p>
        </w:tc>
        <w:tc>
          <w:tcPr>
            <w:tcW w:w="32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15,867</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8"/>
          <w:szCs w:val="18"/>
          <w:color w:val="auto"/>
        </w:rPr>
        <w:t>The accompanying notes are an integral part of the consolidated financial</w:t>
      </w:r>
    </w:p>
    <w:p>
      <w:pPr>
        <w:jc w:val="center"/>
        <w:ind w:right="2299"/>
        <w:spacing w:after="0" w:line="238" w:lineRule="auto"/>
        <w:rPr>
          <w:sz w:val="20"/>
          <w:szCs w:val="20"/>
          <w:color w:val="auto"/>
        </w:rPr>
      </w:pPr>
      <w:r>
        <w:rPr>
          <w:rFonts w:ascii="Courier New" w:cs="Courier New" w:eastAsia="Courier New" w:hAnsi="Courier New"/>
          <w:sz w:val="18"/>
          <w:szCs w:val="18"/>
          <w:color w:val="auto"/>
        </w:rPr>
        <w:t>statements.</w:t>
      </w:r>
    </w:p>
    <w:p>
      <w:pPr>
        <w:sectPr>
          <w:pgSz w:w="11900" w:h="16838" w:orient="portrait"/>
          <w:cols w:equalWidth="0" w:num="1">
            <w:col w:w="10219"/>
          </w:cols>
          <w:pgMar w:left="240" w:top="717" w:right="1440" w:bottom="1440" w:gutter="0" w:footer="0" w:header="0"/>
        </w:sectPr>
      </w:pPr>
    </w:p>
    <w:bookmarkStart w:id="3" w:name="page4"/>
    <w:bookmarkEnd w:id="3"/>
    <w:p>
      <w:pPr>
        <w:ind w:left="3280"/>
        <w:spacing w:after="0"/>
        <w:rPr>
          <w:sz w:val="20"/>
          <w:szCs w:val="20"/>
          <w:color w:val="auto"/>
        </w:rPr>
      </w:pPr>
      <w:r>
        <w:rPr>
          <w:rFonts w:ascii="Courier New" w:cs="Courier New" w:eastAsia="Courier New" w:hAnsi="Courier New"/>
          <w:sz w:val="18"/>
          <w:szCs w:val="18"/>
          <w:color w:val="auto"/>
        </w:rPr>
        <w:t>DESIGNS, INC.</w:t>
      </w:r>
    </w:p>
    <w:p>
      <w:pPr>
        <w:ind w:left="2740"/>
        <w:spacing w:after="0" w:line="238" w:lineRule="auto"/>
        <w:rPr>
          <w:sz w:val="20"/>
          <w:szCs w:val="20"/>
          <w:color w:val="auto"/>
        </w:rPr>
      </w:pPr>
      <w:r>
        <w:rPr>
          <w:rFonts w:ascii="Courier New" w:cs="Courier New" w:eastAsia="Courier New" w:hAnsi="Courier New"/>
          <w:sz w:val="18"/>
          <w:szCs w:val="18"/>
          <w:color w:val="auto"/>
        </w:rPr>
        <w:t>STATEMENTS OF CASH FLOWS</w:t>
      </w:r>
    </w:p>
    <w:p>
      <w:pPr>
        <w:ind w:left="2740"/>
        <w:spacing w:after="0"/>
        <w:rPr>
          <w:sz w:val="20"/>
          <w:szCs w:val="20"/>
          <w:color w:val="auto"/>
        </w:rPr>
      </w:pPr>
      <w:r>
        <w:rPr>
          <w:rFonts w:ascii="Courier New" w:cs="Courier New" w:eastAsia="Courier New" w:hAnsi="Courier New"/>
          <w:sz w:val="18"/>
          <w:szCs w:val="18"/>
          <w:color w:val="auto"/>
        </w:rPr>
        <w:t>(In thousands- 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80" w:type="dxa"/>
            <w:vAlign w:val="bottom"/>
          </w:tcPr>
          <w:p>
            <w:pPr>
              <w:spacing w:after="0"/>
              <w:rPr>
                <w:sz w:val="17"/>
                <w:szCs w:val="17"/>
                <w:color w:val="auto"/>
              </w:rPr>
            </w:pPr>
          </w:p>
        </w:tc>
        <w:tc>
          <w:tcPr>
            <w:tcW w:w="2320" w:type="dxa"/>
            <w:vAlign w:val="bottom"/>
            <w:gridSpan w:val="4"/>
          </w:tcPr>
          <w:p>
            <w:pPr>
              <w:jc w:val="right"/>
              <w:ind w:right="332"/>
              <w:spacing w:after="0"/>
              <w:rPr>
                <w:sz w:val="20"/>
                <w:szCs w:val="20"/>
                <w:color w:val="auto"/>
              </w:rPr>
            </w:pPr>
            <w:r>
              <w:rPr>
                <w:rFonts w:ascii="Courier New" w:cs="Courier New" w:eastAsia="Courier New" w:hAnsi="Courier New"/>
                <w:sz w:val="18"/>
                <w:szCs w:val="18"/>
                <w:color w:val="auto"/>
                <w:w w:val="96"/>
              </w:rPr>
              <w:t>Three Months Ended</w:t>
            </w:r>
          </w:p>
        </w:tc>
      </w:tr>
      <w:tr>
        <w:trPr>
          <w:trHeight w:val="203"/>
        </w:trPr>
        <w:tc>
          <w:tcPr>
            <w:tcW w:w="5480" w:type="dxa"/>
            <w:vAlign w:val="bottom"/>
          </w:tcPr>
          <w:p>
            <w:pPr>
              <w:spacing w:after="0"/>
              <w:rPr>
                <w:sz w:val="17"/>
                <w:szCs w:val="17"/>
                <w:color w:val="auto"/>
              </w:rPr>
            </w:pPr>
          </w:p>
        </w:tc>
        <w:tc>
          <w:tcPr>
            <w:tcW w:w="2320" w:type="dxa"/>
            <w:vAlign w:val="bottom"/>
            <w:gridSpan w:val="4"/>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480" w:type="dxa"/>
            <w:vAlign w:val="bottom"/>
          </w:tcPr>
          <w:p>
            <w:pPr>
              <w:spacing w:after="0"/>
              <w:rPr>
                <w:sz w:val="17"/>
                <w:szCs w:val="17"/>
                <w:color w:val="auto"/>
              </w:rPr>
            </w:pPr>
          </w:p>
        </w:tc>
        <w:tc>
          <w:tcPr>
            <w:tcW w:w="12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May 4,</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April 29,</w:t>
            </w: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1996</w:t>
            </w:r>
          </w:p>
        </w:tc>
        <w:tc>
          <w:tcPr>
            <w:tcW w:w="2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5480" w:type="dxa"/>
            <w:vAlign w:val="bottom"/>
          </w:tcPr>
          <w:p>
            <w:pPr>
              <w:spacing w:after="0"/>
              <w:rPr>
                <w:sz w:val="17"/>
                <w:szCs w:val="17"/>
                <w:color w:val="auto"/>
              </w:rPr>
            </w:pPr>
          </w:p>
        </w:tc>
        <w:tc>
          <w:tcPr>
            <w:tcW w:w="12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480" w:type="dxa"/>
            <w:vAlign w:val="bottom"/>
          </w:tcPr>
          <w:p>
            <w:pPr>
              <w:ind w:left="120"/>
              <w:spacing w:after="0"/>
              <w:rPr>
                <w:sz w:val="20"/>
                <w:szCs w:val="20"/>
                <w:color w:val="auto"/>
              </w:rPr>
            </w:pPr>
            <w:r>
              <w:rPr>
                <w:rFonts w:ascii="Courier New" w:cs="Courier New" w:eastAsia="Courier New" w:hAnsi="Courier New"/>
                <w:sz w:val="18"/>
                <w:szCs w:val="18"/>
                <w:color w:val="auto"/>
              </w:rPr>
              <w:t>Net (loss) income</w:t>
            </w:r>
          </w:p>
        </w:tc>
        <w:tc>
          <w:tcPr>
            <w:tcW w:w="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(1,145)</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1,597</w:t>
            </w:r>
          </w:p>
        </w:tc>
      </w:tr>
      <w:tr>
        <w:trPr>
          <w:trHeight w:val="203"/>
        </w:trPr>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Adjustments to reconcile to net cash</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provided by operating activities:</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32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2,484</w:t>
            </w:r>
          </w:p>
        </w:tc>
        <w:tc>
          <w:tcPr>
            <w:tcW w:w="2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1,864</w:t>
            </w:r>
          </w:p>
        </w:tc>
      </w:tr>
      <w:tr>
        <w:trPr>
          <w:trHeight w:val="203"/>
        </w:trPr>
        <w:tc>
          <w:tcPr>
            <w:tcW w:w="5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w:t>
            </w:r>
          </w:p>
        </w:tc>
        <w:tc>
          <w:tcPr>
            <w:tcW w:w="2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Minority interest</w:t>
            </w: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(145)</w:t>
            </w:r>
          </w:p>
        </w:tc>
        <w:tc>
          <w:tcPr>
            <w:tcW w:w="2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91</w:t>
            </w:r>
          </w:p>
        </w:tc>
      </w:tr>
      <w:tr>
        <w:trPr>
          <w:trHeight w:val="203"/>
        </w:trPr>
        <w:tc>
          <w:tcPr>
            <w:tcW w:w="5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Loss on sale of investments</w:t>
            </w:r>
          </w:p>
        </w:tc>
        <w:tc>
          <w:tcPr>
            <w:tcW w:w="32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w:t>
            </w:r>
          </w:p>
        </w:tc>
        <w:tc>
          <w:tcPr>
            <w:tcW w:w="2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7"/>
              </w:rPr>
              <w:t>(Gain) loss from disposal of property and equipment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w:t>
            </w:r>
          </w:p>
        </w:tc>
      </w:tr>
      <w:tr>
        <w:trPr>
          <w:trHeight w:val="405"/>
        </w:trPr>
        <w:tc>
          <w:tcPr>
            <w:tcW w:w="5480" w:type="dxa"/>
            <w:vAlign w:val="bottom"/>
          </w:tcPr>
          <w:p>
            <w:pPr>
              <w:ind w:left="120"/>
              <w:spacing w:after="0"/>
              <w:rPr>
                <w:sz w:val="20"/>
                <w:szCs w:val="20"/>
                <w:color w:val="auto"/>
              </w:rPr>
            </w:pPr>
            <w:r>
              <w:rPr>
                <w:rFonts w:ascii="Courier New" w:cs="Courier New" w:eastAsia="Courier New" w:hAnsi="Courier New"/>
                <w:sz w:val="18"/>
                <w:szCs w:val="18"/>
                <w:color w:val="auto"/>
              </w:rPr>
              <w:t>Changes in operating assets and</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liabilities:</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32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97</w:t>
            </w:r>
          </w:p>
        </w:tc>
        <w:tc>
          <w:tcPr>
            <w:tcW w:w="2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3,400</w:t>
            </w:r>
          </w:p>
        </w:tc>
      </w:tr>
      <w:tr>
        <w:trPr>
          <w:trHeight w:val="203"/>
        </w:trPr>
        <w:tc>
          <w:tcPr>
            <w:tcW w:w="5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Inventories</w:t>
            </w: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(6,744)</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(7,384)</w:t>
            </w:r>
          </w:p>
        </w:tc>
      </w:tr>
      <w:tr>
        <w:trPr>
          <w:trHeight w:val="203"/>
        </w:trPr>
        <w:tc>
          <w:tcPr>
            <w:tcW w:w="5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5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(1,154)</w:t>
            </w:r>
          </w:p>
        </w:tc>
        <w:tc>
          <w:tcPr>
            <w:tcW w:w="2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643</w:t>
            </w:r>
          </w:p>
        </w:tc>
      </w:tr>
      <w:tr>
        <w:trPr>
          <w:trHeight w:val="203"/>
        </w:trPr>
        <w:tc>
          <w:tcPr>
            <w:tcW w:w="5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32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11,985</w:t>
            </w:r>
          </w:p>
        </w:tc>
        <w:tc>
          <w:tcPr>
            <w:tcW w:w="2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659</w:t>
            </w:r>
          </w:p>
        </w:tc>
      </w:tr>
      <w:tr>
        <w:trPr>
          <w:trHeight w:val="203"/>
        </w:trPr>
        <w:tc>
          <w:tcPr>
            <w:tcW w:w="5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Accrued expenses and other current</w:t>
            </w:r>
          </w:p>
        </w:tc>
        <w:tc>
          <w:tcPr>
            <w:tcW w:w="32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2,002</w:t>
            </w:r>
          </w:p>
        </w:tc>
        <w:tc>
          <w:tcPr>
            <w:tcW w:w="2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1,547</w:t>
            </w:r>
          </w:p>
        </w:tc>
      </w:tr>
      <w:tr>
        <w:trPr>
          <w:trHeight w:val="203"/>
        </w:trPr>
        <w:tc>
          <w:tcPr>
            <w:tcW w:w="5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liabilities</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Accrued rent</w:t>
            </w: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(172)</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(4,689)</w:t>
            </w: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cash provided by (used for)</w:t>
            </w:r>
          </w:p>
        </w:tc>
        <w:tc>
          <w:tcPr>
            <w:tcW w:w="32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7,101</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(2,208)</w:t>
            </w:r>
          </w:p>
        </w:tc>
      </w:tr>
      <w:tr>
        <w:trPr>
          <w:trHeight w:val="203"/>
        </w:trPr>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32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ind w:left="120"/>
              <w:spacing w:after="0"/>
              <w:rPr>
                <w:sz w:val="20"/>
                <w:szCs w:val="20"/>
                <w:color w:val="auto"/>
              </w:rPr>
            </w:pPr>
            <w:r>
              <w:rPr>
                <w:rFonts w:ascii="Courier New" w:cs="Courier New" w:eastAsia="Courier New" w:hAnsi="Courier New"/>
                <w:sz w:val="18"/>
                <w:szCs w:val="18"/>
                <w:color w:val="auto"/>
              </w:rPr>
              <w:t>Cash flows from investing activities:</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Additions to property and equipment</w:t>
            </w: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(5,872)</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(4,423)</w:t>
            </w:r>
          </w:p>
        </w:tc>
      </w:tr>
      <w:tr>
        <w:trPr>
          <w:trHeight w:val="203"/>
        </w:trPr>
        <w:tc>
          <w:tcPr>
            <w:tcW w:w="5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Incurrence of pre-opening costs</w:t>
            </w:r>
          </w:p>
        </w:tc>
        <w:tc>
          <w:tcPr>
            <w:tcW w:w="32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(777)</w:t>
            </w:r>
          </w:p>
        </w:tc>
      </w:tr>
      <w:tr>
        <w:trPr>
          <w:trHeight w:val="203"/>
        </w:trPr>
        <w:tc>
          <w:tcPr>
            <w:tcW w:w="5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Proceeds from disposal of property &amp; equipment</w:t>
            </w:r>
          </w:p>
        </w:tc>
        <w:tc>
          <w:tcPr>
            <w:tcW w:w="32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170</w:t>
            </w:r>
          </w:p>
        </w:tc>
      </w:tr>
      <w:tr>
        <w:trPr>
          <w:trHeight w:val="203"/>
        </w:trPr>
        <w:tc>
          <w:tcPr>
            <w:tcW w:w="5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Sale and maturity of investments</w:t>
            </w:r>
          </w:p>
        </w:tc>
        <w:tc>
          <w:tcPr>
            <w:tcW w:w="32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6,190</w:t>
            </w:r>
          </w:p>
        </w:tc>
        <w:tc>
          <w:tcPr>
            <w:tcW w:w="2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w:t>
            </w:r>
          </w:p>
        </w:tc>
      </w:tr>
      <w:tr>
        <w:trPr>
          <w:trHeight w:val="203"/>
        </w:trPr>
        <w:tc>
          <w:tcPr>
            <w:tcW w:w="5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Reduction (Increase) in other assets</w:t>
            </w:r>
          </w:p>
        </w:tc>
        <w:tc>
          <w:tcPr>
            <w:tcW w:w="32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57</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w:t>
            </w: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Net cash provided by (used in) investing activities</w:t>
            </w:r>
          </w:p>
        </w:tc>
        <w:tc>
          <w:tcPr>
            <w:tcW w:w="32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391</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(5,054)</w:t>
            </w: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Issuance of common stock under option program (1)</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w:t>
            </w:r>
          </w:p>
        </w:tc>
        <w:tc>
          <w:tcPr>
            <w:tcW w:w="2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cash provided by financing activities</w:t>
            </w:r>
          </w:p>
        </w:tc>
        <w:tc>
          <w:tcPr>
            <w:tcW w:w="32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w:t>
            </w:r>
          </w:p>
        </w:tc>
        <w:tc>
          <w:tcPr>
            <w:tcW w:w="2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Net increase (decrease) in cash and cash equivalents</w:t>
            </w: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7,494</w:t>
            </w:r>
          </w:p>
        </w:tc>
        <w:tc>
          <w:tcPr>
            <w:tcW w:w="26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(7,252)</w:t>
            </w:r>
          </w:p>
        </w:tc>
      </w:tr>
      <w:tr>
        <w:trPr>
          <w:trHeight w:val="405"/>
        </w:trPr>
        <w:tc>
          <w:tcPr>
            <w:tcW w:w="5480" w:type="dxa"/>
            <w:vAlign w:val="bottom"/>
          </w:tcPr>
          <w:p>
            <w:pPr>
              <w:ind w:left="120"/>
              <w:spacing w:after="0"/>
              <w:rPr>
                <w:sz w:val="20"/>
                <w:szCs w:val="20"/>
                <w:color w:val="auto"/>
              </w:rPr>
            </w:pPr>
            <w:r>
              <w:rPr>
                <w:rFonts w:ascii="Courier New" w:cs="Courier New" w:eastAsia="Courier New" w:hAnsi="Courier New"/>
                <w:sz w:val="18"/>
                <w:szCs w:val="18"/>
                <w:color w:val="auto"/>
              </w:rPr>
              <w:t>Beginning of the year</w:t>
            </w:r>
          </w:p>
        </w:tc>
        <w:tc>
          <w:tcPr>
            <w:tcW w:w="320" w:type="dxa"/>
            <w:vAlign w:val="bottom"/>
          </w:tcPr>
          <w:p>
            <w:pPr>
              <w:spacing w:after="0"/>
              <w:rPr>
                <w:sz w:val="24"/>
                <w:szCs w:val="24"/>
                <w:color w:val="auto"/>
              </w:rPr>
            </w:pP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13,941</w:t>
            </w:r>
          </w:p>
        </w:tc>
        <w:tc>
          <w:tcPr>
            <w:tcW w:w="260" w:type="dxa"/>
            <w:vAlign w:val="bottom"/>
          </w:tcPr>
          <w:p>
            <w:pPr>
              <w:spacing w:after="0"/>
              <w:rPr>
                <w:sz w:val="24"/>
                <w:szCs w:val="24"/>
                <w:color w:val="auto"/>
              </w:rPr>
            </w:pP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22,424</w:t>
            </w: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2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End of the quarter</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21,435</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15,172</w:t>
            </w: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2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5480" w:type="dxa"/>
            <w:vAlign w:val="bottom"/>
          </w:tcPr>
          <w:p>
            <w:pPr>
              <w:ind w:left="120"/>
              <w:spacing w:after="0"/>
              <w:rPr>
                <w:sz w:val="20"/>
                <w:szCs w:val="20"/>
                <w:color w:val="auto"/>
              </w:rPr>
            </w:pPr>
            <w:r>
              <w:rPr>
                <w:rFonts w:ascii="Courier New" w:cs="Courier New" w:eastAsia="Courier New" w:hAnsi="Courier New"/>
                <w:sz w:val="18"/>
                <w:szCs w:val="18"/>
                <w:color w:val="auto"/>
              </w:rPr>
              <w:t>Supplementary Cash Flow Disclosure</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4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Cash paid, net</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4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Interest</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54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Taxes</w:t>
            </w:r>
          </w:p>
        </w:tc>
        <w:tc>
          <w:tcPr>
            <w:tcW w:w="32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w:t>
            </w:r>
          </w:p>
        </w:tc>
        <w:tc>
          <w:tcPr>
            <w:tcW w:w="2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564</w:t>
            </w:r>
          </w:p>
        </w:tc>
      </w:tr>
    </w:tbl>
    <w:p>
      <w:pPr>
        <w:spacing w:after="0" w:line="207" w:lineRule="exact"/>
        <w:rPr>
          <w:sz w:val="20"/>
          <w:szCs w:val="20"/>
          <w:color w:val="auto"/>
        </w:rPr>
      </w:pPr>
    </w:p>
    <w:p>
      <w:pPr>
        <w:ind w:left="3160" w:right="2419" w:hanging="3054"/>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ectPr>
          <w:pgSz w:w="11900" w:h="16838" w:orient="portrait"/>
          <w:cols w:equalWidth="0" w:num="1">
            <w:col w:w="10219"/>
          </w:cols>
          <w:pgMar w:left="240" w:top="514" w:right="1440" w:bottom="1440" w:gutter="0" w:footer="0" w:header="0"/>
        </w:sectPr>
      </w:pPr>
    </w:p>
    <w:bookmarkStart w:id="4" w:name="page5"/>
    <w:bookmarkEnd w:id="4"/>
    <w:p>
      <w:pPr>
        <w:jc w:val="center"/>
        <w:ind w:right="2519"/>
        <w:spacing w:after="0"/>
        <w:rPr>
          <w:sz w:val="20"/>
          <w:szCs w:val="20"/>
          <w:color w:val="auto"/>
        </w:rPr>
      </w:pPr>
      <w:r>
        <w:rPr>
          <w:rFonts w:ascii="Courier New" w:cs="Courier New" w:eastAsia="Courier New" w:hAnsi="Courier New"/>
          <w:sz w:val="18"/>
          <w:szCs w:val="18"/>
          <w:color w:val="auto"/>
        </w:rPr>
        <w:t>DESIGNS, INC.</w:t>
      </w:r>
    </w:p>
    <w:p>
      <w:pPr>
        <w:jc w:val="center"/>
        <w:ind w:right="2419"/>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2" w:lineRule="exact"/>
        <w:rPr>
          <w:sz w:val="20"/>
          <w:szCs w:val="20"/>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ind w:right="2419"/>
        <w:spacing w:after="0" w:line="270" w:lineRule="auto"/>
        <w:rPr>
          <w:sz w:val="20"/>
          <w:szCs w:val="20"/>
          <w:color w:val="auto"/>
        </w:rPr>
      </w:pPr>
      <w:r>
        <w:rPr>
          <w:rFonts w:ascii="Courier New" w:cs="Courier New" w:eastAsia="Courier New" w:hAnsi="Courier New"/>
          <w:sz w:val="16"/>
          <w:szCs w:val="16"/>
          <w:color w:val="auto"/>
        </w:rPr>
        <w:t>In the opinion of management of the Company, the accompanying unaudited consolidated financial statements contain all adjustments (consisting only of normal recurring adjustments) necessary for a fair presentation of the interim financial statements. These financial statements do not include all disclosures associated with annual financial statements and, accordingly, should be read in conjunction with the notes contained in the Company's audited consolidated financial statements for the year ended February 3, 1996. The Company's business has historically been seasonal in nature and the results of the interim periods presented are not necessarily indicative of the results to be expected for the full year.</w:t>
      </w:r>
    </w:p>
    <w:p>
      <w:pPr>
        <w:spacing w:after="0" w:line="184" w:lineRule="exact"/>
        <w:rPr>
          <w:sz w:val="20"/>
          <w:szCs w:val="20"/>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Minority Interest</w:t>
      </w:r>
    </w:p>
    <w:p>
      <w:pPr>
        <w:spacing w:after="0" w:line="207" w:lineRule="exact"/>
        <w:rPr>
          <w:sz w:val="20"/>
          <w:szCs w:val="20"/>
          <w:color w:val="auto"/>
        </w:rPr>
      </w:pPr>
    </w:p>
    <w:p>
      <w:pPr>
        <w:ind w:right="2419"/>
        <w:spacing w:after="0" w:line="271" w:lineRule="auto"/>
        <w:rPr>
          <w:sz w:val="20"/>
          <w:szCs w:val="20"/>
          <w:color w:val="auto"/>
        </w:rPr>
      </w:pPr>
      <w:r>
        <w:rPr>
          <w:rFonts w:ascii="Courier New" w:cs="Courier New" w:eastAsia="Courier New" w:hAnsi="Courier New"/>
          <w:sz w:val="16"/>
          <w:szCs w:val="16"/>
          <w:color w:val="auto"/>
        </w:rPr>
        <w:t>On January 28, 1995, Designs JV Corp., a wholly-owned subsidiary of the Company, entered into a partnership agreement with LDJV Inc. (the "Partnership Agreement") establishing a joint venture to sell Levi's(R) brand products and jeans-related products in Original Levi's(R) Stores and Levi's(R) Outlet stores. LDJV Inc. is a wholly-owned subsidiary of Levi's Only Stores, Inc., which is a wholly-owned subsidiary of Levi Strauss &amp; Co. The partnership established pursuant to the Partnership Agreement is known as The Designs/OLS Partnership (the "OLS Partnership").</w:t>
      </w:r>
    </w:p>
    <w:p>
      <w:pPr>
        <w:spacing w:after="0" w:line="186"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operating results of the OLS Partnership are consolidated with the financial statements of the Company for the three and twelve months ended May 4, 1996. Minority interest at May 4, 1996 represents LDJV Inc.'s 30% interest in the OLS Partnership.</w:t>
      </w:r>
    </w:p>
    <w:p>
      <w:pPr>
        <w:spacing w:after="0" w:line="207" w:lineRule="exact"/>
        <w:rPr>
          <w:sz w:val="20"/>
          <w:szCs w:val="20"/>
          <w:color w:val="auto"/>
        </w:rPr>
      </w:pPr>
    </w:p>
    <w:p>
      <w:pPr>
        <w:ind w:right="2739"/>
        <w:spacing w:after="0" w:line="272" w:lineRule="auto"/>
        <w:rPr>
          <w:sz w:val="20"/>
          <w:szCs w:val="20"/>
          <w:color w:val="auto"/>
        </w:rPr>
      </w:pPr>
      <w:r>
        <w:rPr>
          <w:rFonts w:ascii="Courier New" w:cs="Courier New" w:eastAsia="Courier New" w:hAnsi="Courier New"/>
          <w:sz w:val="16"/>
          <w:szCs w:val="16"/>
          <w:color w:val="auto"/>
        </w:rPr>
        <w:t>In accordance with the Partnership Agreement, the OLS Partnership distributed $133,000 to its partners at the end of the first quarter of fiscal 1995. This capital distribution represented funds sufficient to pay taxes associated with the earnings of the OLS Partnership for the three month period ended April 29, 1995. There have been no cash distributions made during the first quarter of fiscal 1996.</w:t>
      </w:r>
    </w:p>
    <w:p>
      <w:pPr>
        <w:spacing w:after="0" w:line="180"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Restructuring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fiscal 1993, the Company recorded a non-recurring pre-tax charge of</w:t>
      </w:r>
    </w:p>
    <w:p>
      <w:pPr>
        <w:spacing w:after="0" w:line="4" w:lineRule="exact"/>
        <w:rPr>
          <w:sz w:val="20"/>
          <w:szCs w:val="20"/>
          <w:color w:val="auto"/>
        </w:rPr>
      </w:pPr>
    </w:p>
    <w:p>
      <w:pPr>
        <w:ind w:right="2419"/>
        <w:spacing w:after="0" w:line="271" w:lineRule="auto"/>
        <w:rPr>
          <w:sz w:val="20"/>
          <w:szCs w:val="20"/>
          <w:color w:val="auto"/>
        </w:rPr>
      </w:pPr>
      <w:r>
        <w:rPr>
          <w:rFonts w:ascii="Courier New" w:cs="Courier New" w:eastAsia="Courier New" w:hAnsi="Courier New"/>
          <w:sz w:val="16"/>
          <w:szCs w:val="16"/>
          <w:color w:val="auto"/>
        </w:rPr>
        <w:t>$15.0 million which covered the costs associated with the closing of 15 of its poorest performing Designs stores. The costs to close these 15 stores totaled $9.6 million, comprised of $6.1 million of cash and $3.5 million of noncash costs. Total costs of $9.6 million to close the 15 stores were less than the original pre-tax estimate, primarily due to favorable negotiations with landlords. The remaining reserve of $5.4 million was recognized in part in the first quarter of fiscal 1995 and in part in the fourth quarter of fiscal 1994 as non-recurring pre-tax income.</w:t>
      </w:r>
    </w:p>
    <w:p>
      <w:pPr>
        <w:spacing w:after="0" w:line="180"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Boston Trading Ltd., Inc. Acquisition</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On May 2, 1995, the Company acquired certain assets of Boston Trading Ltd., Inc. In accordance with the terms of the Asset Purchase Agreement dated April 21, 1995, the Company paid $5.4 million in cash, financed by operations, and delivered a non-negotiable promissory note in the principal amount of $1 million payable in two equal annual installments through May 1997.</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During the first quarter of fiscal 1996, the Company asserted rights of indemnification under the Asset Purchase Agreement. In accordance with the Asset Purchase Agreement and the promissory note issued thereunder, the Company has the right to satisfy its indemnification rights by offsetting against the payment of principal and interest payable under the promissory note. Accordingly, the Company did not make the $500,000 payment of principal due on May 2, 1996. The Company has paid all interest due through May 2, 1996.</w:t>
      </w:r>
    </w:p>
    <w:p>
      <w:pPr>
        <w:spacing w:after="0" w:line="207"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to Credit Agreement</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On May 8, 1996, subsequent to the quarter ended May 4, 1996, the Company signed an amendment to the $20 million revolving credit agreement dated as of November 17, 1995 among the Company, BayBank Boston, N.A. and State Street Bank and Trust Company. This amendment increased the letter of credit portion of this facility, which is used for the purchase of inventory, from $5 million to $8 million.</w:t>
      </w:r>
    </w:p>
    <w:p>
      <w:pPr>
        <w:sectPr>
          <w:pgSz w:w="11900" w:h="16838" w:orient="portrait"/>
          <w:cols w:equalWidth="0" w:num="1">
            <w:col w:w="10219"/>
          </w:cols>
          <w:pgMar w:left="240" w:top="717" w:right="1440" w:bottom="0" w:gutter="0" w:footer="0" w:header="0"/>
        </w:sectPr>
      </w:pPr>
    </w:p>
    <w:bookmarkStart w:id="5" w:name="page6"/>
    <w:bookmarkEnd w:id="5"/>
    <w:p>
      <w:pPr>
        <w:ind w:right="2319"/>
        <w:spacing w:after="0" w:line="235" w:lineRule="auto"/>
        <w:rPr>
          <w:sz w:val="20"/>
          <w:szCs w:val="20"/>
          <w:color w:val="auto"/>
        </w:rPr>
      </w:pPr>
      <w:r>
        <w:rPr>
          <w:rFonts w:ascii="Courier New" w:cs="Courier New" w:eastAsia="Courier New" w:hAnsi="Courier New"/>
          <w:sz w:val="18"/>
          <w:szCs w:val="18"/>
          <w:color w:val="auto"/>
        </w:rPr>
        <w:t>At May 4, 1996, the Company had outstanding letters of credit totaling $3.2 million.</w:t>
      </w:r>
    </w:p>
    <w:p>
      <w:pPr>
        <w:sectPr>
          <w:pgSz w:w="11900" w:h="16838" w:orient="portrait"/>
          <w:cols w:equalWidth="0" w:num="1">
            <w:col w:w="10219"/>
          </w:cols>
          <w:pgMar w:left="240" w:top="142" w:right="1440" w:bottom="1440" w:gutter="0" w:footer="0" w:header="0"/>
        </w:sectPr>
      </w:pPr>
    </w:p>
    <w:bookmarkStart w:id="6" w:name="page7"/>
    <w:bookmarkEnd w:id="6"/>
    <w:p>
      <w:pPr>
        <w:ind w:left="2120" w:right="2939" w:hanging="2106"/>
        <w:spacing w:after="0" w:line="235" w:lineRule="auto"/>
        <w:tabs>
          <w:tab w:leader="none" w:pos="2100" w:val="left"/>
        </w:tabs>
        <w:rPr>
          <w:sz w:val="20"/>
          <w:szCs w:val="20"/>
          <w:color w:val="auto"/>
        </w:rPr>
      </w:pPr>
      <w:r>
        <w:rPr>
          <w:rFonts w:ascii="Courier New" w:cs="Courier New" w:eastAsia="Courier New" w:hAnsi="Courier New"/>
          <w:sz w:val="18"/>
          <w:szCs w:val="18"/>
          <w:color w:val="auto"/>
        </w:rPr>
        <w:t>Part I. Item 2.</w:t>
      </w:r>
      <w:r>
        <w:rPr>
          <w:sz w:val="20"/>
          <w:szCs w:val="20"/>
          <w:color w:val="auto"/>
        </w:rPr>
        <w:tab/>
      </w:r>
      <w:r>
        <w:rPr>
          <w:rFonts w:ascii="Courier New" w:cs="Courier New" w:eastAsia="Courier New" w:hAnsi="Courier New"/>
          <w:sz w:val="18"/>
          <w:szCs w:val="18"/>
          <w:color w:val="auto"/>
        </w:rPr>
        <w:t>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Sales for the first quarter of fiscal 1996 were $59.3 million as compared to sales of $57.3 million in the first quarter of fiscal 1995. Comparable store sales decreased 8% for the first quarter as compared to the same period in the prior year. Comparable stores are retail locations that have been in operation for at least one full fiscal year. Of the 155 stores the Company operated as of May 4, 1996, 112 were comparable stores. This decrease in sales was due to the lack of a strong spring product focus and reduced customer traffic caused by the extra long winter season in the Northeast.</w:t>
      </w:r>
    </w:p>
    <w:p>
      <w:pPr>
        <w:spacing w:after="0" w:line="21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Gross margin rate (including the costs of occupancy) for the first quarter equaled 27.2 percent of sales as compared with 28.2 percent in the prior year. The decrease reflects higher occupancy costs due to the deleveraging of sales offset slightly by an increase in the percentage of business generated in the higher margin joint venture stores.</w:t>
      </w:r>
    </w:p>
    <w:p>
      <w:pPr>
        <w:spacing w:after="0" w:line="209"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Selling, general and administrative expenses increased to 27.1% of sales, as compared to 24.7% in the prior year principally due to additional infrastructure expenses associated with the development of the vertically integrated Boston Traders(R) brand. This increase is partially offset by store payroll expense as a percentage of sales decreasing to 11.3% as compared to 11.6% in the prior year.</w:t>
      </w:r>
    </w:p>
    <w:p>
      <w:pPr>
        <w:spacing w:after="0" w:line="210"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In fiscal 1993, the Company recorded a non-recurring pre-tax charge of $15.0 million which covered the costs associated with the closing of 15 of its poorest performing Designs stores. Total costs of $9.6 million, comprised of $6.1 million of cash and $3.5 million of noncash costs, to close the 15 stores were less than the original pre-tax estimate, primarily due to favorable negotiations with landlords. The remaining reserve of $5.4 million was recognized in part in the first quarter of fiscal 1995 and in part in the fourth quarter of fiscal 1994 as non-recurring pre-tax income.</w:t>
      </w:r>
    </w:p>
    <w:p>
      <w:pPr>
        <w:spacing w:after="0" w:line="214" w:lineRule="exact"/>
        <w:rPr>
          <w:sz w:val="20"/>
          <w:szCs w:val="20"/>
          <w:color w:val="auto"/>
        </w:rPr>
      </w:pPr>
    </w:p>
    <w:p>
      <w:pPr>
        <w:ind w:right="2519"/>
        <w:spacing w:after="0" w:line="273" w:lineRule="auto"/>
        <w:rPr>
          <w:sz w:val="20"/>
          <w:szCs w:val="20"/>
          <w:color w:val="auto"/>
        </w:rPr>
      </w:pPr>
      <w:r>
        <w:rPr>
          <w:rFonts w:ascii="Courier New" w:cs="Courier New" w:eastAsia="Courier New" w:hAnsi="Courier New"/>
          <w:sz w:val="16"/>
          <w:szCs w:val="16"/>
          <w:color w:val="auto"/>
        </w:rPr>
        <w:t>Depreciation and amortization expense of $2.5 million for the first quarter of fiscal 1996 represents an increase of 33% as compared with the same period in fiscal 1995 due to the cost of new store openings and remodeled stores. For the rolling 12 month period, depreciation and amortization increased 2%, primarily due to the timing of store openings.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expense was $44,000 and $22,000 in fiscal 1996 and fiscal 1995,</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respectively.</w:t>
        <w:tab/>
        <w:t>On a rolling 12 month basis, interest expense increased</w:t>
      </w:r>
    </w:p>
    <w:p>
      <w:pPr>
        <w:spacing w:after="0"/>
        <w:tabs>
          <w:tab w:leader="none" w:pos="6100" w:val="left"/>
        </w:tabs>
        <w:rPr>
          <w:sz w:val="20"/>
          <w:szCs w:val="20"/>
          <w:color w:val="auto"/>
        </w:rPr>
      </w:pPr>
      <w:r>
        <w:rPr>
          <w:rFonts w:ascii="Courier New" w:cs="Courier New" w:eastAsia="Courier New" w:hAnsi="Courier New"/>
          <w:sz w:val="18"/>
          <w:szCs w:val="18"/>
          <w:color w:val="auto"/>
        </w:rPr>
        <w:t>to $218,000 as compared to $110,000 in the prior period.</w:t>
      </w:r>
      <w:r>
        <w:rPr>
          <w:sz w:val="20"/>
          <w:szCs w:val="20"/>
          <w:color w:val="auto"/>
        </w:rPr>
        <w:tab/>
      </w:r>
      <w:r>
        <w:rPr>
          <w:rFonts w:ascii="Courier New" w:cs="Courier New" w:eastAsia="Courier New" w:hAnsi="Courier New"/>
          <w:sz w:val="16"/>
          <w:szCs w:val="16"/>
          <w:color w:val="auto"/>
        </w:rPr>
        <w:t>The increase is</w:t>
      </w:r>
    </w:p>
    <w:p>
      <w:pPr>
        <w:spacing w:after="0" w:line="237" w:lineRule="auto"/>
        <w:rPr>
          <w:sz w:val="20"/>
          <w:szCs w:val="20"/>
          <w:color w:val="auto"/>
        </w:rPr>
      </w:pPr>
      <w:r>
        <w:rPr>
          <w:rFonts w:ascii="Courier New" w:cs="Courier New" w:eastAsia="Courier New" w:hAnsi="Courier New"/>
          <w:sz w:val="18"/>
          <w:szCs w:val="18"/>
          <w:color w:val="auto"/>
        </w:rPr>
        <w:t>attributable to interest payments made in connection with the non-</w:t>
      </w:r>
    </w:p>
    <w:p>
      <w:pPr>
        <w:spacing w:after="0" w:line="238" w:lineRule="auto"/>
        <w:rPr>
          <w:sz w:val="20"/>
          <w:szCs w:val="20"/>
          <w:color w:val="auto"/>
        </w:rPr>
      </w:pPr>
      <w:r>
        <w:rPr>
          <w:rFonts w:ascii="Courier New" w:cs="Courier New" w:eastAsia="Courier New" w:hAnsi="Courier New"/>
          <w:sz w:val="18"/>
          <w:szCs w:val="18"/>
          <w:color w:val="auto"/>
        </w:rPr>
        <w:t>negotiable promissory note issued in conjunction with the acquisition of</w:t>
      </w:r>
    </w:p>
    <w:p>
      <w:pPr>
        <w:spacing w:after="0"/>
        <w:rPr>
          <w:sz w:val="20"/>
          <w:szCs w:val="20"/>
          <w:color w:val="auto"/>
        </w:rPr>
      </w:pPr>
      <w:r>
        <w:rPr>
          <w:rFonts w:ascii="Courier New" w:cs="Courier New" w:eastAsia="Courier New" w:hAnsi="Courier New"/>
          <w:sz w:val="18"/>
          <w:szCs w:val="18"/>
          <w:color w:val="auto"/>
        </w:rPr>
        <w:t>certain assets of Boston Trading, Ltd., Inc. in May 1995.</w:t>
      </w:r>
    </w:p>
    <w:p>
      <w:pPr>
        <w:spacing w:after="0" w:line="206"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Interest income for the first quarter was $318,000 compared to $471,000 in fiscal year 1995. The decrease in income is attributable to a lower average investment balance and average yield compared to the same period last year. For the rolling 12 month period, interest income decreased by 7% from $1.5 million in the prior period. This decrease is similarly attributable to the decrease in the average investment balance during the rolling 12 month period.</w:t>
      </w:r>
    </w:p>
    <w:p>
      <w:pPr>
        <w:spacing w:after="0" w:line="211"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Net income for the first quarter of fiscal year 1996 represents a loss of ($1.1) million or ($0.07) per share, as compared with net income of $1.6 million, or $.10 per share in the first quarter of fiscal 1995. In the first quarter of fiscal 1995, the Company recognized $2.2 million or $.08 per share of non-recurring pre-tax income related to the fiscal 1993 restructuring program.</w:t>
      </w:r>
    </w:p>
    <w:p>
      <w:pPr>
        <w:spacing w:after="0" w:line="210"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Net income, on a rolling 12 month basis, was $7.1 million or $0.45 per share in the 12 month period, as compared with $18.4 million, or $1.16 per share in the prior comparable period. Net income for the twelve month period ended April 29, 1995 included the impact of restructuring income of $5.4 million or $0.20 per share.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w:t>
      </w:r>
    </w:p>
    <w:p>
      <w:pPr>
        <w:spacing w:after="0" w:line="207"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Company's business is seasonal, reflecting increased consumer buying in the "Fall" and "Holiday" seasons. Historically, the second half of each fiscal year provides a greater portion of the Company's annual sales and operating income.</w:t>
      </w:r>
    </w:p>
    <w:p>
      <w:pPr>
        <w:sectPr>
          <w:pgSz w:w="11900" w:h="16838" w:orient="portrait"/>
          <w:cols w:equalWidth="0" w:num="1">
            <w:col w:w="10219"/>
          </w:cols>
          <w:pgMar w:left="240" w:top="723"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2319"/>
        <w:spacing w:after="0" w:line="270" w:lineRule="auto"/>
        <w:rPr>
          <w:sz w:val="20"/>
          <w:szCs w:val="20"/>
          <w:color w:val="auto"/>
        </w:rPr>
      </w:pPr>
      <w:r>
        <w:rPr>
          <w:rFonts w:ascii="Courier New" w:cs="Courier New" w:eastAsia="Courier New" w:hAnsi="Courier New"/>
          <w:sz w:val="16"/>
          <w:szCs w:val="16"/>
          <w:color w:val="auto"/>
        </w:rPr>
        <w:t>The following discussion of the Company's liquidity, capital resources and capital expansion plans includes certain forward-looking information. Such forward-looking information requires management to make certain estimates and assumptions regarding the Company's expected strategic direction and the related effect of such plans on the financial results of the Company. Actual results and strategic directions may differ from those estimates and assumptions. The Company encourages readers of this information to refer to the Company's Current Report on Form 8-K, previously filed with the United States Securities and Exchange Commission on April 30, 1996, which identifies certain risks and uncertainties that may impact the future earnings and direction of the Company.</w:t>
      </w:r>
    </w:p>
    <w:p>
      <w:pPr>
        <w:spacing w:after="0" w:line="392" w:lineRule="exact"/>
        <w:rPr>
          <w:sz w:val="20"/>
          <w:szCs w:val="20"/>
          <w:color w:val="auto"/>
        </w:rPr>
      </w:pPr>
    </w:p>
    <w:p>
      <w:pPr>
        <w:ind w:right="2519"/>
        <w:spacing w:after="0" w:line="275" w:lineRule="auto"/>
        <w:rPr>
          <w:sz w:val="20"/>
          <w:szCs w:val="20"/>
          <w:color w:val="auto"/>
        </w:rPr>
      </w:pPr>
      <w:r>
        <w:rPr>
          <w:rFonts w:ascii="Courier New" w:cs="Courier New" w:eastAsia="Courier New" w:hAnsi="Courier New"/>
          <w:sz w:val="16"/>
          <w:szCs w:val="16"/>
          <w:color w:val="auto"/>
        </w:rPr>
        <w:t>The Company's primary cash needs are for operating expenses, including cash outlays associated with the development of the Boston Traders(R) branded product line, seasonal inventory purchases and capital expenses for information technology and new and remodeled stores and acquisitions.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WORKING CAPITAL AND CASH FLOWS</w:t>
      </w:r>
    </w:p>
    <w:p>
      <w:pPr>
        <w:spacing w:after="0" w:line="207" w:lineRule="exact"/>
        <w:rPr>
          <w:sz w:val="20"/>
          <w:szCs w:val="20"/>
          <w:color w:val="auto"/>
        </w:rPr>
      </w:pPr>
    </w:p>
    <w:p>
      <w:pPr>
        <w:ind w:right="2519"/>
        <w:spacing w:after="0" w:line="273" w:lineRule="auto"/>
        <w:rPr>
          <w:sz w:val="20"/>
          <w:szCs w:val="20"/>
          <w:color w:val="auto"/>
        </w:rPr>
      </w:pPr>
      <w:r>
        <w:rPr>
          <w:rFonts w:ascii="Courier New" w:cs="Courier New" w:eastAsia="Courier New" w:hAnsi="Courier New"/>
          <w:sz w:val="16"/>
          <w:szCs w:val="16"/>
          <w:color w:val="auto"/>
        </w:rPr>
        <w:t>To date, the Company has financed its working capital requirements and expansion program with cash flow from operations, borrowings and proceeds from Common Stock offerings. Cash provided by operations for the first three months of fiscal 1996 was $7.1 million as compared to cash used for operations of $2.2 million for the same period in the prior year.</w:t>
      </w:r>
    </w:p>
    <w:p>
      <w:pPr>
        <w:spacing w:after="0" w:line="185" w:lineRule="exact"/>
        <w:rPr>
          <w:sz w:val="20"/>
          <w:szCs w:val="20"/>
          <w:color w:val="auto"/>
        </w:rPr>
      </w:pPr>
    </w:p>
    <w:p>
      <w:pPr>
        <w:ind w:right="2739"/>
        <w:spacing w:after="0" w:line="275" w:lineRule="auto"/>
        <w:rPr>
          <w:sz w:val="20"/>
          <w:szCs w:val="20"/>
          <w:color w:val="auto"/>
        </w:rPr>
      </w:pPr>
      <w:r>
        <w:rPr>
          <w:rFonts w:ascii="Courier New" w:cs="Courier New" w:eastAsia="Courier New" w:hAnsi="Courier New"/>
          <w:sz w:val="16"/>
          <w:szCs w:val="16"/>
          <w:color w:val="auto"/>
        </w:rPr>
        <w:t>The Company's working capital at May 4, 1996 was approximately $59.8 million compared to $55.0 million on April 29, 1995. This increase was attributable to an increase in inventory in connection with the Boston Trading acquisition and the maturity of certain long term investments.</w:t>
      </w:r>
    </w:p>
    <w:p>
      <w:pPr>
        <w:spacing w:after="0" w:line="182"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At May 4, 1996 total inventories were up $4.7 million or 7.8% from April 29, 1995. This increase is primarily due to an increase in the number of OLS Partnership (as defined below) stores and inventory purchased as part of the Boston Trading acquisition, offset partially by a reduction in inventory due to closed stores and continued efforts by the Company to manage inventory levels.</w:t>
      </w:r>
    </w:p>
    <w:p>
      <w:pPr>
        <w:spacing w:after="0" w:line="210"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The Company's trade payables to Levi Strauss &amp; Co., its principal vendor, generally are due 30 days after the date of invoice. The Company has been current with its payments to Levi Strauss &amp; Co. from fiscal 1987 to date. Variations in the amount of trade payables outstanding at the end of different periods relate to the timing of purchases. In the second quarter of fiscal 1995, the Company began sourcing its own merchandise with various off-shore vendors. To date, payment to these vendors have been through the issuance of letters of credit, which require payment upon shipment of merchandise. The Company anticipates that the use of this payment method will be proportionate to its Boston Traders(R) product purchases.</w:t>
      </w:r>
    </w:p>
    <w:p>
      <w:pPr>
        <w:spacing w:after="0" w:line="216"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On May 8, 1996, subsequent to the quarter ended May 4, 1996, the Company signed an amendment to the $20 million revolving credit agreement dated as of November 17, 1995 among the Company, BayBank Boston, N.A. and State Street Bank and Trust Company. This amendment increased the letter of credit portion of this facility, which is used for the purchase of inventory, from $5 million to $8 million.</w:t>
      </w:r>
    </w:p>
    <w:p>
      <w:pPr>
        <w:spacing w:after="0" w:line="210" w:lineRule="exact"/>
        <w:rPr>
          <w:sz w:val="20"/>
          <w:szCs w:val="20"/>
          <w:color w:val="auto"/>
        </w:rPr>
      </w:pPr>
    </w:p>
    <w:p>
      <w:pPr>
        <w:ind w:right="2419"/>
        <w:spacing w:after="0" w:line="238" w:lineRule="auto"/>
        <w:rPr>
          <w:sz w:val="20"/>
          <w:szCs w:val="20"/>
          <w:color w:val="auto"/>
        </w:rPr>
      </w:pPr>
      <w:r>
        <w:rPr>
          <w:rFonts w:ascii="Courier New" w:cs="Courier New" w:eastAsia="Courier New" w:hAnsi="Courier New"/>
          <w:sz w:val="18"/>
          <w:szCs w:val="18"/>
          <w:color w:val="auto"/>
        </w:rPr>
        <w:t>On January 28, 1995, Designs JV Corp., a wholly-owned subsidiary of the Company, and a subsidiary of Levi's Only Stores, Inc., a wholly-owned subsidiary of Levi Strauss &amp; Co., entered into a partnership agreement (the "Partnership Agreement") to sell Levi's(R) brand products and jeans-related products. The joint venture that was established by the Partnership Agreement is known as The Designs/OLS Partnership (the "OLS Partnership"). The term of the joint venture is ten years; however, the Partnership Agreement contains certain exit rights that enable either partner to buy or sell interest its in the joint venture after five years. The Company previously announced that the OLS Partnership may open up to thirty-five to fifty Original Levi's(R) Stores and Levi's(R) Outlet stores throughout eleven Northeast states and the District of Columbia through the end of fiscal 1999. At the end of the first quarter of fiscal 1996 there were eleven Original Levi's(R) Stores and four Levi's(R) Outlet stores.</w:t>
      </w:r>
    </w:p>
    <w:p>
      <w:pPr>
        <w:spacing w:after="0" w:line="208" w:lineRule="exact"/>
        <w:rPr>
          <w:sz w:val="20"/>
          <w:szCs w:val="20"/>
          <w:color w:val="auto"/>
        </w:rPr>
      </w:pPr>
    </w:p>
    <w:p>
      <w:pPr>
        <w:ind w:right="2619"/>
        <w:spacing w:after="0" w:line="272" w:lineRule="auto"/>
        <w:rPr>
          <w:sz w:val="20"/>
          <w:szCs w:val="20"/>
          <w:color w:val="auto"/>
        </w:rPr>
      </w:pPr>
      <w:r>
        <w:rPr>
          <w:rFonts w:ascii="Courier New" w:cs="Courier New" w:eastAsia="Courier New" w:hAnsi="Courier New"/>
          <w:sz w:val="16"/>
          <w:szCs w:val="16"/>
          <w:color w:val="auto"/>
        </w:rPr>
        <w:t>In June 1994, Levi Strauss &amp; Co. advised the Company that it did not see any additional growth in the Levi's(R) Outlet by Designs store format, other than additional outlet stores that might be opened by the OLS Partnership. As such, the Company does not currently plan to open any Levi's(R) Outlet by Designs stores during fiscal 1996. In addition, the OLS Partnership is opening its own outlet stores, which may impact the</w:t>
      </w:r>
    </w:p>
    <w:p>
      <w:pPr>
        <w:sectPr>
          <w:pgSz w:w="11900" w:h="16838" w:orient="portrait"/>
          <w:cols w:equalWidth="0" w:num="1">
            <w:col w:w="10219"/>
          </w:cols>
          <w:pgMar w:left="240" w:top="339"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availability of goods to the Levi's(R) Outlet by Designs stores.</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It is the intention of the partners in the joint venture that the OLS Partnership's working capital and funds for its future expansion will come from its operations, capital contributions, loans from the partners and borrowings from third parties.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EXPENDITURES</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During the first quarter of fiscal 1996, the Company remodeled three Levi's(R) Outlet by Designs stores. Total cash outlays of $5.7 million and $4.4 million during the first quarter of fiscal years 1996 and 1995 respectively, represent the costs of new and remodeled stores, relocation of corporate facilities, as well as, other corporate capital spending during the periods.</w:t>
      </w:r>
    </w:p>
    <w:p>
      <w:pPr>
        <w:spacing w:after="0" w:line="210" w:lineRule="exact"/>
        <w:rPr>
          <w:sz w:val="20"/>
          <w:szCs w:val="20"/>
          <w:color w:val="auto"/>
        </w:rPr>
      </w:pPr>
    </w:p>
    <w:p>
      <w:pPr>
        <w:ind w:right="2519"/>
        <w:spacing w:after="0" w:line="271" w:lineRule="auto"/>
        <w:rPr>
          <w:sz w:val="20"/>
          <w:szCs w:val="20"/>
          <w:color w:val="auto"/>
        </w:rPr>
      </w:pPr>
      <w:r>
        <w:rPr>
          <w:rFonts w:ascii="Courier New" w:cs="Courier New" w:eastAsia="Courier New" w:hAnsi="Courier New"/>
          <w:sz w:val="16"/>
          <w:szCs w:val="16"/>
          <w:color w:val="auto"/>
        </w:rPr>
        <w:t>In the second quarter of fiscal 1995, the Company acquired certain assets of Boston Trading Ltd., Inc. This acquisition was completed so that the Company would own the Boston Traders(R) brand name and certain Boston Traders(R) outlet store assets. The Company currently plans to use the Boston Traders(R) brand to transition from being a single vendor retailer to a vertically integrated retailer featuring the Boston Traders(R) brand and select Levi Strauss &amp; Co. brands. In the spring of fiscal 1997, the Company plans to open up to six new specialty stores which will predominantly feature Boston Traders(R) brand product.</w:t>
      </w:r>
    </w:p>
    <w:p>
      <w:pPr>
        <w:spacing w:after="0" w:line="184"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Company continually evaluates discretionary investments in new projects that may complement its existing business. Further, as leases expire, the Company continues to evaluate the performance of its existing stores. As a result of this process, certain store locations could be closed or relocated within a center in the future.</w:t>
      </w:r>
    </w:p>
    <w:p>
      <w:pPr>
        <w:spacing w:after="0" w:line="209"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Company expects that cash flow from operations, short-term borrowings and available cash will enable it to finance its current working capital, remodeling and expansion requirements during the remainder of the fiscal year.</w:t>
      </w:r>
    </w:p>
    <w:p>
      <w:pPr>
        <w:sectPr>
          <w:pgSz w:w="11900" w:h="16838" w:orient="portrait"/>
          <w:cols w:equalWidth="0" w:num="1">
            <w:col w:w="10219"/>
          </w:cols>
          <w:pgMar w:left="240" w:top="136" w:right="1440" w:bottom="1440" w:gutter="0" w:footer="0" w:header="0"/>
        </w:sectPr>
      </w:pPr>
    </w:p>
    <w:bookmarkStart w:id="9" w:name="page10"/>
    <w:bookmarkEnd w:id="9"/>
    <w:p>
      <w:pPr>
        <w:spacing w:after="0"/>
        <w:tabs>
          <w:tab w:leader="none" w:pos="10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Company is a party to litigation and claims arising in the normal course of its business. Barring unforeseen circumstances, management does not expect the results of these actions to have a material adverse effect on the Company's business or financial condition.</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800" w:hanging="844"/>
        <w:spacing w:after="0"/>
        <w:tabs>
          <w:tab w:leader="none" w:pos="18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7" w:lineRule="exact"/>
        <w:rPr>
          <w:sz w:val="20"/>
          <w:szCs w:val="20"/>
          <w:color w:val="auto"/>
        </w:rPr>
      </w:pPr>
    </w:p>
    <w:p>
      <w:pPr>
        <w:ind w:left="960" w:right="2099"/>
        <w:spacing w:after="0" w:line="237" w:lineRule="auto"/>
        <w:rPr>
          <w:sz w:val="20"/>
          <w:szCs w:val="20"/>
          <w:color w:val="auto"/>
        </w:rPr>
      </w:pPr>
      <w:r>
        <w:rPr>
          <w:rFonts w:ascii="Courier New" w:cs="Courier New" w:eastAsia="Courier New" w:hAnsi="Courier New"/>
          <w:sz w:val="18"/>
          <w:szCs w:val="18"/>
          <w:color w:val="auto"/>
        </w:rPr>
        <w:t>The Company reported under item 5 on Form 8-K, dated April 30, 1996, certain cautionary statements of the Company to be taken account in conjunction with the consideration and review of the Company's publicly disseminated documents (including oral statements made by others on behalf of the Company) that include forward looking information.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8"/>
                <w:szCs w:val="18"/>
                <w:color w:val="auto"/>
              </w:rPr>
              <w:t>B.</w:t>
            </w:r>
          </w:p>
        </w:tc>
        <w:tc>
          <w:tcPr>
            <w:tcW w:w="6420" w:type="dxa"/>
            <w:vAlign w:val="bottom"/>
          </w:tcPr>
          <w:p>
            <w:pPr>
              <w:ind w:left="320"/>
              <w:spacing w:after="0"/>
              <w:rPr>
                <w:sz w:val="20"/>
                <w:szCs w:val="20"/>
                <w:color w:val="auto"/>
              </w:rPr>
            </w:pPr>
            <w:r>
              <w:rPr>
                <w:rFonts w:ascii="Courier New" w:cs="Courier New" w:eastAsia="Courier New" w:hAnsi="Courier New"/>
                <w:sz w:val="18"/>
                <w:szCs w:val="18"/>
                <w:color w:val="auto"/>
              </w:rPr>
              <w:t>Exhibits:</w:t>
            </w:r>
          </w:p>
        </w:tc>
        <w:tc>
          <w:tcPr>
            <w:tcW w:w="22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3.1</w:t>
            </w:r>
          </w:p>
        </w:tc>
        <w:tc>
          <w:tcPr>
            <w:tcW w:w="72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Restated Certificate of Incorporation of the Company, as</w:t>
            </w:r>
          </w:p>
        </w:tc>
        <w:tc>
          <w:tcPr>
            <w:tcW w:w="22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7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amended (included as Exhibit 3.1 to Amendment No. 3</w:t>
            </w:r>
          </w:p>
        </w:tc>
        <w:tc>
          <w:tcPr>
            <w:tcW w:w="2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to the Company's Registration Statement on Form S-1</w:t>
            </w:r>
          </w:p>
        </w:tc>
        <w:tc>
          <w:tcPr>
            <w:tcW w:w="2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(No. 33-13402), and incorporated herein by reference).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3.2</w:t>
            </w:r>
          </w:p>
        </w:tc>
        <w:tc>
          <w:tcPr>
            <w:tcW w:w="72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Certificate of Amendment to Restated Certificate of</w:t>
            </w:r>
          </w:p>
        </w:tc>
        <w:tc>
          <w:tcPr>
            <w:tcW w:w="22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7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Incorporation, as amended, dated June 22, 1993.</w:t>
            </w:r>
          </w:p>
        </w:tc>
        <w:tc>
          <w:tcPr>
            <w:tcW w:w="22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3.3</w:t>
            </w:r>
          </w:p>
        </w:tc>
        <w:tc>
          <w:tcPr>
            <w:tcW w:w="72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Certificate of Designations, Preferences and Rights of a</w:t>
            </w:r>
          </w:p>
        </w:tc>
        <w:tc>
          <w:tcPr>
            <w:tcW w:w="22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7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Series of Preferred Stock of the Company establishing Series</w:t>
            </w:r>
          </w:p>
        </w:tc>
        <w:tc>
          <w:tcPr>
            <w:tcW w:w="2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 Junior Participating Cumulative Preferred Stock dated May</w:t>
            </w:r>
          </w:p>
        </w:tc>
        <w:tc>
          <w:tcPr>
            <w:tcW w:w="2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 1995 (included as Exhibit 3.2 to the Company's Annual</w:t>
            </w:r>
          </w:p>
        </w:tc>
        <w:tc>
          <w:tcPr>
            <w:tcW w:w="2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Report on Form 10-K dated May 1, 1996, and incorporated</w:t>
            </w:r>
          </w:p>
        </w:tc>
        <w:tc>
          <w:tcPr>
            <w:tcW w:w="2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3.4</w:t>
            </w:r>
          </w:p>
        </w:tc>
        <w:tc>
          <w:tcPr>
            <w:tcW w:w="72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By-Laws of the Company, as amended (included as Exhibit 3.1</w:t>
            </w:r>
          </w:p>
        </w:tc>
        <w:tc>
          <w:tcPr>
            <w:tcW w:w="22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7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to the Company's Quarterly Report on Form 10-Q dated December</w:t>
            </w:r>
          </w:p>
        </w:tc>
        <w:tc>
          <w:tcPr>
            <w:tcW w:w="2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12, 1995 and incorporated herein by reference).</w:t>
            </w:r>
          </w:p>
        </w:tc>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4.1</w:t>
            </w:r>
          </w:p>
        </w:tc>
        <w:tc>
          <w:tcPr>
            <w:tcW w:w="72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Shareholder Rights Agreement dated as of May 1, 1995 between the</w:t>
            </w:r>
          </w:p>
        </w:tc>
        <w:tc>
          <w:tcPr>
            <w:tcW w:w="22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7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Company and its transfer agent (included as Exhibit 4.1 to the</w:t>
            </w:r>
          </w:p>
        </w:tc>
        <w:tc>
          <w:tcPr>
            <w:tcW w:w="2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Company's Current Report on Form 8-K dated May 1, 1995, and</w:t>
            </w:r>
          </w:p>
        </w:tc>
        <w:tc>
          <w:tcPr>
            <w:tcW w:w="2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10.1</w:t>
            </w:r>
          </w:p>
        </w:tc>
        <w:tc>
          <w:tcPr>
            <w:tcW w:w="72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1987 Incentive Stock Option Plan, as amended (included as</w:t>
            </w:r>
          </w:p>
        </w:tc>
        <w:tc>
          <w:tcPr>
            <w:tcW w:w="22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7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Exhibit 10.1 to the Company's Annual Report on Form 10-K dated</w:t>
            </w:r>
          </w:p>
        </w:tc>
        <w:tc>
          <w:tcPr>
            <w:tcW w:w="2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April 29, 1993, and incorporated herein by reference).</w:t>
            </w:r>
          </w:p>
        </w:tc>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10.2</w:t>
            </w:r>
          </w:p>
        </w:tc>
        <w:tc>
          <w:tcPr>
            <w:tcW w:w="72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1987 Non-Qualified Stock Option Plan, as amended (included as</w:t>
            </w:r>
          </w:p>
        </w:tc>
        <w:tc>
          <w:tcPr>
            <w:tcW w:w="22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7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Exhibit 10.2 to the Company's Annual Report on Form 10-K dated</w:t>
            </w:r>
          </w:p>
        </w:tc>
        <w:tc>
          <w:tcPr>
            <w:tcW w:w="2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April 29, 1993, and incorporated herein by reference).</w:t>
            </w:r>
          </w:p>
        </w:tc>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10.3</w:t>
            </w:r>
          </w:p>
        </w:tc>
        <w:tc>
          <w:tcPr>
            <w:tcW w:w="72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1992 Stock Incentive Plan, as amended (included as Exhibit A</w:t>
            </w:r>
          </w:p>
        </w:tc>
        <w:tc>
          <w:tcPr>
            <w:tcW w:w="22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7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to the Company's definitive proxy statement dated May 10, 1994,</w:t>
            </w:r>
          </w:p>
        </w:tc>
        <w:tc>
          <w:tcPr>
            <w:tcW w:w="2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10.4</w:t>
            </w:r>
          </w:p>
        </w:tc>
        <w:tc>
          <w:tcPr>
            <w:tcW w:w="72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Executive Incentive Plan effective through the fiscal year</w:t>
            </w:r>
          </w:p>
        </w:tc>
        <w:tc>
          <w:tcPr>
            <w:tcW w:w="22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7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8"/>
              </w:rPr>
              <w:t>ended January 28, 1995 (included as Exhibit 10.8 to the Company's</w:t>
            </w:r>
          </w:p>
        </w:tc>
        <w:tc>
          <w:tcPr>
            <w:tcW w:w="2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Annual Report on Form 10-K for the year ended January 28, 1994,</w:t>
            </w:r>
          </w:p>
        </w:tc>
        <w:tc>
          <w:tcPr>
            <w:tcW w:w="2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10.5</w:t>
            </w:r>
          </w:p>
        </w:tc>
        <w:tc>
          <w:tcPr>
            <w:tcW w:w="720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7"/>
              </w:rPr>
              <w:t>License Agreement between the Company and Levi Strauss &amp; Co. dated</w:t>
            </w:r>
          </w:p>
        </w:tc>
        <w:tc>
          <w:tcPr>
            <w:tcW w:w="22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7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as of April 14, 1992 (included as Exhibit 10.8 to the Company's</w:t>
            </w:r>
          </w:p>
        </w:tc>
        <w:tc>
          <w:tcPr>
            <w:tcW w:w="2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8"/>
              </w:rPr>
              <w:t>Annual Report on Form 10-K dated April 29, 1993, and incorporated</w:t>
            </w:r>
          </w:p>
        </w:tc>
        <w:tc>
          <w:tcPr>
            <w:tcW w:w="2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10.6</w:t>
            </w:r>
          </w:p>
        </w:tc>
        <w:tc>
          <w:tcPr>
            <w:tcW w:w="72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Credit Agreement among the Company, BayBank Boston, N.A.</w:t>
            </w:r>
          </w:p>
        </w:tc>
        <w:tc>
          <w:tcPr>
            <w:tcW w:w="22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7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("BayBank"), and State Street Bank and Trust Company</w:t>
            </w:r>
          </w:p>
        </w:tc>
        <w:tc>
          <w:tcPr>
            <w:tcW w:w="2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("State Street") dated as of November 17, 1994 (included as</w:t>
            </w:r>
          </w:p>
        </w:tc>
        <w:tc>
          <w:tcPr>
            <w:tcW w:w="2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Exhibit 1 to the Company's Current Report on Form 8-K dated</w:t>
            </w:r>
          </w:p>
        </w:tc>
        <w:tc>
          <w:tcPr>
            <w:tcW w:w="2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November 22, 1994, and incorporated herein by reference).</w:t>
            </w:r>
          </w:p>
        </w:tc>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10.7</w:t>
            </w:r>
          </w:p>
        </w:tc>
        <w:tc>
          <w:tcPr>
            <w:tcW w:w="72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Amendment dated June 2, 1995 to the Credit Agreement among the</w:t>
            </w:r>
          </w:p>
        </w:tc>
        <w:tc>
          <w:tcPr>
            <w:tcW w:w="22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7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Company, BayBank, and State Street dated as of November 17,</w:t>
            </w:r>
          </w:p>
        </w:tc>
        <w:tc>
          <w:tcPr>
            <w:tcW w:w="2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7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1994 (included as Exhibit 10.18 to the Company's Quarterly</w:t>
            </w:r>
          </w:p>
        </w:tc>
        <w:tc>
          <w:tcPr>
            <w:tcW w:w="220" w:type="dxa"/>
            <w:vAlign w:val="bottom"/>
          </w:tcPr>
          <w:p>
            <w:pPr>
              <w:spacing w:after="0"/>
              <w:rPr>
                <w:sz w:val="17"/>
                <w:szCs w:val="17"/>
                <w:color w:val="auto"/>
              </w:rPr>
            </w:pPr>
          </w:p>
        </w:tc>
      </w:tr>
    </w:tbl>
    <w:p>
      <w:pPr>
        <w:sectPr>
          <w:pgSz w:w="11900" w:h="16838" w:orient="portrait"/>
          <w:cols w:equalWidth="0" w:num="1">
            <w:col w:w="10219"/>
          </w:cols>
          <w:pgMar w:left="240" w:top="717" w:right="1440"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17"/>
                <w:szCs w:val="17"/>
                <w:color w:val="auto"/>
              </w:rPr>
            </w:pPr>
          </w:p>
        </w:tc>
        <w:tc>
          <w:tcPr>
            <w:tcW w:w="7020" w:type="dxa"/>
            <w:vAlign w:val="bottom"/>
          </w:tcPr>
          <w:p>
            <w:pPr>
              <w:ind w:left="220"/>
              <w:spacing w:after="0"/>
              <w:rPr>
                <w:sz w:val="20"/>
                <w:szCs w:val="20"/>
                <w:color w:val="auto"/>
              </w:rPr>
            </w:pPr>
            <w:r>
              <w:rPr>
                <w:rFonts w:ascii="Courier New" w:cs="Courier New" w:eastAsia="Courier New" w:hAnsi="Courier New"/>
                <w:sz w:val="18"/>
                <w:szCs w:val="18"/>
                <w:color w:val="auto"/>
              </w:rPr>
              <w:t>Report on Form 10-Q dated September 12, 1995, and incorporated</w:t>
            </w:r>
          </w:p>
        </w:tc>
        <w:tc>
          <w:tcPr>
            <w:tcW w:w="2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10.8</w:t>
            </w:r>
          </w:p>
        </w:tc>
        <w:tc>
          <w:tcPr>
            <w:tcW w:w="7020" w:type="dxa"/>
            <w:vAlign w:val="bottom"/>
          </w:tcPr>
          <w:p>
            <w:pPr>
              <w:ind w:left="220"/>
              <w:spacing w:after="0"/>
              <w:rPr>
                <w:sz w:val="20"/>
                <w:szCs w:val="20"/>
                <w:color w:val="auto"/>
              </w:rPr>
            </w:pPr>
            <w:r>
              <w:rPr>
                <w:rFonts w:ascii="Courier New" w:cs="Courier New" w:eastAsia="Courier New" w:hAnsi="Courier New"/>
                <w:sz w:val="18"/>
                <w:szCs w:val="18"/>
                <w:color w:val="auto"/>
              </w:rPr>
              <w:t>Amendment dated May 8, 1996 to the Credit Agreement among</w:t>
            </w:r>
          </w:p>
        </w:tc>
        <w:tc>
          <w:tcPr>
            <w:tcW w:w="26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the Company, BayBank, and State Street dated as of November 17,</w:t>
            </w:r>
          </w:p>
        </w:tc>
        <w:tc>
          <w:tcPr>
            <w:tcW w:w="2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1994 (included as Exhibit 10.1 to the Company's Current Report</w:t>
            </w:r>
          </w:p>
        </w:tc>
        <w:tc>
          <w:tcPr>
            <w:tcW w:w="2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on Form 8-K dated June 6, 1996, and incorporated herein by</w:t>
            </w:r>
          </w:p>
        </w:tc>
        <w:tc>
          <w:tcPr>
            <w:tcW w:w="2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reference).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10.9</w:t>
            </w:r>
          </w:p>
        </w:tc>
        <w:tc>
          <w:tcPr>
            <w:tcW w:w="7020" w:type="dxa"/>
            <w:vAlign w:val="bottom"/>
          </w:tcPr>
          <w:p>
            <w:pPr>
              <w:ind w:left="220"/>
              <w:spacing w:after="0"/>
              <w:rPr>
                <w:sz w:val="20"/>
                <w:szCs w:val="20"/>
                <w:color w:val="auto"/>
              </w:rPr>
            </w:pPr>
            <w:r>
              <w:rPr>
                <w:rFonts w:ascii="Courier New" w:cs="Courier New" w:eastAsia="Courier New" w:hAnsi="Courier New"/>
                <w:sz w:val="18"/>
                <w:szCs w:val="18"/>
                <w:color w:val="auto"/>
              </w:rPr>
              <w:t>Consulting Agreement between the Company and Stanley I. Berger</w:t>
            </w:r>
          </w:p>
        </w:tc>
        <w:tc>
          <w:tcPr>
            <w:tcW w:w="26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dated December 21, 1994 (included as Exhibit 10.7 to the</w:t>
            </w:r>
          </w:p>
        </w:tc>
        <w:tc>
          <w:tcPr>
            <w:tcW w:w="2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Company's Annual Report on Form 10-K, dated April 28, 1995,</w:t>
            </w:r>
          </w:p>
        </w:tc>
        <w:tc>
          <w:tcPr>
            <w:tcW w:w="2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10.10</w:t>
            </w:r>
          </w:p>
        </w:tc>
        <w:tc>
          <w:tcPr>
            <w:tcW w:w="7020" w:type="dxa"/>
            <w:vAlign w:val="bottom"/>
          </w:tcPr>
          <w:p>
            <w:pPr>
              <w:ind w:left="220"/>
              <w:spacing w:after="0"/>
              <w:rPr>
                <w:sz w:val="20"/>
                <w:szCs w:val="20"/>
                <w:color w:val="auto"/>
              </w:rPr>
            </w:pPr>
            <w:r>
              <w:rPr>
                <w:rFonts w:ascii="Courier New" w:cs="Courier New" w:eastAsia="Courier New" w:hAnsi="Courier New"/>
                <w:sz w:val="18"/>
                <w:szCs w:val="18"/>
                <w:color w:val="auto"/>
              </w:rPr>
              <w:t>Participation Agreement among Designs JV Corp. (the "Designs</w:t>
            </w:r>
          </w:p>
        </w:tc>
        <w:tc>
          <w:tcPr>
            <w:tcW w:w="26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Partner"), the Company, LDJV Inc. (the "LOS Partner"),</w:t>
            </w:r>
          </w:p>
        </w:tc>
        <w:tc>
          <w:tcPr>
            <w:tcW w:w="2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Levi's Only Stores, Inc. ("LOS"), Levi Strauss &amp; Co. ("LS&amp;CO")</w:t>
            </w:r>
          </w:p>
        </w:tc>
        <w:tc>
          <w:tcPr>
            <w:tcW w:w="2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Levi Strauss Associates Inc. ("LSAI") dated January 28,</w:t>
            </w:r>
          </w:p>
        </w:tc>
        <w:tc>
          <w:tcPr>
            <w:tcW w:w="2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1995 (included as Exhibit 10.1 to the Company's Current Report</w:t>
            </w:r>
          </w:p>
        </w:tc>
        <w:tc>
          <w:tcPr>
            <w:tcW w:w="2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on Form 8-K dated April 24, 1995, and incorporated herein</w:t>
            </w:r>
          </w:p>
        </w:tc>
        <w:tc>
          <w:tcPr>
            <w:tcW w:w="2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by reference).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10.11</w:t>
            </w:r>
          </w:p>
        </w:tc>
        <w:tc>
          <w:tcPr>
            <w:tcW w:w="7020" w:type="dxa"/>
            <w:vAlign w:val="bottom"/>
          </w:tcPr>
          <w:p>
            <w:pPr>
              <w:ind w:left="220"/>
              <w:spacing w:after="0"/>
              <w:rPr>
                <w:sz w:val="20"/>
                <w:szCs w:val="20"/>
                <w:color w:val="auto"/>
              </w:rPr>
            </w:pPr>
            <w:r>
              <w:rPr>
                <w:rFonts w:ascii="Courier New" w:cs="Courier New" w:eastAsia="Courier New" w:hAnsi="Courier New"/>
                <w:sz w:val="18"/>
                <w:szCs w:val="18"/>
                <w:color w:val="auto"/>
              </w:rPr>
              <w:t>Partnership Agreement of The Designs/OLS Partnership (the</w:t>
            </w:r>
          </w:p>
        </w:tc>
        <w:tc>
          <w:tcPr>
            <w:tcW w:w="26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"OLS Partnership" between the LOS Partner and the Designs</w:t>
            </w:r>
          </w:p>
        </w:tc>
        <w:tc>
          <w:tcPr>
            <w:tcW w:w="2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Partner dated January 28, 1995 (included as Exhibit 10.2 to the</w:t>
            </w:r>
          </w:p>
        </w:tc>
        <w:tc>
          <w:tcPr>
            <w:tcW w:w="2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Company's Current Report on Form 8-K dated April 24, 1995, and</w:t>
            </w:r>
          </w:p>
        </w:tc>
        <w:tc>
          <w:tcPr>
            <w:tcW w:w="2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10.12</w:t>
            </w:r>
          </w:p>
        </w:tc>
        <w:tc>
          <w:tcPr>
            <w:tcW w:w="7020" w:type="dxa"/>
            <w:vAlign w:val="bottom"/>
          </w:tcPr>
          <w:p>
            <w:pPr>
              <w:ind w:left="220"/>
              <w:spacing w:after="0"/>
              <w:rPr>
                <w:sz w:val="20"/>
                <w:szCs w:val="20"/>
                <w:color w:val="auto"/>
              </w:rPr>
            </w:pPr>
            <w:r>
              <w:rPr>
                <w:rFonts w:ascii="Courier New" w:cs="Courier New" w:eastAsia="Courier New" w:hAnsi="Courier New"/>
                <w:sz w:val="18"/>
                <w:szCs w:val="18"/>
                <w:color w:val="auto"/>
              </w:rPr>
              <w:t>Glossary executed by the Designs Partner, the Company, the</w:t>
            </w:r>
          </w:p>
        </w:tc>
        <w:tc>
          <w:tcPr>
            <w:tcW w:w="26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LOS Partner, LOS, LS&amp;CO, LSAI and the OLS Partnership dated</w:t>
            </w:r>
          </w:p>
        </w:tc>
        <w:tc>
          <w:tcPr>
            <w:tcW w:w="2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January 28, 1995 (included as Exhibit 10.3 to the Company's</w:t>
            </w:r>
          </w:p>
        </w:tc>
        <w:tc>
          <w:tcPr>
            <w:tcW w:w="2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Report on Form 8-K dated April 24, 1995, and</w:t>
            </w:r>
          </w:p>
        </w:tc>
        <w:tc>
          <w:tcPr>
            <w:tcW w:w="2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10.13</w:t>
            </w:r>
          </w:p>
        </w:tc>
        <w:tc>
          <w:tcPr>
            <w:tcW w:w="7020" w:type="dxa"/>
            <w:vAlign w:val="bottom"/>
          </w:tcPr>
          <w:p>
            <w:pPr>
              <w:ind w:left="220"/>
              <w:spacing w:after="0"/>
              <w:rPr>
                <w:sz w:val="20"/>
                <w:szCs w:val="20"/>
                <w:color w:val="auto"/>
              </w:rPr>
            </w:pPr>
            <w:r>
              <w:rPr>
                <w:rFonts w:ascii="Courier New" w:cs="Courier New" w:eastAsia="Courier New" w:hAnsi="Courier New"/>
                <w:sz w:val="18"/>
                <w:szCs w:val="18"/>
                <w:color w:val="auto"/>
              </w:rPr>
              <w:t>Sublicense Agreement between LOS and the LOS Partner dated</w:t>
            </w:r>
          </w:p>
        </w:tc>
        <w:tc>
          <w:tcPr>
            <w:tcW w:w="26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January 28, 1995 (included as Exhibit 10.4 to the Company's</w:t>
            </w:r>
          </w:p>
        </w:tc>
        <w:tc>
          <w:tcPr>
            <w:tcW w:w="2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Report on Form 8-K dated April 24, 1995, and</w:t>
            </w:r>
          </w:p>
        </w:tc>
        <w:tc>
          <w:tcPr>
            <w:tcW w:w="2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10.14</w:t>
            </w:r>
          </w:p>
        </w:tc>
        <w:tc>
          <w:tcPr>
            <w:tcW w:w="7020" w:type="dxa"/>
            <w:vAlign w:val="bottom"/>
          </w:tcPr>
          <w:p>
            <w:pPr>
              <w:ind w:left="220"/>
              <w:spacing w:after="0"/>
              <w:rPr>
                <w:sz w:val="20"/>
                <w:szCs w:val="20"/>
                <w:color w:val="auto"/>
              </w:rPr>
            </w:pPr>
            <w:r>
              <w:rPr>
                <w:rFonts w:ascii="Courier New" w:cs="Courier New" w:eastAsia="Courier New" w:hAnsi="Courier New"/>
                <w:sz w:val="18"/>
                <w:szCs w:val="18"/>
                <w:color w:val="auto"/>
              </w:rPr>
              <w:t>Sublicense Agreement between the LOS Partner and the OLS</w:t>
            </w:r>
          </w:p>
        </w:tc>
        <w:tc>
          <w:tcPr>
            <w:tcW w:w="26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Partnership (included as Exhibit 10.5 to the Company's Current</w:t>
            </w:r>
          </w:p>
        </w:tc>
        <w:tc>
          <w:tcPr>
            <w:tcW w:w="2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 on Form 8-K dated April 24, 1995, and incorporated</w:t>
            </w:r>
          </w:p>
        </w:tc>
        <w:tc>
          <w:tcPr>
            <w:tcW w:w="2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10.15</w:t>
            </w:r>
          </w:p>
        </w:tc>
        <w:tc>
          <w:tcPr>
            <w:tcW w:w="7020" w:type="dxa"/>
            <w:vAlign w:val="bottom"/>
          </w:tcPr>
          <w:p>
            <w:pPr>
              <w:ind w:left="220"/>
              <w:spacing w:after="0"/>
              <w:rPr>
                <w:sz w:val="20"/>
                <w:szCs w:val="20"/>
                <w:color w:val="auto"/>
              </w:rPr>
            </w:pPr>
            <w:r>
              <w:rPr>
                <w:rFonts w:ascii="Courier New" w:cs="Courier New" w:eastAsia="Courier New" w:hAnsi="Courier New"/>
                <w:sz w:val="18"/>
                <w:szCs w:val="18"/>
                <w:color w:val="auto"/>
              </w:rPr>
              <w:t>License Agreement between the Company and the OLS Partnership</w:t>
            </w:r>
          </w:p>
        </w:tc>
        <w:tc>
          <w:tcPr>
            <w:tcW w:w="26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(included as Exhibit 10.6 to the Company's Current Report on</w:t>
            </w:r>
          </w:p>
        </w:tc>
        <w:tc>
          <w:tcPr>
            <w:tcW w:w="2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Form 8-K dated April 24, 1995, and incorporated herein</w:t>
            </w:r>
          </w:p>
        </w:tc>
        <w:tc>
          <w:tcPr>
            <w:tcW w:w="2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by reference).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10.16</w:t>
            </w:r>
          </w:p>
        </w:tc>
        <w:tc>
          <w:tcPr>
            <w:tcW w:w="7020" w:type="dxa"/>
            <w:vAlign w:val="bottom"/>
          </w:tcPr>
          <w:p>
            <w:pPr>
              <w:ind w:left="220"/>
              <w:spacing w:after="0"/>
              <w:rPr>
                <w:sz w:val="20"/>
                <w:szCs w:val="20"/>
                <w:color w:val="auto"/>
              </w:rPr>
            </w:pPr>
            <w:r>
              <w:rPr>
                <w:rFonts w:ascii="Courier New" w:cs="Courier New" w:eastAsia="Courier New" w:hAnsi="Courier New"/>
                <w:sz w:val="18"/>
                <w:szCs w:val="18"/>
                <w:color w:val="auto"/>
              </w:rPr>
              <w:t>Administrative Services Agreement between the Company and</w:t>
            </w:r>
          </w:p>
        </w:tc>
        <w:tc>
          <w:tcPr>
            <w:tcW w:w="26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OLS Partnership dated January 28, 1995 (included as</w:t>
            </w:r>
          </w:p>
        </w:tc>
        <w:tc>
          <w:tcPr>
            <w:tcW w:w="2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Exhibit 10.7 to the Company's Current Report on Form 8-K</w:t>
            </w:r>
          </w:p>
        </w:tc>
        <w:tc>
          <w:tcPr>
            <w:tcW w:w="2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dated April 24, 1995, and incorporated herein by reference).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10.17</w:t>
            </w:r>
          </w:p>
        </w:tc>
        <w:tc>
          <w:tcPr>
            <w:tcW w:w="7020" w:type="dxa"/>
            <w:vAlign w:val="bottom"/>
          </w:tcPr>
          <w:p>
            <w:pPr>
              <w:ind w:left="220"/>
              <w:spacing w:after="0"/>
              <w:rPr>
                <w:sz w:val="20"/>
                <w:szCs w:val="20"/>
                <w:color w:val="auto"/>
              </w:rPr>
            </w:pPr>
            <w:r>
              <w:rPr>
                <w:rFonts w:ascii="Courier New" w:cs="Courier New" w:eastAsia="Courier New" w:hAnsi="Courier New"/>
                <w:sz w:val="18"/>
                <w:szCs w:val="18"/>
                <w:color w:val="auto"/>
              </w:rPr>
              <w:t>Asset Purchase Agreement between LOS and the Company relating</w:t>
            </w:r>
          </w:p>
        </w:tc>
        <w:tc>
          <w:tcPr>
            <w:tcW w:w="26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the stores located in Minneapolis, Minnesota dated January</w:t>
            </w:r>
          </w:p>
        </w:tc>
        <w:tc>
          <w:tcPr>
            <w:tcW w:w="2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28, 1995 (included as Exhibit 10.9 to the Company's Current</w:t>
            </w:r>
          </w:p>
        </w:tc>
        <w:tc>
          <w:tcPr>
            <w:tcW w:w="2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 on Form 8-K dated April 24, 1995, and incorporated</w:t>
            </w:r>
          </w:p>
        </w:tc>
        <w:tc>
          <w:tcPr>
            <w:tcW w:w="2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10.18</w:t>
            </w:r>
          </w:p>
        </w:tc>
        <w:tc>
          <w:tcPr>
            <w:tcW w:w="7020" w:type="dxa"/>
            <w:vAlign w:val="bottom"/>
          </w:tcPr>
          <w:p>
            <w:pPr>
              <w:ind w:left="220"/>
              <w:spacing w:after="0"/>
              <w:rPr>
                <w:sz w:val="20"/>
                <w:szCs w:val="20"/>
                <w:color w:val="auto"/>
              </w:rPr>
            </w:pPr>
            <w:r>
              <w:rPr>
                <w:rFonts w:ascii="Courier New" w:cs="Courier New" w:eastAsia="Courier New" w:hAnsi="Courier New"/>
                <w:sz w:val="18"/>
                <w:szCs w:val="18"/>
                <w:color w:val="auto"/>
              </w:rPr>
              <w:t>Asset Purchase Agreement between LOS and the Company relating</w:t>
            </w:r>
          </w:p>
        </w:tc>
        <w:tc>
          <w:tcPr>
            <w:tcW w:w="26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the store located in Cambridge, Massachusetts dated January</w:t>
            </w:r>
          </w:p>
        </w:tc>
        <w:tc>
          <w:tcPr>
            <w:tcW w:w="2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28, 1995 (included as Exhibit 10.10 to the Company's Current</w:t>
            </w:r>
          </w:p>
        </w:tc>
        <w:tc>
          <w:tcPr>
            <w:tcW w:w="2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 on Form 8-K dated April 24, 1995, and incorporated</w:t>
            </w:r>
          </w:p>
        </w:tc>
        <w:tc>
          <w:tcPr>
            <w:tcW w:w="2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10.19</w:t>
            </w:r>
          </w:p>
        </w:tc>
        <w:tc>
          <w:tcPr>
            <w:tcW w:w="7020" w:type="dxa"/>
            <w:vAlign w:val="bottom"/>
          </w:tcPr>
          <w:p>
            <w:pPr>
              <w:ind w:left="220"/>
              <w:spacing w:after="0"/>
              <w:rPr>
                <w:sz w:val="20"/>
                <w:szCs w:val="20"/>
                <w:color w:val="auto"/>
              </w:rPr>
            </w:pPr>
            <w:r>
              <w:rPr>
                <w:rFonts w:ascii="Courier New" w:cs="Courier New" w:eastAsia="Courier New" w:hAnsi="Courier New"/>
                <w:sz w:val="18"/>
                <w:szCs w:val="18"/>
                <w:color w:val="auto"/>
              </w:rPr>
              <w:t>Asset Purchase Agreement among Boston Trading Ltd., Inc.,</w:t>
            </w:r>
          </w:p>
        </w:tc>
        <w:tc>
          <w:tcPr>
            <w:tcW w:w="26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Designs Acquisition Corp., the Company and others dated</w:t>
            </w:r>
          </w:p>
        </w:tc>
        <w:tc>
          <w:tcPr>
            <w:tcW w:w="2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April 21, 1995 (included as Exhibit 10.16 to the Company's</w:t>
            </w:r>
          </w:p>
        </w:tc>
        <w:tc>
          <w:tcPr>
            <w:tcW w:w="2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Quarterly Report on Form 10-Q dated September 12, 1995, and</w:t>
            </w:r>
          </w:p>
        </w:tc>
        <w:tc>
          <w:tcPr>
            <w:tcW w:w="2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10.20</w:t>
            </w:r>
          </w:p>
        </w:tc>
        <w:tc>
          <w:tcPr>
            <w:tcW w:w="7020" w:type="dxa"/>
            <w:vAlign w:val="bottom"/>
          </w:tcPr>
          <w:p>
            <w:pPr>
              <w:ind w:left="220"/>
              <w:spacing w:after="0"/>
              <w:rPr>
                <w:sz w:val="20"/>
                <w:szCs w:val="20"/>
                <w:color w:val="auto"/>
              </w:rPr>
            </w:pPr>
            <w:r>
              <w:rPr>
                <w:rFonts w:ascii="Courier New" w:cs="Courier New" w:eastAsia="Courier New" w:hAnsi="Courier New"/>
                <w:sz w:val="18"/>
                <w:szCs w:val="18"/>
                <w:color w:val="auto"/>
              </w:rPr>
              <w:t>Non-Negotiable Promissory Note between the Company and</w:t>
            </w:r>
          </w:p>
        </w:tc>
        <w:tc>
          <w:tcPr>
            <w:tcW w:w="26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Atlantic Harbor, Inc., formerly known as Boston Trading Ltd.,</w:t>
            </w:r>
          </w:p>
        </w:tc>
        <w:tc>
          <w:tcPr>
            <w:tcW w:w="2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 dated May 2, 1995 (included as Exhibit 10.17 to the</w:t>
            </w:r>
          </w:p>
        </w:tc>
        <w:tc>
          <w:tcPr>
            <w:tcW w:w="2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Company's Quarterly Report on Form 10-Q dated September 12,</w:t>
            </w:r>
          </w:p>
        </w:tc>
        <w:tc>
          <w:tcPr>
            <w:tcW w:w="2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1995, and incorporated herein by reference).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10.21</w:t>
            </w:r>
          </w:p>
        </w:tc>
        <w:tc>
          <w:tcPr>
            <w:tcW w:w="7020" w:type="dxa"/>
            <w:vAlign w:val="bottom"/>
          </w:tcPr>
          <w:p>
            <w:pPr>
              <w:ind w:left="220"/>
              <w:spacing w:after="0"/>
              <w:rPr>
                <w:sz w:val="20"/>
                <w:szCs w:val="20"/>
                <w:color w:val="auto"/>
              </w:rPr>
            </w:pPr>
            <w:r>
              <w:rPr>
                <w:rFonts w:ascii="Courier New" w:cs="Courier New" w:eastAsia="Courier New" w:hAnsi="Courier New"/>
                <w:sz w:val="18"/>
                <w:szCs w:val="18"/>
                <w:color w:val="auto"/>
              </w:rPr>
              <w:t>Employment Agreement dated as of October 16, 1995 between the</w:t>
            </w:r>
          </w:p>
        </w:tc>
        <w:tc>
          <w:tcPr>
            <w:tcW w:w="26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Company and Joel H. Reichman (included as Exhibit 10.1 to the</w:t>
            </w:r>
          </w:p>
        </w:tc>
        <w:tc>
          <w:tcPr>
            <w:tcW w:w="2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Company's Current Report on Form 8-K dated December 6, 1995,</w:t>
            </w:r>
          </w:p>
        </w:tc>
        <w:tc>
          <w:tcPr>
            <w:tcW w:w="260" w:type="dxa"/>
            <w:vAlign w:val="bottom"/>
          </w:tcPr>
          <w:p>
            <w:pPr>
              <w:spacing w:after="0"/>
              <w:rPr>
                <w:sz w:val="17"/>
                <w:szCs w:val="17"/>
                <w:color w:val="auto"/>
              </w:rPr>
            </w:pPr>
          </w:p>
        </w:tc>
      </w:tr>
    </w:tbl>
    <w:p>
      <w:pPr>
        <w:sectPr>
          <w:pgSz w:w="11900" w:h="16838" w:orient="portrait"/>
          <w:cols w:equalWidth="0" w:num="1">
            <w:col w:w="10219"/>
          </w:cols>
          <w:pgMar w:left="240" w:top="136" w:right="1440"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17"/>
                <w:szCs w:val="17"/>
                <w:color w:val="auto"/>
              </w:rPr>
            </w:pPr>
          </w:p>
        </w:tc>
        <w:tc>
          <w:tcPr>
            <w:tcW w:w="1960" w:type="dxa"/>
            <w:vAlign w:val="bottom"/>
          </w:tcPr>
          <w:p>
            <w:pPr>
              <w:ind w:left="220"/>
              <w:spacing w:after="0"/>
              <w:rPr>
                <w:sz w:val="20"/>
                <w:szCs w:val="20"/>
                <w:color w:val="auto"/>
              </w:rPr>
            </w:pPr>
            <w:r>
              <w:rPr>
                <w:rFonts w:ascii="Courier New" w:cs="Courier New" w:eastAsia="Courier New" w:hAnsi="Courier New"/>
                <w:sz w:val="18"/>
                <w:szCs w:val="18"/>
                <w:color w:val="auto"/>
                <w:w w:val="99"/>
              </w:rPr>
              <w:t>and incorporated</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herein by</w:t>
            </w:r>
          </w:p>
        </w:tc>
        <w:tc>
          <w:tcPr>
            <w:tcW w:w="40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reference).</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10.22</w:t>
            </w:r>
          </w:p>
        </w:tc>
        <w:tc>
          <w:tcPr>
            <w:tcW w:w="300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8"/>
              </w:rPr>
              <w:t>Employment Agreement dated</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as of</w:t>
            </w:r>
          </w:p>
        </w:tc>
        <w:tc>
          <w:tcPr>
            <w:tcW w:w="3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October 16, 1995 between the</w:t>
            </w:r>
          </w:p>
        </w:tc>
        <w:tc>
          <w:tcPr>
            <w:tcW w:w="26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3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Company and Scott N. Semel</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(included</w:t>
            </w:r>
          </w:p>
        </w:tc>
        <w:tc>
          <w:tcPr>
            <w:tcW w:w="2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 Exhibit 10.2 to the</w:t>
            </w:r>
          </w:p>
        </w:tc>
        <w:tc>
          <w:tcPr>
            <w:tcW w:w="2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36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8"/>
              </w:rPr>
              <w:t>Company's Current Report on Form</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8-K</w:t>
            </w:r>
          </w:p>
        </w:tc>
        <w:tc>
          <w:tcPr>
            <w:tcW w:w="2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 December 6, 1995,</w:t>
            </w:r>
          </w:p>
        </w:tc>
        <w:tc>
          <w:tcPr>
            <w:tcW w:w="2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and incorporated</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herein by</w:t>
            </w:r>
          </w:p>
        </w:tc>
        <w:tc>
          <w:tcPr>
            <w:tcW w:w="40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10.23</w:t>
            </w:r>
          </w:p>
        </w:tc>
        <w:tc>
          <w:tcPr>
            <w:tcW w:w="300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8"/>
              </w:rPr>
              <w:t>Employment Agreement dated</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as of</w:t>
            </w:r>
          </w:p>
        </w:tc>
        <w:tc>
          <w:tcPr>
            <w:tcW w:w="3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October 16, 1995 between the</w:t>
            </w:r>
          </w:p>
        </w:tc>
        <w:tc>
          <w:tcPr>
            <w:tcW w:w="26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Company and Mark</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 Lisnow</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(included</w:t>
            </w:r>
          </w:p>
        </w:tc>
        <w:tc>
          <w:tcPr>
            <w:tcW w:w="2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 Exhibit 10.3 to the</w:t>
            </w:r>
          </w:p>
        </w:tc>
        <w:tc>
          <w:tcPr>
            <w:tcW w:w="2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36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8"/>
              </w:rPr>
              <w:t>Company's Current Report on Form</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8-K</w:t>
            </w:r>
          </w:p>
        </w:tc>
        <w:tc>
          <w:tcPr>
            <w:tcW w:w="2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 December 6, 1995,</w:t>
            </w:r>
          </w:p>
        </w:tc>
        <w:tc>
          <w:tcPr>
            <w:tcW w:w="2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and incorporated</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herein by</w:t>
            </w:r>
          </w:p>
        </w:tc>
        <w:tc>
          <w:tcPr>
            <w:tcW w:w="40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10.24</w:t>
            </w:r>
          </w:p>
        </w:tc>
        <w:tc>
          <w:tcPr>
            <w:tcW w:w="300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8"/>
              </w:rPr>
              <w:t>Employment Agreement dated</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as of</w:t>
            </w:r>
          </w:p>
        </w:tc>
        <w:tc>
          <w:tcPr>
            <w:tcW w:w="3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October 16, 1995 between the</w:t>
            </w:r>
          </w:p>
        </w:tc>
        <w:tc>
          <w:tcPr>
            <w:tcW w:w="26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020" w:type="dxa"/>
            <w:vAlign w:val="bottom"/>
            <w:gridSpan w:val="5"/>
          </w:tcPr>
          <w:p>
            <w:pPr>
              <w:ind w:left="220"/>
              <w:spacing w:after="0" w:line="203" w:lineRule="exact"/>
              <w:rPr>
                <w:sz w:val="20"/>
                <w:szCs w:val="20"/>
                <w:color w:val="auto"/>
              </w:rPr>
            </w:pPr>
            <w:r>
              <w:rPr>
                <w:rFonts w:ascii="Courier New" w:cs="Courier New" w:eastAsia="Courier New" w:hAnsi="Courier New"/>
                <w:sz w:val="18"/>
                <w:szCs w:val="18"/>
                <w:color w:val="auto"/>
                <w:w w:val="99"/>
              </w:rPr>
              <w:t>Company and William D. Richins (included as Exhibit 10.4 to the</w:t>
            </w:r>
          </w:p>
        </w:tc>
        <w:tc>
          <w:tcPr>
            <w:tcW w:w="2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36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8"/>
              </w:rPr>
              <w:t>Company's Current Report on Form</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8-K</w:t>
            </w:r>
          </w:p>
        </w:tc>
        <w:tc>
          <w:tcPr>
            <w:tcW w:w="2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 December 6, 1995,</w:t>
            </w:r>
          </w:p>
        </w:tc>
        <w:tc>
          <w:tcPr>
            <w:tcW w:w="2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and incorporated</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herein by</w:t>
            </w:r>
          </w:p>
        </w:tc>
        <w:tc>
          <w:tcPr>
            <w:tcW w:w="40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re: computation of per share earnings</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Data Schedule</w:t>
      </w:r>
    </w:p>
    <w:p>
      <w:pPr>
        <w:spacing w:after="0" w:line="207" w:lineRule="exact"/>
        <w:rPr>
          <w:sz w:val="20"/>
          <w:szCs w:val="20"/>
          <w:color w:val="auto"/>
        </w:rPr>
      </w:pPr>
    </w:p>
    <w:p>
      <w:pPr>
        <w:ind w:left="960" w:right="2839" w:hanging="952"/>
        <w:spacing w:after="0" w:line="237"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of the Company dated April 30, 1996 concerning certain cautionary statements of the Company to be taken into account in conjunction with the consideration and review of the Company's publicly disseminated documents (including oral statements made by others on behalf of the Company) that include forward looking information.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Previously filed with the Securities and Exchange Commission.</w:t>
      </w:r>
    </w:p>
    <w:p>
      <w:pPr>
        <w:sectPr>
          <w:pgSz w:w="11900" w:h="16838" w:orient="portrait"/>
          <w:cols w:equalWidth="0" w:num="1">
            <w:col w:w="10219"/>
          </w:cols>
          <w:pgMar w:left="240" w:top="136" w:right="1440" w:bottom="1440" w:gutter="0" w:footer="0" w:header="0"/>
        </w:sectPr>
      </w:pPr>
    </w:p>
    <w:bookmarkStart w:id="12" w:name="page13"/>
    <w:bookmarkEnd w:id="12"/>
    <w:p>
      <w:pPr>
        <w:spacing w:after="0"/>
        <w:tabs>
          <w:tab w:leader="none" w:pos="1360" w:val="left"/>
          <w:tab w:leader="none" w:pos="2940" w:val="left"/>
        </w:tabs>
        <w:rPr>
          <w:sz w:val="20"/>
          <w:szCs w:val="20"/>
          <w:color w:val="auto"/>
        </w:rPr>
      </w:pPr>
      <w:r>
        <w:rPr>
          <w:rFonts w:ascii="Courier New" w:cs="Courier New" w:eastAsia="Courier New" w:hAnsi="Courier New"/>
          <w:sz w:val="18"/>
          <w:szCs w:val="18"/>
          <w:color w:val="auto"/>
        </w:rPr>
        <w:t>Exhibit 11.</w:t>
        <w:tab/>
        <w:t>Statement Re:</w:t>
      </w:r>
      <w:r>
        <w:rPr>
          <w:sz w:val="20"/>
          <w:szCs w:val="20"/>
          <w:color w:val="auto"/>
        </w:rPr>
        <w:tab/>
      </w:r>
      <w:r>
        <w:rPr>
          <w:rFonts w:ascii="Courier New" w:cs="Courier New" w:eastAsia="Courier New" w:hAnsi="Courier New"/>
          <w:sz w:val="16"/>
          <w:szCs w:val="16"/>
          <w:color w:val="auto"/>
        </w:rPr>
        <w:t>Computation of Per Share Earnings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17"/>
                <w:szCs w:val="17"/>
                <w:color w:val="auto"/>
              </w:rPr>
            </w:pPr>
          </w:p>
        </w:tc>
        <w:tc>
          <w:tcPr>
            <w:tcW w:w="236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Three Months</w:t>
            </w:r>
          </w:p>
        </w:tc>
        <w:tc>
          <w:tcPr>
            <w:tcW w:w="194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w w:val="99"/>
              </w:rPr>
              <w:t>Twelve Months</w:t>
            </w:r>
          </w:p>
        </w:tc>
      </w:tr>
      <w:tr>
        <w:trPr>
          <w:trHeight w:val="203"/>
        </w:trPr>
        <w:tc>
          <w:tcPr>
            <w:tcW w:w="244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Ended</w:t>
            </w:r>
          </w:p>
        </w:tc>
        <w:tc>
          <w:tcPr>
            <w:tcW w:w="90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Ended</w:t>
            </w:r>
          </w:p>
        </w:tc>
        <w:tc>
          <w:tcPr>
            <w:tcW w:w="84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14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5/4/96</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4/29/95</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5/4/96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4/29/95</w:t>
            </w:r>
          </w:p>
        </w:tc>
      </w:tr>
      <w:tr>
        <w:trPr>
          <w:trHeight w:val="203"/>
        </w:trPr>
        <w:tc>
          <w:tcPr>
            <w:tcW w:w="2440" w:type="dxa"/>
            <w:vAlign w:val="bottom"/>
          </w:tcPr>
          <w:p>
            <w:pPr>
              <w:spacing w:after="0"/>
              <w:rPr>
                <w:sz w:val="17"/>
                <w:szCs w:val="17"/>
                <w:color w:val="auto"/>
              </w:rPr>
            </w:pPr>
          </w:p>
        </w:tc>
        <w:tc>
          <w:tcPr>
            <w:tcW w:w="14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40" w:type="dxa"/>
            <w:vAlign w:val="bottom"/>
          </w:tcPr>
          <w:p>
            <w:pPr>
              <w:spacing w:after="0"/>
              <w:rPr>
                <w:sz w:val="17"/>
                <w:szCs w:val="17"/>
                <w:color w:val="auto"/>
              </w:rPr>
            </w:pPr>
          </w:p>
        </w:tc>
        <w:tc>
          <w:tcPr>
            <w:tcW w:w="430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w w:val="96"/>
              </w:rPr>
              <w:t>(In thousands, except per share data)</w:t>
            </w:r>
          </w:p>
        </w:tc>
      </w:tr>
      <w:tr>
        <w:trPr>
          <w:trHeight w:val="608"/>
        </w:trPr>
        <w:tc>
          <w:tcPr>
            <w:tcW w:w="2440" w:type="dxa"/>
            <w:vAlign w:val="bottom"/>
          </w:tcPr>
          <w:p>
            <w:pPr>
              <w:spacing w:after="0"/>
              <w:rPr>
                <w:sz w:val="20"/>
                <w:szCs w:val="20"/>
                <w:color w:val="auto"/>
              </w:rPr>
            </w:pPr>
            <w:r>
              <w:rPr>
                <w:rFonts w:ascii="Courier New" w:cs="Courier New" w:eastAsia="Courier New" w:hAnsi="Courier New"/>
                <w:sz w:val="18"/>
                <w:szCs w:val="18"/>
                <w:color w:val="auto"/>
              </w:rPr>
              <w:t>Net(loss)income</w:t>
            </w:r>
          </w:p>
        </w:tc>
        <w:tc>
          <w:tcPr>
            <w:tcW w:w="14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$(1,145)</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$1,597</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$7,054</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$18,400</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Weighted average</w:t>
            </w: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1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during the period</w:t>
            </w:r>
          </w:p>
        </w:tc>
        <w:tc>
          <w:tcPr>
            <w:tcW w:w="14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15,812</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15,756</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15,778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15,867</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Net(loss) income per</w:t>
            </w: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and common</w:t>
            </w:r>
          </w:p>
        </w:tc>
        <w:tc>
          <w:tcPr>
            <w:tcW w:w="1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equivalent share</w:t>
            </w:r>
          </w:p>
        </w:tc>
        <w:tc>
          <w:tcPr>
            <w:tcW w:w="14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$(0.07)</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$0.45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$ 1.16</w:t>
            </w:r>
          </w:p>
        </w:tc>
      </w:tr>
      <w:tr>
        <w:trPr>
          <w:trHeight w:val="203"/>
        </w:trPr>
        <w:tc>
          <w:tcPr>
            <w:tcW w:w="2440" w:type="dxa"/>
            <w:vAlign w:val="bottom"/>
          </w:tcPr>
          <w:p>
            <w:pPr>
              <w:spacing w:after="0"/>
              <w:rPr>
                <w:sz w:val="17"/>
                <w:szCs w:val="17"/>
                <w:color w:val="auto"/>
              </w:rPr>
            </w:pPr>
          </w:p>
        </w:tc>
        <w:tc>
          <w:tcPr>
            <w:tcW w:w="14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717" w:right="1440" w:bottom="1440" w:gutter="0" w:footer="0" w:header="0"/>
        </w:sectPr>
      </w:pPr>
    </w:p>
    <w:bookmarkStart w:id="13" w:name="page14"/>
    <w:bookmarkEnd w:id="13"/>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 /s/ William D. Richins</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4960"/>
        <w:spacing w:after="0"/>
        <w:rPr>
          <w:sz w:val="20"/>
          <w:szCs w:val="20"/>
          <w:color w:val="auto"/>
        </w:rPr>
      </w:pPr>
      <w:r>
        <w:rPr>
          <w:rFonts w:ascii="Courier New" w:cs="Courier New" w:eastAsia="Courier New" w:hAnsi="Courier New"/>
          <w:sz w:val="18"/>
          <w:szCs w:val="18"/>
          <w:color w:val="auto"/>
        </w:rPr>
        <w:t>William D. Richins</w:t>
      </w:r>
    </w:p>
    <w:p>
      <w:pPr>
        <w:ind w:left="5060"/>
        <w:spacing w:after="0" w:line="237"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June 17, 1995</w:t>
      </w:r>
    </w:p>
    <w:p>
      <w:pPr>
        <w:sectPr>
          <w:pgSz w:w="11900" w:h="16838" w:orient="portrait"/>
          <w:cols w:equalWidth="0" w:num="1">
            <w:col w:w="10219"/>
          </w:cols>
          <w:pgMar w:left="240" w:top="925" w:right="1440" w:bottom="1440" w:gutter="0" w:footer="0" w:header="0"/>
        </w:sectPr>
      </w:pPr>
    </w:p>
    <w:bookmarkStart w:id="14" w:name="page15"/>
    <w:bookmarkEnd w:id="14"/>
    <w:p>
      <w:pPr>
        <w:ind w:left="2960"/>
        <w:spacing w:after="0"/>
        <w:rPr>
          <w:sz w:val="20"/>
          <w:szCs w:val="20"/>
          <w:color w:val="auto"/>
        </w:rPr>
      </w:pPr>
      <w:r>
        <w:rPr>
          <w:rFonts w:ascii="Courier New" w:cs="Courier New" w:eastAsia="Courier New" w:hAnsi="Courier New"/>
          <w:sz w:val="18"/>
          <w:szCs w:val="18"/>
          <w:color w:val="auto"/>
        </w:rPr>
        <w:t>CERTIFICATE OF AMENDMENT</w:t>
      </w:r>
    </w:p>
    <w:p>
      <w:pPr>
        <w:ind w:left="4120"/>
        <w:spacing w:after="0" w:line="238" w:lineRule="auto"/>
        <w:rPr>
          <w:sz w:val="20"/>
          <w:szCs w:val="20"/>
          <w:color w:val="auto"/>
        </w:rPr>
      </w:pPr>
      <w:r>
        <w:rPr>
          <w:rFonts w:ascii="Courier New" w:cs="Courier New" w:eastAsia="Courier New" w:hAnsi="Courier New"/>
          <w:sz w:val="18"/>
          <w:szCs w:val="18"/>
          <w:color w:val="auto"/>
        </w:rPr>
        <w:t>TO</w:t>
      </w:r>
    </w:p>
    <w:p>
      <w:pPr>
        <w:ind w:left="2220"/>
        <w:spacing w:after="0"/>
        <w:rPr>
          <w:sz w:val="20"/>
          <w:szCs w:val="20"/>
          <w:color w:val="auto"/>
        </w:rPr>
      </w:pPr>
      <w:r>
        <w:rPr>
          <w:rFonts w:ascii="Courier New" w:cs="Courier New" w:eastAsia="Courier New" w:hAnsi="Courier New"/>
          <w:sz w:val="18"/>
          <w:szCs w:val="18"/>
          <w:color w:val="auto"/>
        </w:rPr>
        <w:t>RESTATED CERTIFICATE OF INCORPORATION</w:t>
      </w:r>
    </w:p>
    <w:p>
      <w:pPr>
        <w:ind w:left="4120"/>
        <w:spacing w:after="0" w:line="237" w:lineRule="auto"/>
        <w:rPr>
          <w:sz w:val="20"/>
          <w:szCs w:val="20"/>
          <w:color w:val="auto"/>
        </w:rPr>
      </w:pPr>
      <w:r>
        <w:rPr>
          <w:rFonts w:ascii="Courier New" w:cs="Courier New" w:eastAsia="Courier New" w:hAnsi="Courier New"/>
          <w:sz w:val="18"/>
          <w:szCs w:val="18"/>
          <w:color w:val="auto"/>
        </w:rPr>
        <w:t>OF</w:t>
      </w:r>
    </w:p>
    <w:p>
      <w:pPr>
        <w:ind w:left="3480"/>
        <w:spacing w:after="0" w:line="238" w:lineRule="auto"/>
        <w:rPr>
          <w:sz w:val="20"/>
          <w:szCs w:val="20"/>
          <w:color w:val="auto"/>
        </w:rPr>
      </w:pPr>
      <w:r>
        <w:rPr>
          <w:rFonts w:ascii="Courier New" w:cs="Courier New" w:eastAsia="Courier New" w:hAnsi="Courier New"/>
          <w:sz w:val="18"/>
          <w:szCs w:val="18"/>
          <w:color w:val="auto"/>
        </w:rPr>
        <w:t>DESIGNS, INC.</w:t>
      </w:r>
    </w:p>
    <w:p>
      <w:pPr>
        <w:spacing w:after="0" w:line="208" w:lineRule="exact"/>
        <w:rPr>
          <w:sz w:val="20"/>
          <w:szCs w:val="20"/>
          <w:color w:val="auto"/>
        </w:rPr>
      </w:pPr>
    </w:p>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DESIGNS, INC., a corporation organized and existing under and by virtue of the General Corporation Law of the State of Delaware (the "Corporation"), DOES HEREBY CERTIFY:</w:t>
      </w:r>
    </w:p>
    <w:p>
      <w:pPr>
        <w:spacing w:after="0" w:line="209" w:lineRule="exact"/>
        <w:rPr>
          <w:sz w:val="20"/>
          <w:szCs w:val="20"/>
          <w:color w:val="auto"/>
        </w:rPr>
      </w:pPr>
    </w:p>
    <w:p>
      <w:pPr>
        <w:ind w:left="860" w:right="2319" w:hanging="859"/>
        <w:spacing w:after="0" w:line="237" w:lineRule="auto"/>
        <w:tabs>
          <w:tab w:leader="none" w:pos="840" w:val="left"/>
        </w:tabs>
        <w:rPr>
          <w:sz w:val="20"/>
          <w:szCs w:val="20"/>
          <w:color w:val="auto"/>
        </w:rPr>
      </w:pPr>
      <w:r>
        <w:rPr>
          <w:rFonts w:ascii="Courier New" w:cs="Courier New" w:eastAsia="Courier New" w:hAnsi="Courier New"/>
          <w:sz w:val="18"/>
          <w:szCs w:val="18"/>
          <w:color w:val="auto"/>
        </w:rPr>
        <w:t>FIRST:</w:t>
        <w:tab/>
        <w:t>That the Board of Directors of the Corporation at a meeting held on April 8, 1993 duly adopted resolutions proposing and declaring advisable that the Restated Certificate of Incorporation of the Corporation, as heretofore amended, be further amended, and that such amendments be submitted to the stockholders of the Corporation for their consideration, as follows:</w:t>
      </w:r>
    </w:p>
    <w:p>
      <w:pPr>
        <w:spacing w:after="0" w:line="210" w:lineRule="exact"/>
        <w:rPr>
          <w:sz w:val="20"/>
          <w:szCs w:val="20"/>
          <w:color w:val="auto"/>
        </w:rPr>
      </w:pPr>
    </w:p>
    <w:p>
      <w:pPr>
        <w:ind w:left="2220" w:right="3039" w:hanging="1359"/>
        <w:spacing w:after="0" w:line="271" w:lineRule="auto"/>
        <w:tabs>
          <w:tab w:leader="none" w:pos="2200" w:val="left"/>
        </w:tabs>
        <w:rPr>
          <w:sz w:val="20"/>
          <w:szCs w:val="20"/>
          <w:color w:val="auto"/>
        </w:rPr>
      </w:pPr>
      <w:r>
        <w:rPr>
          <w:rFonts w:ascii="Courier New" w:cs="Courier New" w:eastAsia="Courier New" w:hAnsi="Courier New"/>
          <w:sz w:val="16"/>
          <w:szCs w:val="16"/>
          <w:color w:val="auto"/>
        </w:rPr>
        <w:t>RESOLVED:</w:t>
      </w:r>
      <w:r>
        <w:rPr>
          <w:sz w:val="20"/>
          <w:szCs w:val="20"/>
          <w:color w:val="auto"/>
        </w:rPr>
        <w:tab/>
      </w:r>
      <w:r>
        <w:rPr>
          <w:rFonts w:ascii="Courier New" w:cs="Courier New" w:eastAsia="Courier New" w:hAnsi="Courier New"/>
          <w:sz w:val="16"/>
          <w:szCs w:val="16"/>
          <w:color w:val="auto"/>
        </w:rPr>
        <w:t>That the Board of Directors of the Corporation recommends and deems it advisable that the Restated Certificate of Incorporation of the Corporation, as heretofore amended, be further amended by deleting the first paragraph of Article FOURTH in its entirety and substituting therefor the following new paragraph:</w:t>
      </w:r>
    </w:p>
    <w:p>
      <w:pPr>
        <w:spacing w:after="0" w:line="188" w:lineRule="exact"/>
        <w:rPr>
          <w:sz w:val="20"/>
          <w:szCs w:val="20"/>
          <w:color w:val="auto"/>
        </w:rPr>
      </w:pPr>
    </w:p>
    <w:p>
      <w:pPr>
        <w:ind w:left="2220" w:right="2199" w:firstLine="316"/>
        <w:spacing w:after="0" w:line="271" w:lineRule="auto"/>
        <w:rPr>
          <w:sz w:val="20"/>
          <w:szCs w:val="20"/>
          <w:color w:val="auto"/>
        </w:rPr>
      </w:pPr>
      <w:r>
        <w:rPr>
          <w:rFonts w:ascii="Courier New" w:cs="Courier New" w:eastAsia="Courier New" w:hAnsi="Courier New"/>
          <w:sz w:val="16"/>
          <w:szCs w:val="16"/>
          <w:color w:val="auto"/>
        </w:rPr>
        <w:t>"FOURTH: The total number of shares of capital stock which the Corporation shall have the authority to issue shall be 50,000,000 shares of Common Stock having a par value of $.01 per share, amounting to an aggregate par value of $500,000, and 1,000,000 shares of Preferred Stock having a par value of $.01 per share, amounting to an aggregate par value of $10,000."</w:t>
      </w:r>
    </w:p>
    <w:p>
      <w:pPr>
        <w:spacing w:after="0" w:line="188" w:lineRule="exact"/>
        <w:rPr>
          <w:sz w:val="20"/>
          <w:szCs w:val="20"/>
          <w:color w:val="auto"/>
        </w:rPr>
      </w:pPr>
    </w:p>
    <w:p>
      <w:pPr>
        <w:ind w:left="2220" w:right="2739" w:hanging="1359"/>
        <w:spacing w:after="0" w:line="236" w:lineRule="auto"/>
        <w:tabs>
          <w:tab w:leader="none" w:pos="2200" w:val="left"/>
        </w:tabs>
        <w:rPr>
          <w:sz w:val="20"/>
          <w:szCs w:val="20"/>
          <w:color w:val="auto"/>
        </w:rPr>
      </w:pPr>
      <w:r>
        <w:rPr>
          <w:rFonts w:ascii="Courier New" w:cs="Courier New" w:eastAsia="Courier New" w:hAnsi="Courier New"/>
          <w:sz w:val="18"/>
          <w:szCs w:val="18"/>
          <w:color w:val="auto"/>
        </w:rPr>
        <w:t>RESOLVED:</w:t>
      </w:r>
      <w:r>
        <w:rPr>
          <w:sz w:val="20"/>
          <w:szCs w:val="20"/>
          <w:color w:val="auto"/>
        </w:rPr>
        <w:tab/>
      </w:r>
      <w:r>
        <w:rPr>
          <w:rFonts w:ascii="Courier New" w:cs="Courier New" w:eastAsia="Courier New" w:hAnsi="Courier New"/>
          <w:sz w:val="18"/>
          <w:szCs w:val="18"/>
          <w:color w:val="auto"/>
        </w:rPr>
        <w:t>That the aforesaid proposed amendment be submitted to the stockholders of the Corporation for their consideration; and</w:t>
      </w:r>
    </w:p>
    <w:p>
      <w:pPr>
        <w:spacing w:after="0" w:line="209" w:lineRule="exact"/>
        <w:rPr>
          <w:sz w:val="20"/>
          <w:szCs w:val="20"/>
          <w:color w:val="auto"/>
        </w:rPr>
      </w:pPr>
    </w:p>
    <w:p>
      <w:pPr>
        <w:ind w:left="2220" w:right="2319" w:hanging="1359"/>
        <w:spacing w:after="0" w:line="270" w:lineRule="auto"/>
        <w:tabs>
          <w:tab w:leader="none" w:pos="2200" w:val="left"/>
        </w:tabs>
        <w:rPr>
          <w:sz w:val="20"/>
          <w:szCs w:val="20"/>
          <w:color w:val="auto"/>
        </w:rPr>
      </w:pPr>
      <w:r>
        <w:rPr>
          <w:rFonts w:ascii="Courier New" w:cs="Courier New" w:eastAsia="Courier New" w:hAnsi="Courier New"/>
          <w:sz w:val="16"/>
          <w:szCs w:val="16"/>
          <w:color w:val="auto"/>
        </w:rPr>
        <w:t>RESOLVED:</w:t>
      </w:r>
      <w:r>
        <w:rPr>
          <w:sz w:val="20"/>
          <w:szCs w:val="20"/>
          <w:color w:val="auto"/>
        </w:rPr>
        <w:tab/>
      </w:r>
      <w:r>
        <w:rPr>
          <w:rFonts w:ascii="Courier New" w:cs="Courier New" w:eastAsia="Courier New" w:hAnsi="Courier New"/>
          <w:sz w:val="16"/>
          <w:szCs w:val="16"/>
          <w:color w:val="auto"/>
        </w:rPr>
        <w:t>That following the approval by the stockholders of the aforesaid proposed amendment as required by law, the officers of the Corporation be, and they hereby are, and each of them acting singly hereby is, authorized and directed (i) to prepare, execute and file with the Secretary of State of the State of Delaware a Certificate of Amendment setting forth the aforesaid amendment and (ii) to take any and all other actions necessary, desirable or convenient to give effect to the aforesaid amendments or otherwise to carry out the purposes of the foregoing Resolutions.</w:t>
      </w:r>
    </w:p>
    <w:p>
      <w:pPr>
        <w:spacing w:after="0" w:line="188" w:lineRule="exact"/>
        <w:rPr>
          <w:sz w:val="20"/>
          <w:szCs w:val="20"/>
          <w:color w:val="auto"/>
        </w:rPr>
      </w:pPr>
    </w:p>
    <w:p>
      <w:pPr>
        <w:ind w:left="860" w:right="2419" w:hanging="859"/>
        <w:spacing w:after="0" w:line="275" w:lineRule="auto"/>
        <w:tabs>
          <w:tab w:leader="none" w:pos="840" w:val="left"/>
        </w:tabs>
        <w:rPr>
          <w:sz w:val="20"/>
          <w:szCs w:val="20"/>
          <w:color w:val="auto"/>
        </w:rPr>
      </w:pPr>
      <w:r>
        <w:rPr>
          <w:rFonts w:ascii="Courier New" w:cs="Courier New" w:eastAsia="Courier New" w:hAnsi="Courier New"/>
          <w:sz w:val="16"/>
          <w:szCs w:val="16"/>
          <w:color w:val="auto"/>
        </w:rPr>
        <w:t>SECOND:</w:t>
        <w:tab/>
        <w:t>That holders of a majority of the shares of Common Stock, $.01 par value, of the Corporation outstanding and entitled to vote on the aforesaid amendment approved such amendment at the Corporation's annual meeting of stockholders held on June 8, 1993.</w:t>
      </w:r>
    </w:p>
    <w:p>
      <w:pPr>
        <w:spacing w:after="0" w:line="182" w:lineRule="exact"/>
        <w:rPr>
          <w:sz w:val="20"/>
          <w:szCs w:val="20"/>
          <w:color w:val="auto"/>
        </w:rPr>
      </w:pPr>
    </w:p>
    <w:p>
      <w:pPr>
        <w:ind w:left="860" w:right="2199" w:hanging="859"/>
        <w:spacing w:after="0" w:line="236" w:lineRule="auto"/>
        <w:tabs>
          <w:tab w:leader="none" w:pos="840" w:val="left"/>
        </w:tabs>
        <w:rPr>
          <w:sz w:val="20"/>
          <w:szCs w:val="20"/>
          <w:color w:val="auto"/>
        </w:rPr>
      </w:pPr>
      <w:r>
        <w:rPr>
          <w:rFonts w:ascii="Courier New" w:cs="Courier New" w:eastAsia="Courier New" w:hAnsi="Courier New"/>
          <w:sz w:val="18"/>
          <w:szCs w:val="18"/>
          <w:color w:val="auto"/>
        </w:rPr>
        <w:t>THIRD:</w:t>
        <w:tab/>
        <w:t>That the aforesaid amendment was duly adopted in accordance with the applicable provisions of Section 242 of the General Corporation Law of the State of Delaware.</w:t>
      </w:r>
    </w:p>
    <w:p>
      <w:pPr>
        <w:spacing w:after="0" w:line="209" w:lineRule="exact"/>
        <w:rPr>
          <w:sz w:val="20"/>
          <w:szCs w:val="20"/>
          <w:color w:val="auto"/>
        </w:rPr>
      </w:pPr>
    </w:p>
    <w:p>
      <w:pPr>
        <w:ind w:right="2619" w:firstLine="527"/>
        <w:spacing w:after="0" w:line="236" w:lineRule="auto"/>
        <w:rPr>
          <w:sz w:val="20"/>
          <w:szCs w:val="20"/>
          <w:color w:val="auto"/>
        </w:rPr>
      </w:pPr>
      <w:r>
        <w:rPr>
          <w:rFonts w:ascii="Courier New" w:cs="Courier New" w:eastAsia="Courier New" w:hAnsi="Courier New"/>
          <w:sz w:val="18"/>
          <w:szCs w:val="18"/>
          <w:color w:val="auto"/>
        </w:rPr>
        <w:t>IN WITNESS WHEREOF, Designs, Inc. has caused this certificate to be signed by Stanley I. Berger, its Chairman of the Board, and attested by Scott N. Semel,its Secretary, this 22 day of June, 1993.</w:t>
      </w:r>
    </w:p>
    <w:p>
      <w:pPr>
        <w:sectPr>
          <w:pgSz w:w="11900" w:h="16838" w:orient="portrait"/>
          <w:cols w:equalWidth="0" w:num="1">
            <w:col w:w="10219"/>
          </w:cols>
          <w:pgMar w:left="240" w:top="339"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DESIGNS, INC.</w:t>
      </w:r>
    </w:p>
    <w:p>
      <w:pPr>
        <w:spacing w:after="0" w:line="200" w:lineRule="exact"/>
        <w:rPr>
          <w:sz w:val="20"/>
          <w:szCs w:val="20"/>
          <w:color w:val="auto"/>
        </w:rPr>
      </w:pPr>
    </w:p>
    <w:p>
      <w:pPr>
        <w:sectPr>
          <w:pgSz w:w="11900" w:h="16838" w:orient="portrait"/>
          <w:cols w:equalWidth="0" w:num="2">
            <w:col w:w="3080" w:space="720"/>
            <w:col w:w="6419"/>
          </w:cols>
          <w:pgMar w:left="240" w:top="339"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960"/>
        <w:spacing w:after="0" w:line="236" w:lineRule="auto"/>
        <w:rPr>
          <w:sz w:val="20"/>
          <w:szCs w:val="20"/>
          <w:color w:val="auto"/>
        </w:rPr>
      </w:pPr>
      <w:r>
        <w:rPr>
          <w:rFonts w:ascii="Courier New" w:cs="Courier New" w:eastAsia="Courier New" w:hAnsi="Courier New"/>
          <w:sz w:val="18"/>
          <w:szCs w:val="18"/>
          <w:color w:val="auto"/>
        </w:rPr>
        <w:t>/s/ Scott N. Semel - ------------------ 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Stanley I. Berger</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Chairman of the Board</w:t>
      </w:r>
    </w:p>
    <w:p>
      <w:pPr>
        <w:sectPr>
          <w:pgSz w:w="11900" w:h="16838" w:orient="portrait"/>
          <w:cols w:equalWidth="0" w:num="2">
            <w:col w:w="3080" w:space="720"/>
            <w:col w:w="6419"/>
          </w:cols>
          <w:pgMar w:left="240" w:top="339" w:right="1440" w:bottom="1440" w:gutter="0" w:footer="0" w:header="0"/>
          <w:type w:val="continuous"/>
        </w:sectPr>
      </w:pPr>
    </w:p>
    <w:bookmarkStart w:id="15" w:name="page16"/>
    <w:bookmarkEnd w:id="15"/>
    <w:p>
      <w:pPr>
        <w:ind w:left="9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279"/>
        <w:spacing w:after="0" w:line="273"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Balance Sheets of Designs, Inc. as of May 4, 1996, April 29, 1995 and February 3, 1996 and the Consolidated Statements of Income for the three months and twelve months ending May 4, 1996 and April 29, 1995 and is qualified in its entirety by reference to such financial statements.</w:t>
      </w:r>
    </w:p>
    <w:p>
      <w:pPr>
        <w:spacing w:after="0" w:line="200" w:lineRule="exact"/>
        <w:rPr>
          <w:sz w:val="20"/>
          <w:szCs w:val="20"/>
          <w:color w:val="auto"/>
        </w:rPr>
      </w:pPr>
    </w:p>
    <w:p>
      <w:pPr>
        <w:spacing w:after="0" w:line="384"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3-MOS</w:t>
      </w:r>
    </w:p>
    <w:p>
      <w:pPr>
        <w:ind w:left="2700"/>
        <w:spacing w:after="0" w:line="238" w:lineRule="auto"/>
        <w:rPr>
          <w:sz w:val="20"/>
          <w:szCs w:val="20"/>
          <w:color w:val="auto"/>
        </w:rPr>
      </w:pPr>
      <w:r>
        <w:rPr>
          <w:rFonts w:ascii="Courier New" w:cs="Courier New" w:eastAsia="Courier New" w:hAnsi="Courier New"/>
          <w:sz w:val="18"/>
          <w:szCs w:val="18"/>
          <w:color w:val="auto"/>
        </w:rPr>
        <w:t>FEB-01-1997</w:t>
      </w:r>
    </w:p>
    <w:p>
      <w:pPr>
        <w:ind w:left="3020"/>
        <w:spacing w:after="0"/>
        <w:rPr>
          <w:sz w:val="20"/>
          <w:szCs w:val="20"/>
          <w:color w:val="auto"/>
        </w:rPr>
      </w:pPr>
      <w:r>
        <w:rPr>
          <w:rFonts w:ascii="Courier New" w:cs="Courier New" w:eastAsia="Courier New" w:hAnsi="Courier New"/>
          <w:sz w:val="18"/>
          <w:szCs w:val="18"/>
          <w:color w:val="auto"/>
        </w:rPr>
        <w:t>FEB-04-1996</w:t>
      </w:r>
    </w:p>
    <w:p>
      <w:pPr>
        <w:ind w:left="3240"/>
        <w:spacing w:after="0" w:line="237" w:lineRule="auto"/>
        <w:rPr>
          <w:sz w:val="20"/>
          <w:szCs w:val="20"/>
          <w:color w:val="auto"/>
        </w:rPr>
      </w:pPr>
      <w:r>
        <w:rPr>
          <w:rFonts w:ascii="Courier New" w:cs="Courier New" w:eastAsia="Courier New" w:hAnsi="Courier New"/>
          <w:sz w:val="18"/>
          <w:szCs w:val="18"/>
          <w:color w:val="auto"/>
        </w:rPr>
        <w:t>MAY-04-1996</w:t>
      </w:r>
    </w:p>
    <w:p>
      <w:pPr>
        <w:ind w:left="4400"/>
        <w:spacing w:after="0" w:line="238" w:lineRule="auto"/>
        <w:rPr>
          <w:sz w:val="20"/>
          <w:szCs w:val="20"/>
          <w:color w:val="auto"/>
        </w:rPr>
      </w:pPr>
      <w:r>
        <w:rPr>
          <w:rFonts w:ascii="Courier New" w:cs="Courier New" w:eastAsia="Courier New" w:hAnsi="Courier New"/>
          <w:sz w:val="18"/>
          <w:szCs w:val="18"/>
          <w:color w:val="auto"/>
        </w:rPr>
        <w:t>21,435</w:t>
      </w:r>
    </w:p>
    <w:p>
      <w:pPr>
        <w:ind w:left="4280"/>
        <w:spacing w:after="0"/>
        <w:rPr>
          <w:sz w:val="20"/>
          <w:szCs w:val="20"/>
          <w:color w:val="auto"/>
        </w:rPr>
      </w:pPr>
      <w:r>
        <w:rPr>
          <w:rFonts w:ascii="Courier New" w:cs="Courier New" w:eastAsia="Courier New" w:hAnsi="Courier New"/>
          <w:sz w:val="18"/>
          <w:szCs w:val="18"/>
          <w:color w:val="auto"/>
        </w:rPr>
        <w:t>0</w:t>
      </w:r>
    </w:p>
    <w:p>
      <w:pPr>
        <w:ind w:left="3980"/>
        <w:spacing w:after="0" w:line="237" w:lineRule="auto"/>
        <w:rPr>
          <w:sz w:val="20"/>
          <w:szCs w:val="20"/>
          <w:color w:val="auto"/>
        </w:rPr>
      </w:pPr>
      <w:r>
        <w:rPr>
          <w:rFonts w:ascii="Courier New" w:cs="Courier New" w:eastAsia="Courier New" w:hAnsi="Courier New"/>
          <w:sz w:val="18"/>
          <w:szCs w:val="18"/>
          <w:color w:val="auto"/>
        </w:rPr>
        <w:t>576</w:t>
      </w:r>
    </w:p>
    <w:p>
      <w:pPr>
        <w:ind w:left="4280"/>
        <w:spacing w:after="0"/>
        <w:rPr>
          <w:sz w:val="20"/>
          <w:szCs w:val="20"/>
          <w:color w:val="auto"/>
        </w:rPr>
      </w:pPr>
      <w:r>
        <w:rPr>
          <w:rFonts w:ascii="Courier New" w:cs="Courier New" w:eastAsia="Courier New" w:hAnsi="Courier New"/>
          <w:sz w:val="18"/>
          <w:szCs w:val="18"/>
          <w:color w:val="auto"/>
        </w:rPr>
        <w:t>0</w:t>
      </w:r>
    </w:p>
    <w:p>
      <w:pPr>
        <w:ind w:left="3860"/>
        <w:spacing w:after="0" w:line="237" w:lineRule="auto"/>
        <w:rPr>
          <w:sz w:val="20"/>
          <w:szCs w:val="20"/>
          <w:color w:val="auto"/>
        </w:rPr>
      </w:pPr>
      <w:r>
        <w:rPr>
          <w:rFonts w:ascii="Courier New" w:cs="Courier New" w:eastAsia="Courier New" w:hAnsi="Courier New"/>
          <w:sz w:val="18"/>
          <w:szCs w:val="18"/>
          <w:color w:val="auto"/>
        </w:rPr>
        <w:t>64,752</w:t>
      </w:r>
    </w:p>
    <w:p>
      <w:pPr>
        <w:ind w:left="3340"/>
        <w:spacing w:after="0"/>
        <w:rPr>
          <w:sz w:val="20"/>
          <w:szCs w:val="20"/>
          <w:color w:val="auto"/>
        </w:rPr>
      </w:pPr>
      <w:r>
        <w:rPr>
          <w:rFonts w:ascii="Courier New" w:cs="Courier New" w:eastAsia="Courier New" w:hAnsi="Courier New"/>
          <w:sz w:val="18"/>
          <w:szCs w:val="18"/>
          <w:color w:val="auto"/>
        </w:rPr>
        <w:t>93,352</w:t>
      </w:r>
    </w:p>
    <w:p>
      <w:pPr>
        <w:ind w:left="4400"/>
        <w:spacing w:after="0" w:line="237" w:lineRule="auto"/>
        <w:rPr>
          <w:sz w:val="20"/>
          <w:szCs w:val="20"/>
          <w:color w:val="auto"/>
        </w:rPr>
      </w:pPr>
      <w:r>
        <w:rPr>
          <w:rFonts w:ascii="Courier New" w:cs="Courier New" w:eastAsia="Courier New" w:hAnsi="Courier New"/>
          <w:sz w:val="18"/>
          <w:szCs w:val="18"/>
          <w:color w:val="auto"/>
        </w:rPr>
        <w:t>66,271</w:t>
      </w:r>
    </w:p>
    <w:p>
      <w:pPr>
        <w:ind w:left="3540"/>
        <w:spacing w:after="0" w:line="238" w:lineRule="auto"/>
        <w:rPr>
          <w:sz w:val="20"/>
          <w:szCs w:val="20"/>
          <w:color w:val="auto"/>
        </w:rPr>
      </w:pPr>
      <w:r>
        <w:rPr>
          <w:rFonts w:ascii="Courier New" w:cs="Courier New" w:eastAsia="Courier New" w:hAnsi="Courier New"/>
          <w:sz w:val="18"/>
          <w:szCs w:val="18"/>
          <w:color w:val="auto"/>
        </w:rPr>
        <w:t>26,990</w:t>
      </w:r>
    </w:p>
    <w:p>
      <w:pPr>
        <w:ind w:left="3440"/>
        <w:spacing w:after="0"/>
        <w:rPr>
          <w:sz w:val="20"/>
          <w:szCs w:val="20"/>
          <w:color w:val="auto"/>
        </w:rPr>
      </w:pPr>
      <w:r>
        <w:rPr>
          <w:rFonts w:ascii="Courier New" w:cs="Courier New" w:eastAsia="Courier New" w:hAnsi="Courier New"/>
          <w:sz w:val="18"/>
          <w:szCs w:val="18"/>
          <w:color w:val="auto"/>
        </w:rPr>
        <w:t>144,694</w:t>
      </w:r>
    </w:p>
    <w:p>
      <w:pPr>
        <w:ind w:left="2820"/>
        <w:spacing w:after="0" w:line="237" w:lineRule="auto"/>
        <w:rPr>
          <w:sz w:val="20"/>
          <w:szCs w:val="20"/>
          <w:color w:val="auto"/>
        </w:rPr>
      </w:pPr>
      <w:r>
        <w:rPr>
          <w:rFonts w:ascii="Courier New" w:cs="Courier New" w:eastAsia="Courier New" w:hAnsi="Courier New"/>
          <w:sz w:val="18"/>
          <w:szCs w:val="18"/>
          <w:color w:val="auto"/>
        </w:rPr>
        <w:t>33,470</w:t>
      </w:r>
    </w:p>
    <w:p>
      <w:pPr>
        <w:jc w:val="center"/>
        <w:ind w:right="439"/>
        <w:spacing w:after="0"/>
        <w:rPr>
          <w:sz w:val="20"/>
          <w:szCs w:val="20"/>
          <w:color w:val="auto"/>
        </w:rPr>
      </w:pPr>
      <w:r>
        <w:rPr>
          <w:rFonts w:ascii="Courier New" w:cs="Courier New" w:eastAsia="Courier New" w:hAnsi="Courier New"/>
          <w:sz w:val="18"/>
          <w:szCs w:val="18"/>
          <w:color w:val="auto"/>
        </w:rPr>
        <w:t>0</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rPr>
          <w:sz w:val="20"/>
          <w:szCs w:val="20"/>
          <w:color w:val="auto"/>
        </w:rPr>
      </w:pPr>
      <w:r>
        <w:rPr>
          <w:rFonts w:ascii="Courier New" w:cs="Courier New" w:eastAsia="Courier New" w:hAnsi="Courier New"/>
          <w:sz w:val="18"/>
          <w:szCs w:val="18"/>
          <w:color w:val="auto"/>
        </w:rPr>
        <w:t>0</w:t>
      </w:r>
    </w:p>
    <w:p>
      <w:pPr>
        <w:ind w:left="4500"/>
        <w:spacing w:after="0" w:line="237" w:lineRule="auto"/>
        <w:rPr>
          <w:sz w:val="20"/>
          <w:szCs w:val="20"/>
          <w:color w:val="auto"/>
        </w:rPr>
      </w:pPr>
      <w:r>
        <w:rPr>
          <w:rFonts w:ascii="Courier New" w:cs="Courier New" w:eastAsia="Courier New" w:hAnsi="Courier New"/>
          <w:sz w:val="18"/>
          <w:szCs w:val="18"/>
          <w:color w:val="auto"/>
        </w:rPr>
        <w:t>158</w:t>
      </w:r>
    </w:p>
    <w:p>
      <w:pPr>
        <w:ind w:left="3860"/>
        <w:spacing w:after="0" w:line="238" w:lineRule="auto"/>
        <w:rPr>
          <w:sz w:val="20"/>
          <w:szCs w:val="20"/>
          <w:color w:val="auto"/>
        </w:rPr>
      </w:pPr>
      <w:r>
        <w:rPr>
          <w:rFonts w:ascii="Courier New" w:cs="Courier New" w:eastAsia="Courier New" w:hAnsi="Courier New"/>
          <w:sz w:val="18"/>
          <w:szCs w:val="18"/>
          <w:color w:val="auto"/>
        </w:rPr>
        <w:t>104,695</w:t>
      </w:r>
    </w:p>
    <w:p>
      <w:pPr>
        <w:ind w:left="1960"/>
        <w:spacing w:after="0"/>
        <w:rPr>
          <w:sz w:val="20"/>
          <w:szCs w:val="20"/>
          <w:color w:val="auto"/>
        </w:rPr>
      </w:pPr>
      <w:r>
        <w:rPr>
          <w:rFonts w:ascii="Courier New" w:cs="Courier New" w:eastAsia="Courier New" w:hAnsi="Courier New"/>
          <w:sz w:val="18"/>
          <w:szCs w:val="18"/>
          <w:color w:val="auto"/>
        </w:rPr>
        <w:t>144,694</w:t>
      </w:r>
    </w:p>
    <w:p>
      <w:pPr>
        <w:ind w:left="4280"/>
        <w:spacing w:after="0" w:line="237" w:lineRule="auto"/>
        <w:rPr>
          <w:sz w:val="20"/>
          <w:szCs w:val="20"/>
          <w:color w:val="auto"/>
        </w:rPr>
      </w:pPr>
      <w:r>
        <w:rPr>
          <w:rFonts w:ascii="Courier New" w:cs="Courier New" w:eastAsia="Courier New" w:hAnsi="Courier New"/>
          <w:sz w:val="18"/>
          <w:szCs w:val="18"/>
          <w:color w:val="auto"/>
        </w:rPr>
        <w:t>59,336</w:t>
      </w:r>
    </w:p>
    <w:p>
      <w:pPr>
        <w:ind w:left="3340"/>
        <w:spacing w:after="0"/>
        <w:rPr>
          <w:sz w:val="20"/>
          <w:szCs w:val="20"/>
          <w:color w:val="auto"/>
        </w:rPr>
      </w:pPr>
      <w:r>
        <w:rPr>
          <w:rFonts w:ascii="Courier New" w:cs="Courier New" w:eastAsia="Courier New" w:hAnsi="Courier New"/>
          <w:sz w:val="18"/>
          <w:szCs w:val="18"/>
          <w:color w:val="auto"/>
        </w:rPr>
        <w:t>59,336</w:t>
      </w:r>
    </w:p>
    <w:p>
      <w:pPr>
        <w:ind w:left="4500"/>
        <w:spacing w:after="0" w:line="237" w:lineRule="auto"/>
        <w:rPr>
          <w:sz w:val="20"/>
          <w:szCs w:val="20"/>
          <w:color w:val="auto"/>
        </w:rPr>
      </w:pPr>
      <w:r>
        <w:rPr>
          <w:rFonts w:ascii="Courier New" w:cs="Courier New" w:eastAsia="Courier New" w:hAnsi="Courier New"/>
          <w:sz w:val="18"/>
          <w:szCs w:val="18"/>
          <w:color w:val="auto"/>
        </w:rPr>
        <w:t>43,179</w:t>
      </w:r>
    </w:p>
    <w:p>
      <w:pPr>
        <w:ind w:left="3660"/>
        <w:spacing w:after="0"/>
        <w:rPr>
          <w:sz w:val="20"/>
          <w:szCs w:val="20"/>
          <w:color w:val="auto"/>
        </w:rPr>
      </w:pPr>
      <w:r>
        <w:rPr>
          <w:rFonts w:ascii="Courier New" w:cs="Courier New" w:eastAsia="Courier New" w:hAnsi="Courier New"/>
          <w:sz w:val="18"/>
          <w:szCs w:val="18"/>
          <w:color w:val="auto"/>
        </w:rPr>
        <w:t>43,179</w:t>
      </w:r>
    </w:p>
    <w:p>
      <w:pPr>
        <w:ind w:left="3340"/>
        <w:spacing w:after="0" w:line="237" w:lineRule="auto"/>
        <w:rPr>
          <w:sz w:val="20"/>
          <w:szCs w:val="20"/>
          <w:color w:val="auto"/>
        </w:rPr>
      </w:pPr>
      <w:r>
        <w:rPr>
          <w:rFonts w:ascii="Courier New" w:cs="Courier New" w:eastAsia="Courier New" w:hAnsi="Courier New"/>
          <w:sz w:val="18"/>
          <w:szCs w:val="18"/>
          <w:color w:val="auto"/>
        </w:rPr>
        <w:t>18,544</w:t>
      </w:r>
    </w:p>
    <w:p>
      <w:pPr>
        <w:ind w:left="3860"/>
        <w:spacing w:after="0"/>
        <w:rPr>
          <w:sz w:val="20"/>
          <w:szCs w:val="20"/>
          <w:color w:val="auto"/>
        </w:rPr>
      </w:pPr>
      <w:r>
        <w:rPr>
          <w:rFonts w:ascii="Courier New" w:cs="Courier New" w:eastAsia="Courier New" w:hAnsi="Courier New"/>
          <w:sz w:val="18"/>
          <w:szCs w:val="18"/>
          <w:color w:val="auto"/>
        </w:rPr>
        <w:t>0</w:t>
      </w:r>
    </w:p>
    <w:p>
      <w:pPr>
        <w:ind w:left="3540"/>
        <w:spacing w:after="0" w:line="237" w:lineRule="auto"/>
        <w:rPr>
          <w:sz w:val="20"/>
          <w:szCs w:val="20"/>
          <w:color w:val="auto"/>
        </w:rPr>
      </w:pPr>
      <w:r>
        <w:rPr>
          <w:rFonts w:ascii="Courier New" w:cs="Courier New" w:eastAsia="Courier New" w:hAnsi="Courier New"/>
          <w:sz w:val="18"/>
          <w:szCs w:val="18"/>
          <w:color w:val="auto"/>
        </w:rPr>
        <w:t>44</w:t>
      </w:r>
    </w:p>
    <w:p>
      <w:pPr>
        <w:ind w:left="3340"/>
        <w:spacing w:after="0" w:line="238" w:lineRule="auto"/>
        <w:rPr>
          <w:sz w:val="20"/>
          <w:szCs w:val="20"/>
          <w:color w:val="auto"/>
        </w:rPr>
      </w:pPr>
      <w:r>
        <w:rPr>
          <w:rFonts w:ascii="Courier New" w:cs="Courier New" w:eastAsia="Courier New" w:hAnsi="Courier New"/>
          <w:sz w:val="18"/>
          <w:szCs w:val="18"/>
          <w:color w:val="auto"/>
        </w:rPr>
        <w:t>(2,113)</w:t>
      </w:r>
    </w:p>
    <w:p>
      <w:pPr>
        <w:ind w:left="3860"/>
        <w:spacing w:after="0"/>
        <w:rPr>
          <w:sz w:val="20"/>
          <w:szCs w:val="20"/>
          <w:color w:val="auto"/>
        </w:rPr>
      </w:pPr>
      <w:r>
        <w:rPr>
          <w:rFonts w:ascii="Courier New" w:cs="Courier New" w:eastAsia="Courier New" w:hAnsi="Courier New"/>
          <w:sz w:val="18"/>
          <w:szCs w:val="18"/>
          <w:color w:val="auto"/>
        </w:rPr>
        <w:t>(823)</w:t>
      </w:r>
    </w:p>
    <w:p>
      <w:pPr>
        <w:ind w:left="2920"/>
        <w:spacing w:after="0" w:line="237" w:lineRule="auto"/>
        <w:rPr>
          <w:sz w:val="20"/>
          <w:szCs w:val="20"/>
          <w:color w:val="auto"/>
        </w:rPr>
      </w:pPr>
      <w:r>
        <w:rPr>
          <w:rFonts w:ascii="Courier New" w:cs="Courier New" w:eastAsia="Courier New" w:hAnsi="Courier New"/>
          <w:sz w:val="18"/>
          <w:szCs w:val="18"/>
          <w:color w:val="auto"/>
        </w:rPr>
        <w:t>(1,145)</w:t>
      </w:r>
    </w:p>
    <w:p>
      <w:pPr>
        <w:ind w:left="4080"/>
        <w:spacing w:after="0"/>
        <w:rPr>
          <w:sz w:val="20"/>
          <w:szCs w:val="20"/>
          <w:color w:val="auto"/>
        </w:rPr>
      </w:pPr>
      <w:r>
        <w:rPr>
          <w:rFonts w:ascii="Courier New" w:cs="Courier New" w:eastAsia="Courier New" w:hAnsi="Courier New"/>
          <w:sz w:val="18"/>
          <w:szCs w:val="18"/>
          <w:color w:val="auto"/>
        </w:rPr>
        <w:t>0</w:t>
      </w:r>
    </w:p>
    <w:p>
      <w:pPr>
        <w:ind w:left="3980"/>
        <w:spacing w:after="0" w:line="237" w:lineRule="auto"/>
        <w:rPr>
          <w:sz w:val="20"/>
          <w:szCs w:val="20"/>
          <w:color w:val="auto"/>
        </w:rPr>
      </w:pPr>
      <w:r>
        <w:rPr>
          <w:rFonts w:ascii="Courier New" w:cs="Courier New" w:eastAsia="Courier New" w:hAnsi="Courier New"/>
          <w:sz w:val="18"/>
          <w:szCs w:val="18"/>
          <w:color w:val="auto"/>
        </w:rPr>
        <w:t>0</w:t>
      </w:r>
    </w:p>
    <w:p>
      <w:pPr>
        <w:ind w:left="4600"/>
        <w:spacing w:after="0"/>
        <w:rPr>
          <w:sz w:val="20"/>
          <w:szCs w:val="20"/>
          <w:color w:val="auto"/>
        </w:rPr>
      </w:pPr>
      <w:r>
        <w:rPr>
          <w:rFonts w:ascii="Courier New" w:cs="Courier New" w:eastAsia="Courier New" w:hAnsi="Courier New"/>
          <w:sz w:val="18"/>
          <w:szCs w:val="18"/>
          <w:color w:val="auto"/>
        </w:rPr>
        <w:t>0</w:t>
      </w:r>
    </w:p>
    <w:p>
      <w:pPr>
        <w:ind w:left="3660"/>
        <w:spacing w:after="0" w:line="237" w:lineRule="auto"/>
        <w:rPr>
          <w:sz w:val="20"/>
          <w:szCs w:val="20"/>
          <w:color w:val="auto"/>
        </w:rPr>
      </w:pPr>
      <w:r>
        <w:rPr>
          <w:rFonts w:ascii="Courier New" w:cs="Courier New" w:eastAsia="Courier New" w:hAnsi="Courier New"/>
          <w:sz w:val="18"/>
          <w:szCs w:val="18"/>
          <w:color w:val="auto"/>
        </w:rPr>
        <w:t>(1,145)</w:t>
      </w:r>
    </w:p>
    <w:p>
      <w:pPr>
        <w:ind w:left="3660"/>
        <w:spacing w:after="0" w:line="238" w:lineRule="auto"/>
        <w:rPr>
          <w:sz w:val="20"/>
          <w:szCs w:val="20"/>
          <w:color w:val="auto"/>
        </w:rPr>
      </w:pPr>
      <w:r>
        <w:rPr>
          <w:rFonts w:ascii="Courier New" w:cs="Courier New" w:eastAsia="Courier New" w:hAnsi="Courier New"/>
          <w:sz w:val="18"/>
          <w:szCs w:val="18"/>
          <w:color w:val="auto"/>
        </w:rPr>
        <w:t>(0.07)</w:t>
      </w:r>
    </w:p>
    <w:p>
      <w:pPr>
        <w:ind w:left="4180"/>
        <w:spacing w:after="0"/>
        <w:rPr>
          <w:sz w:val="20"/>
          <w:szCs w:val="20"/>
          <w:color w:val="auto"/>
        </w:rPr>
      </w:pPr>
      <w:r>
        <w:rPr>
          <w:rFonts w:ascii="Courier New" w:cs="Courier New" w:eastAsia="Courier New" w:hAnsi="Courier New"/>
          <w:sz w:val="18"/>
          <w:szCs w:val="18"/>
          <w:color w:val="auto"/>
        </w:rPr>
        <w:t>0</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4"/>
    </w:lvl>
  </w:abstractNum>
  <w:abstractNum w:abstractNumId="4">
    <w:nsid w:val="41B71EFB"/>
    <w:multiLevelType w:val="hybridMultilevel"/>
    <w:lvl w:ilvl="0">
      <w:lvlJc w:val="left"/>
      <w:lvlText w:val="%1."/>
      <w:numFmt w:val="decimal"/>
      <w:start w:val="5"/>
    </w:lvl>
  </w:abstractNum>
  <w:abstractNum w:abstractNumId="5">
    <w:nsid w:val="79E2A9E3"/>
    <w:multiLevelType w:val="hybridMultilevel"/>
    <w:lvl w:ilvl="0">
      <w:lvlJc w:val="left"/>
      <w:lvlText w:val="%1."/>
      <w:numFmt w:val="upperLetter"/>
      <w:start w:val="1"/>
    </w:lvl>
  </w:abstractNum>
  <w:abstractNum w:abstractNumId="6">
    <w:nsid w:val="7545E146"/>
    <w:multiLevelType w:val="hybridMultilevel"/>
    <w:lvl w:ilvl="0">
      <w:lvlJc w:val="left"/>
      <w:lvlText w:val="%1."/>
      <w:numFmt w:val="decimal"/>
      <w:start w:val="11"/>
    </w:lvl>
  </w:abstractNum>
  <w:abstractNum w:abstractNumId="7">
    <w:nsid w:val="515F007C"/>
    <w:multiLevelType w:val="hybridMultilevel"/>
    <w:lvl w:ilvl="0">
      <w:lvlJc w:val="left"/>
      <w:lvlText w:val="%1"/>
      <w:numFmt w:val="decimal"/>
      <w:start w:val="27"/>
    </w:lvl>
  </w:abstractNum>
  <w:abstractNum w:abstractNumId="8">
    <w:nsid w:val="5BD062C2"/>
    <w:multiLevelType w:val="hybridMultilevel"/>
    <w:lvl w:ilvl="0">
      <w:lvlJc w:val="left"/>
      <w:lvlText w:val="%1"/>
      <w:numFmt w:val="decimal"/>
      <w:start w:val="9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2019-12-19T21:58:43Z</dcterms:created>
  <dcterms:modified xsi:type="dcterms:W3CDTF">2019-12-19T21:58:43Z</dcterms:modified>
</cp:coreProperties>
</file>