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t>As filed with the Securities and Exchange Commission on August 25, 2006</w:t>
      </w:r>
    </w:p>
    <w:p>
      <w:pPr>
        <w:spacing w:after="0" w:line="90" w:lineRule="exact"/>
        <w:rPr>
          <w:sz w:val="24"/>
          <w:szCs w:val="24"/>
          <w:color w:val="auto"/>
        </w:rPr>
      </w:pPr>
    </w:p>
    <w:p>
      <w:pPr>
        <w:ind w:left="8940"/>
        <w:spacing w:after="0"/>
        <w:rPr>
          <w:sz w:val="20"/>
          <w:szCs w:val="20"/>
          <w:color w:val="auto"/>
        </w:rPr>
      </w:pPr>
      <w:r>
        <w:rPr>
          <w:rFonts w:ascii="Arial" w:cs="Arial" w:eastAsia="Arial" w:hAnsi="Arial"/>
          <w:sz w:val="18"/>
          <w:szCs w:val="18"/>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98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300"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UNITED STATES</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137" w:lineRule="exact"/>
        <w:rPr>
          <w:sz w:val="24"/>
          <w:szCs w:val="24"/>
          <w:color w:val="auto"/>
        </w:rPr>
      </w:pPr>
    </w:p>
    <w:p>
      <w:pPr>
        <w:jc w:val="center"/>
        <w:spacing w:after="0"/>
        <w:rPr>
          <w:sz w:val="20"/>
          <w:szCs w:val="20"/>
          <w:color w:val="auto"/>
        </w:rPr>
      </w:pPr>
      <w:r>
        <w:rPr>
          <w:rFonts w:ascii="Arial" w:cs="Arial" w:eastAsia="Arial" w:hAnsi="Arial"/>
          <w:sz w:val="24"/>
          <w:szCs w:val="24"/>
          <w:b w:val="1"/>
          <w:bCs w:val="1"/>
          <w:color w:val="auto"/>
        </w:rPr>
        <w:t>FORM S-8</w:t>
      </w:r>
    </w:p>
    <w:p>
      <w:pPr>
        <w:spacing w:after="0" w:line="36" w:lineRule="exact"/>
        <w:rPr>
          <w:sz w:val="24"/>
          <w:szCs w:val="24"/>
          <w:color w:val="auto"/>
        </w:rPr>
      </w:pPr>
    </w:p>
    <w:p>
      <w:pPr>
        <w:jc w:val="center"/>
        <w:spacing w:after="0"/>
        <w:rPr>
          <w:sz w:val="20"/>
          <w:szCs w:val="20"/>
          <w:color w:val="auto"/>
        </w:rPr>
      </w:pPr>
      <w:r>
        <w:rPr>
          <w:rFonts w:ascii="Arial" w:cs="Arial" w:eastAsia="Arial" w:hAnsi="Arial"/>
          <w:sz w:val="24"/>
          <w:szCs w:val="24"/>
          <w:b w:val="1"/>
          <w:bCs w:val="1"/>
          <w:color w:val="auto"/>
        </w:rPr>
        <w:t>REGISTRATION STATEMENT UNDER THE SECURITIES ACT OF 1933</w:t>
      </w:r>
    </w:p>
    <w:p>
      <w:pPr>
        <w:spacing w:after="0" w:line="289" w:lineRule="exact"/>
        <w:rPr>
          <w:sz w:val="24"/>
          <w:szCs w:val="24"/>
          <w:color w:val="auto"/>
        </w:rPr>
      </w:pPr>
    </w:p>
    <w:p>
      <w:pPr>
        <w:jc w:val="center"/>
        <w:ind w:right="20"/>
        <w:spacing w:after="0"/>
        <w:rPr>
          <w:sz w:val="20"/>
          <w:szCs w:val="20"/>
          <w:color w:val="auto"/>
        </w:rPr>
      </w:pPr>
      <w:r>
        <w:rPr>
          <w:rFonts w:ascii="Arial" w:cs="Arial" w:eastAsia="Arial" w:hAnsi="Arial"/>
          <w:sz w:val="43"/>
          <w:szCs w:val="43"/>
          <w:b w:val="1"/>
          <w:bCs w:val="1"/>
          <w:color w:val="auto"/>
        </w:rPr>
        <w:t>CASUAL MALE RETAIL GROUP, INC.</w:t>
      </w:r>
    </w:p>
    <w:p>
      <w:pPr>
        <w:spacing w:after="0" w:line="49"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337" w:lineRule="exact"/>
        <w:rPr>
          <w:sz w:val="24"/>
          <w:szCs w:val="24"/>
          <w:color w:val="auto"/>
        </w:rPr>
      </w:pPr>
    </w:p>
    <w:tbl>
      <w:tblPr>
        <w:tblLayout w:type="fixed"/>
        <w:tblInd w:w="0" w:type="dxa"/>
        <w:tblCellMar>
          <w:top w:w="0" w:type="dxa"/>
          <w:left w:w="0" w:type="dxa"/>
          <w:bottom w:w="0" w:type="dxa"/>
          <w:right w:w="0" w:type="dxa"/>
        </w:tblCellMar>
      </w:tblPr>
      <w:tr>
        <w:trPr>
          <w:trHeight w:val="237"/>
        </w:trPr>
        <w:tc>
          <w:tcPr>
            <w:tcW w:w="20" w:type="dxa"/>
            <w:vAlign w:val="bottom"/>
          </w:tcPr>
          <w:p>
            <w:pPr>
              <w:spacing w:after="0"/>
              <w:rPr>
                <w:sz w:val="20"/>
                <w:szCs w:val="20"/>
                <w:color w:val="auto"/>
              </w:rPr>
            </w:pPr>
          </w:p>
        </w:tc>
        <w:tc>
          <w:tcPr>
            <w:tcW w:w="172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2160" w:type="dxa"/>
            <w:vAlign w:val="bottom"/>
            <w:tcBorders>
              <w:bottom w:val="single" w:sz="8" w:color="auto"/>
            </w:tcBorders>
          </w:tcPr>
          <w:p>
            <w:pPr>
              <w:jc w:val="center"/>
              <w:ind w:right="1080"/>
              <w:spacing w:after="0"/>
              <w:rPr>
                <w:sz w:val="20"/>
                <w:szCs w:val="20"/>
                <w:color w:val="auto"/>
              </w:rPr>
            </w:pPr>
            <w:r>
              <w:rPr>
                <w:rFonts w:ascii="Arial" w:cs="Arial" w:eastAsia="Arial" w:hAnsi="Arial"/>
                <w:sz w:val="18"/>
                <w:szCs w:val="18"/>
                <w:b w:val="1"/>
                <w:bCs w:val="1"/>
                <w:color w:val="auto"/>
                <w:w w:val="91"/>
              </w:rPr>
              <w:t>Delaware</w:t>
            </w:r>
          </w:p>
        </w:tc>
        <w:tc>
          <w:tcPr>
            <w:tcW w:w="1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tcPr>
          <w:p>
            <w:pPr>
              <w:jc w:val="right"/>
              <w:ind w:right="24"/>
              <w:spacing w:after="0"/>
              <w:rPr>
                <w:sz w:val="20"/>
                <w:szCs w:val="20"/>
                <w:color w:val="auto"/>
              </w:rPr>
            </w:pPr>
            <w:r>
              <w:rPr>
                <w:rFonts w:ascii="Arial" w:cs="Arial" w:eastAsia="Arial" w:hAnsi="Arial"/>
                <w:sz w:val="18"/>
                <w:szCs w:val="18"/>
                <w:b w:val="1"/>
                <w:bCs w:val="1"/>
                <w:color w:val="auto"/>
              </w:rPr>
              <w:t>04-2623104</w:t>
            </w:r>
          </w:p>
        </w:tc>
        <w:tc>
          <w:tcPr>
            <w:tcW w:w="2160" w:type="dxa"/>
            <w:vAlign w:val="bottom"/>
            <w:tcBorders>
              <w:bottom w:val="single" w:sz="8" w:color="auto"/>
            </w:tcBorders>
          </w:tcPr>
          <w:p>
            <w:pPr>
              <w:spacing w:after="0"/>
              <w:rPr>
                <w:sz w:val="20"/>
                <w:szCs w:val="20"/>
                <w:color w:val="auto"/>
              </w:rPr>
            </w:pPr>
          </w:p>
        </w:tc>
      </w:tr>
      <w:tr>
        <w:trPr>
          <w:trHeight w:val="174"/>
        </w:trPr>
        <w:tc>
          <w:tcPr>
            <w:tcW w:w="20" w:type="dxa"/>
            <w:vAlign w:val="bottom"/>
          </w:tcPr>
          <w:p>
            <w:pPr>
              <w:spacing w:after="0"/>
              <w:rPr>
                <w:sz w:val="15"/>
                <w:szCs w:val="15"/>
                <w:color w:val="auto"/>
              </w:rPr>
            </w:pPr>
          </w:p>
        </w:tc>
        <w:tc>
          <w:tcPr>
            <w:tcW w:w="5800" w:type="dxa"/>
            <w:vAlign w:val="bottom"/>
            <w:gridSpan w:val="5"/>
          </w:tcPr>
          <w:p>
            <w:pPr>
              <w:jc w:val="center"/>
              <w:spacing w:after="0"/>
              <w:rPr>
                <w:sz w:val="20"/>
                <w:szCs w:val="20"/>
                <w:color w:val="auto"/>
              </w:rPr>
            </w:pPr>
            <w:r>
              <w:rPr>
                <w:rFonts w:ascii="Arial" w:cs="Arial" w:eastAsia="Arial" w:hAnsi="Arial"/>
                <w:sz w:val="14"/>
                <w:szCs w:val="14"/>
                <w:b w:val="1"/>
                <w:bCs w:val="1"/>
                <w:color w:val="auto"/>
                <w:w w:val="87"/>
              </w:rPr>
              <w:t>(State or other jurisdiction of incorporation or organization)</w:t>
            </w:r>
          </w:p>
        </w:tc>
        <w:tc>
          <w:tcPr>
            <w:tcW w:w="2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940" w:type="dxa"/>
            <w:vAlign w:val="bottom"/>
            <w:gridSpan w:val="2"/>
          </w:tcPr>
          <w:p>
            <w:pPr>
              <w:jc w:val="center"/>
              <w:ind w:right="1342"/>
              <w:spacing w:after="0"/>
              <w:rPr>
                <w:sz w:val="20"/>
                <w:szCs w:val="20"/>
                <w:color w:val="auto"/>
              </w:rPr>
            </w:pPr>
            <w:r>
              <w:rPr>
                <w:rFonts w:ascii="Arial" w:cs="Arial" w:eastAsia="Arial" w:hAnsi="Arial"/>
                <w:sz w:val="14"/>
                <w:szCs w:val="14"/>
                <w:b w:val="1"/>
                <w:bCs w:val="1"/>
                <w:color w:val="auto"/>
                <w:w w:val="90"/>
              </w:rPr>
              <w:t>(I.R.S. Employer Identification No.)</w:t>
            </w:r>
          </w:p>
        </w:tc>
      </w:tr>
      <w:tr>
        <w:trPr>
          <w:trHeight w:val="629"/>
        </w:trPr>
        <w:tc>
          <w:tcPr>
            <w:tcW w:w="20" w:type="dxa"/>
            <w:vAlign w:val="bottom"/>
          </w:tcPr>
          <w:p>
            <w:pPr>
              <w:spacing w:after="0"/>
              <w:rPr>
                <w:sz w:val="24"/>
                <w:szCs w:val="24"/>
                <w:color w:val="auto"/>
              </w:rPr>
            </w:pPr>
          </w:p>
        </w:tc>
        <w:tc>
          <w:tcPr>
            <w:tcW w:w="4560" w:type="dxa"/>
            <w:vAlign w:val="bottom"/>
            <w:tcBorders>
              <w:bottom w:val="single" w:sz="8" w:color="auto"/>
            </w:tcBorders>
            <w:gridSpan w:val="3"/>
          </w:tcPr>
          <w:p>
            <w:pPr>
              <w:jc w:val="center"/>
              <w:ind w:left="1162"/>
              <w:spacing w:after="0"/>
              <w:rPr>
                <w:sz w:val="20"/>
                <w:szCs w:val="20"/>
                <w:color w:val="auto"/>
              </w:rPr>
            </w:pPr>
            <w:r>
              <w:rPr>
                <w:rFonts w:ascii="Arial" w:cs="Arial" w:eastAsia="Arial" w:hAnsi="Arial"/>
                <w:sz w:val="18"/>
                <w:szCs w:val="18"/>
                <w:b w:val="1"/>
                <w:bCs w:val="1"/>
                <w:color w:val="auto"/>
                <w:w w:val="87"/>
              </w:rPr>
              <w:t>555 Turnpike Street, Canton, Massachusetts</w:t>
            </w:r>
          </w:p>
        </w:tc>
        <w:tc>
          <w:tcPr>
            <w:tcW w:w="1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tcPr>
          <w:p>
            <w:pPr>
              <w:jc w:val="right"/>
              <w:ind w:right="224"/>
              <w:spacing w:after="0"/>
              <w:rPr>
                <w:sz w:val="20"/>
                <w:szCs w:val="20"/>
                <w:color w:val="auto"/>
              </w:rPr>
            </w:pPr>
            <w:r>
              <w:rPr>
                <w:rFonts w:ascii="Arial" w:cs="Arial" w:eastAsia="Arial" w:hAnsi="Arial"/>
                <w:sz w:val="18"/>
                <w:szCs w:val="18"/>
                <w:b w:val="1"/>
                <w:bCs w:val="1"/>
                <w:color w:val="auto"/>
              </w:rPr>
              <w:t>02021</w:t>
            </w:r>
          </w:p>
        </w:tc>
        <w:tc>
          <w:tcPr>
            <w:tcW w:w="2160" w:type="dxa"/>
            <w:vAlign w:val="bottom"/>
            <w:tcBorders>
              <w:bottom w:val="single" w:sz="8" w:color="auto"/>
            </w:tcBorders>
          </w:tcPr>
          <w:p>
            <w:pPr>
              <w:spacing w:after="0"/>
              <w:rPr>
                <w:sz w:val="24"/>
                <w:szCs w:val="24"/>
                <w:color w:val="auto"/>
              </w:rPr>
            </w:pPr>
          </w:p>
        </w:tc>
      </w:tr>
      <w:tr>
        <w:trPr>
          <w:trHeight w:val="174"/>
        </w:trPr>
        <w:tc>
          <w:tcPr>
            <w:tcW w:w="2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284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87"/>
              </w:rPr>
              <w:t>(Address of Principal Executive Offices)</w:t>
            </w: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780" w:type="dxa"/>
            <w:vAlign w:val="bottom"/>
          </w:tcPr>
          <w:p>
            <w:pPr>
              <w:jc w:val="center"/>
              <w:ind w:left="664"/>
              <w:spacing w:after="0"/>
              <w:rPr>
                <w:sz w:val="20"/>
                <w:szCs w:val="20"/>
                <w:color w:val="auto"/>
              </w:rPr>
            </w:pPr>
            <w:r>
              <w:rPr>
                <w:rFonts w:ascii="Arial" w:cs="Arial" w:eastAsia="Arial" w:hAnsi="Arial"/>
                <w:sz w:val="14"/>
                <w:szCs w:val="14"/>
                <w:b w:val="1"/>
                <w:bCs w:val="1"/>
                <w:color w:val="auto"/>
                <w:w w:val="92"/>
              </w:rPr>
              <w:t>(Zip Code)</w:t>
            </w:r>
          </w:p>
        </w:tc>
        <w:tc>
          <w:tcPr>
            <w:tcW w:w="2160" w:type="dxa"/>
            <w:vAlign w:val="bottom"/>
          </w:tcPr>
          <w:p>
            <w:pPr>
              <w:spacing w:after="0"/>
              <w:rPr>
                <w:sz w:val="15"/>
                <w:szCs w:val="15"/>
                <w:color w:val="auto"/>
              </w:rPr>
            </w:pPr>
          </w:p>
        </w:tc>
      </w:tr>
      <w:tr>
        <w:trPr>
          <w:trHeight w:val="500"/>
        </w:trPr>
        <w:tc>
          <w:tcPr>
            <w:tcW w:w="2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060" w:type="dxa"/>
            <w:vAlign w:val="bottom"/>
            <w:gridSpan w:val="6"/>
          </w:tcPr>
          <w:p>
            <w:pPr>
              <w:jc w:val="center"/>
              <w:ind w:left="1460"/>
              <w:spacing w:after="0"/>
              <w:rPr>
                <w:sz w:val="20"/>
                <w:szCs w:val="20"/>
                <w:color w:val="auto"/>
              </w:rPr>
            </w:pPr>
            <w:r>
              <w:rPr>
                <w:rFonts w:ascii="Arial" w:cs="Arial" w:eastAsia="Arial" w:hAnsi="Arial"/>
                <w:sz w:val="18"/>
                <w:szCs w:val="18"/>
                <w:b w:val="1"/>
                <w:bCs w:val="1"/>
                <w:color w:val="auto"/>
                <w:w w:val="98"/>
              </w:rPr>
              <w:t>CASUAL MALE RETAIL GROUP, INC.</w:t>
            </w:r>
          </w:p>
        </w:tc>
        <w:tc>
          <w:tcPr>
            <w:tcW w:w="1780" w:type="dxa"/>
            <w:vAlign w:val="bottom"/>
          </w:tcPr>
          <w:p>
            <w:pPr>
              <w:spacing w:after="0"/>
              <w:rPr>
                <w:sz w:val="24"/>
                <w:szCs w:val="24"/>
                <w:color w:val="auto"/>
              </w:rPr>
            </w:pPr>
          </w:p>
        </w:tc>
        <w:tc>
          <w:tcPr>
            <w:tcW w:w="2160" w:type="dxa"/>
            <w:vAlign w:val="bottom"/>
          </w:tcPr>
          <w:p>
            <w:pPr>
              <w:spacing w:after="0"/>
              <w:rPr>
                <w:sz w:val="24"/>
                <w:szCs w:val="24"/>
                <w:color w:val="auto"/>
              </w:rPr>
            </w:pPr>
          </w:p>
        </w:tc>
      </w:tr>
      <w:tr>
        <w:trPr>
          <w:trHeight w:val="218"/>
        </w:trPr>
        <w:tc>
          <w:tcPr>
            <w:tcW w:w="2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060" w:type="dxa"/>
            <w:vAlign w:val="bottom"/>
            <w:gridSpan w:val="6"/>
          </w:tcPr>
          <w:p>
            <w:pPr>
              <w:jc w:val="center"/>
              <w:ind w:left="1460"/>
              <w:spacing w:after="0"/>
              <w:rPr>
                <w:sz w:val="20"/>
                <w:szCs w:val="20"/>
                <w:color w:val="auto"/>
              </w:rPr>
            </w:pPr>
            <w:r>
              <w:rPr>
                <w:rFonts w:ascii="Arial" w:cs="Arial" w:eastAsia="Arial" w:hAnsi="Arial"/>
                <w:sz w:val="18"/>
                <w:szCs w:val="18"/>
                <w:b w:val="1"/>
                <w:bCs w:val="1"/>
                <w:color w:val="auto"/>
                <w:w w:val="97"/>
              </w:rPr>
              <w:t>2006 INCENTIVE COMPENSATION PLAN</w:t>
            </w:r>
          </w:p>
        </w:tc>
        <w:tc>
          <w:tcPr>
            <w:tcW w:w="1780" w:type="dxa"/>
            <w:vAlign w:val="bottom"/>
          </w:tcPr>
          <w:p>
            <w:pPr>
              <w:spacing w:after="0"/>
              <w:rPr>
                <w:sz w:val="18"/>
                <w:szCs w:val="18"/>
                <w:color w:val="auto"/>
              </w:rPr>
            </w:pPr>
          </w:p>
        </w:tc>
        <w:tc>
          <w:tcPr>
            <w:tcW w:w="2160" w:type="dxa"/>
            <w:vAlign w:val="bottom"/>
          </w:tcPr>
          <w:p>
            <w:pPr>
              <w:spacing w:after="0"/>
              <w:rPr>
                <w:sz w:val="18"/>
                <w:szCs w:val="18"/>
                <w:color w:val="auto"/>
              </w:rPr>
            </w:pPr>
          </w:p>
        </w:tc>
      </w:tr>
      <w:tr>
        <w:trPr>
          <w:trHeight w:val="174"/>
        </w:trPr>
        <w:tc>
          <w:tcPr>
            <w:tcW w:w="2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760" w:type="dxa"/>
            <w:vAlign w:val="bottom"/>
            <w:gridSpan w:val="4"/>
          </w:tcPr>
          <w:p>
            <w:pPr>
              <w:jc w:val="center"/>
              <w:ind w:right="780"/>
              <w:spacing w:after="0"/>
              <w:rPr>
                <w:sz w:val="20"/>
                <w:szCs w:val="20"/>
                <w:color w:val="auto"/>
              </w:rPr>
            </w:pPr>
            <w:r>
              <w:rPr>
                <w:rFonts w:ascii="Arial" w:cs="Arial" w:eastAsia="Arial" w:hAnsi="Arial"/>
                <w:sz w:val="14"/>
                <w:szCs w:val="14"/>
                <w:b w:val="1"/>
                <w:bCs w:val="1"/>
                <w:color w:val="auto"/>
                <w:w w:val="88"/>
              </w:rPr>
              <w:t>(Full title of the plan)</w:t>
            </w:r>
          </w:p>
        </w:tc>
        <w:tc>
          <w:tcPr>
            <w:tcW w:w="1780" w:type="dxa"/>
            <w:vAlign w:val="bottom"/>
          </w:tcPr>
          <w:p>
            <w:pPr>
              <w:spacing w:after="0"/>
              <w:rPr>
                <w:sz w:val="15"/>
                <w:szCs w:val="15"/>
                <w:color w:val="auto"/>
              </w:rPr>
            </w:pPr>
          </w:p>
        </w:tc>
        <w:tc>
          <w:tcPr>
            <w:tcW w:w="2160" w:type="dxa"/>
            <w:vAlign w:val="bottom"/>
          </w:tcPr>
          <w:p>
            <w:pPr>
              <w:spacing w:after="0"/>
              <w:rPr>
                <w:sz w:val="15"/>
                <w:szCs w:val="15"/>
                <w:color w:val="auto"/>
              </w:rPr>
            </w:pPr>
          </w:p>
        </w:tc>
      </w:tr>
      <w:tr>
        <w:trPr>
          <w:trHeight w:val="357"/>
        </w:trPr>
        <w:tc>
          <w:tcPr>
            <w:tcW w:w="2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760" w:type="dxa"/>
            <w:vAlign w:val="bottom"/>
            <w:gridSpan w:val="4"/>
          </w:tcPr>
          <w:p>
            <w:pPr>
              <w:jc w:val="center"/>
              <w:ind w:right="760"/>
              <w:spacing w:after="0"/>
              <w:rPr>
                <w:sz w:val="20"/>
                <w:szCs w:val="20"/>
                <w:color w:val="auto"/>
              </w:rPr>
            </w:pPr>
            <w:r>
              <w:rPr>
                <w:rFonts w:ascii="Arial" w:cs="Arial" w:eastAsia="Arial" w:hAnsi="Arial"/>
                <w:sz w:val="18"/>
                <w:szCs w:val="18"/>
                <w:color w:val="auto"/>
                <w:w w:val="88"/>
              </w:rPr>
              <w:t>Dennis R. Hernreich</w:t>
            </w:r>
          </w:p>
        </w:tc>
        <w:tc>
          <w:tcPr>
            <w:tcW w:w="1780" w:type="dxa"/>
            <w:vAlign w:val="bottom"/>
          </w:tcPr>
          <w:p>
            <w:pPr>
              <w:spacing w:after="0"/>
              <w:rPr>
                <w:sz w:val="24"/>
                <w:szCs w:val="24"/>
                <w:color w:val="auto"/>
              </w:rPr>
            </w:pPr>
          </w:p>
        </w:tc>
        <w:tc>
          <w:tcPr>
            <w:tcW w:w="2160" w:type="dxa"/>
            <w:vAlign w:val="bottom"/>
          </w:tcPr>
          <w:p>
            <w:pPr>
              <w:spacing w:after="0"/>
              <w:rPr>
                <w:sz w:val="24"/>
                <w:szCs w:val="24"/>
                <w:color w:val="auto"/>
              </w:rPr>
            </w:pPr>
          </w:p>
        </w:tc>
      </w:tr>
      <w:tr>
        <w:trPr>
          <w:trHeight w:val="216"/>
        </w:trPr>
        <w:tc>
          <w:tcPr>
            <w:tcW w:w="2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760" w:type="dxa"/>
            <w:vAlign w:val="bottom"/>
            <w:gridSpan w:val="4"/>
          </w:tcPr>
          <w:p>
            <w:pPr>
              <w:jc w:val="center"/>
              <w:ind w:right="760"/>
              <w:spacing w:after="0"/>
              <w:rPr>
                <w:sz w:val="20"/>
                <w:szCs w:val="20"/>
                <w:color w:val="auto"/>
              </w:rPr>
            </w:pPr>
            <w:r>
              <w:rPr>
                <w:rFonts w:ascii="Arial" w:cs="Arial" w:eastAsia="Arial" w:hAnsi="Arial"/>
                <w:sz w:val="18"/>
                <w:szCs w:val="18"/>
                <w:color w:val="auto"/>
                <w:w w:val="92"/>
              </w:rPr>
              <w:t>Chief Financial Officer</w:t>
            </w:r>
          </w:p>
        </w:tc>
        <w:tc>
          <w:tcPr>
            <w:tcW w:w="1780" w:type="dxa"/>
            <w:vAlign w:val="bottom"/>
          </w:tcPr>
          <w:p>
            <w:pPr>
              <w:spacing w:after="0"/>
              <w:rPr>
                <w:sz w:val="18"/>
                <w:szCs w:val="18"/>
                <w:color w:val="auto"/>
              </w:rPr>
            </w:pPr>
          </w:p>
        </w:tc>
        <w:tc>
          <w:tcPr>
            <w:tcW w:w="2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2900" w:type="dxa"/>
            <w:vAlign w:val="bottom"/>
            <w:gridSpan w:val="5"/>
          </w:tcPr>
          <w:p>
            <w:pPr>
              <w:jc w:val="center"/>
              <w:ind w:right="620"/>
              <w:spacing w:after="0"/>
              <w:rPr>
                <w:sz w:val="20"/>
                <w:szCs w:val="20"/>
                <w:color w:val="auto"/>
              </w:rPr>
            </w:pPr>
            <w:r>
              <w:rPr>
                <w:rFonts w:ascii="Arial" w:cs="Arial" w:eastAsia="Arial" w:hAnsi="Arial"/>
                <w:sz w:val="18"/>
                <w:szCs w:val="18"/>
                <w:color w:val="auto"/>
                <w:w w:val="89"/>
              </w:rPr>
              <w:t>Casual Male Retail Group, Inc.</w:t>
            </w:r>
          </w:p>
        </w:tc>
        <w:tc>
          <w:tcPr>
            <w:tcW w:w="1780" w:type="dxa"/>
            <w:vAlign w:val="bottom"/>
          </w:tcPr>
          <w:p>
            <w:pPr>
              <w:spacing w:after="0"/>
              <w:rPr>
                <w:sz w:val="18"/>
                <w:szCs w:val="18"/>
                <w:color w:val="auto"/>
              </w:rPr>
            </w:pPr>
          </w:p>
        </w:tc>
        <w:tc>
          <w:tcPr>
            <w:tcW w:w="2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760" w:type="dxa"/>
            <w:vAlign w:val="bottom"/>
            <w:gridSpan w:val="4"/>
          </w:tcPr>
          <w:p>
            <w:pPr>
              <w:jc w:val="center"/>
              <w:ind w:right="760"/>
              <w:spacing w:after="0"/>
              <w:rPr>
                <w:sz w:val="20"/>
                <w:szCs w:val="20"/>
                <w:color w:val="auto"/>
              </w:rPr>
            </w:pPr>
            <w:r>
              <w:rPr>
                <w:rFonts w:ascii="Arial" w:cs="Arial" w:eastAsia="Arial" w:hAnsi="Arial"/>
                <w:sz w:val="18"/>
                <w:szCs w:val="18"/>
                <w:color w:val="auto"/>
                <w:w w:val="88"/>
              </w:rPr>
              <w:t>555 Turnpike Street</w:t>
            </w:r>
          </w:p>
        </w:tc>
        <w:tc>
          <w:tcPr>
            <w:tcW w:w="1780" w:type="dxa"/>
            <w:vAlign w:val="bottom"/>
          </w:tcPr>
          <w:p>
            <w:pPr>
              <w:spacing w:after="0"/>
              <w:rPr>
                <w:sz w:val="18"/>
                <w:szCs w:val="18"/>
                <w:color w:val="auto"/>
              </w:rPr>
            </w:pPr>
          </w:p>
        </w:tc>
        <w:tc>
          <w:tcPr>
            <w:tcW w:w="2160" w:type="dxa"/>
            <w:vAlign w:val="bottom"/>
          </w:tcPr>
          <w:p>
            <w:pPr>
              <w:spacing w:after="0"/>
              <w:rPr>
                <w:sz w:val="18"/>
                <w:szCs w:val="18"/>
                <w:color w:val="auto"/>
              </w:rPr>
            </w:pPr>
          </w:p>
        </w:tc>
      </w:tr>
      <w:tr>
        <w:trPr>
          <w:trHeight w:val="212"/>
        </w:trPr>
        <w:tc>
          <w:tcPr>
            <w:tcW w:w="2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2900" w:type="dxa"/>
            <w:vAlign w:val="bottom"/>
            <w:gridSpan w:val="5"/>
          </w:tcPr>
          <w:p>
            <w:pPr>
              <w:jc w:val="center"/>
              <w:ind w:right="640"/>
              <w:spacing w:after="0"/>
              <w:rPr>
                <w:sz w:val="20"/>
                <w:szCs w:val="20"/>
                <w:color w:val="auto"/>
              </w:rPr>
            </w:pPr>
            <w:r>
              <w:rPr>
                <w:rFonts w:ascii="Arial" w:cs="Arial" w:eastAsia="Arial" w:hAnsi="Arial"/>
                <w:sz w:val="18"/>
                <w:szCs w:val="18"/>
                <w:color w:val="auto"/>
                <w:w w:val="86"/>
              </w:rPr>
              <w:t>Canton, Massachusetts 02021</w:t>
            </w:r>
          </w:p>
        </w:tc>
        <w:tc>
          <w:tcPr>
            <w:tcW w:w="1780" w:type="dxa"/>
            <w:vAlign w:val="bottom"/>
          </w:tcPr>
          <w:p>
            <w:pPr>
              <w:spacing w:after="0"/>
              <w:rPr>
                <w:sz w:val="18"/>
                <w:szCs w:val="18"/>
                <w:color w:val="auto"/>
              </w:rPr>
            </w:pPr>
          </w:p>
        </w:tc>
        <w:tc>
          <w:tcPr>
            <w:tcW w:w="2160" w:type="dxa"/>
            <w:vAlign w:val="bottom"/>
          </w:tcPr>
          <w:p>
            <w:pPr>
              <w:spacing w:after="0"/>
              <w:rPr>
                <w:sz w:val="18"/>
                <w:szCs w:val="18"/>
                <w:color w:val="auto"/>
              </w:rPr>
            </w:pPr>
          </w:p>
        </w:tc>
      </w:tr>
      <w:tr>
        <w:trPr>
          <w:trHeight w:val="174"/>
        </w:trPr>
        <w:tc>
          <w:tcPr>
            <w:tcW w:w="2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160" w:type="dxa"/>
            <w:vAlign w:val="bottom"/>
          </w:tcPr>
          <w:p>
            <w:pPr>
              <w:spacing w:after="0"/>
              <w:rPr>
                <w:sz w:val="15"/>
                <w:szCs w:val="15"/>
                <w:color w:val="auto"/>
              </w:rPr>
            </w:pPr>
          </w:p>
        </w:tc>
        <w:tc>
          <w:tcPr>
            <w:tcW w:w="2900" w:type="dxa"/>
            <w:vAlign w:val="bottom"/>
            <w:gridSpan w:val="5"/>
          </w:tcPr>
          <w:p>
            <w:pPr>
              <w:jc w:val="center"/>
              <w:ind w:right="620"/>
              <w:spacing w:after="0"/>
              <w:rPr>
                <w:sz w:val="20"/>
                <w:szCs w:val="20"/>
                <w:color w:val="auto"/>
              </w:rPr>
            </w:pPr>
            <w:r>
              <w:rPr>
                <w:rFonts w:ascii="Arial" w:cs="Arial" w:eastAsia="Arial" w:hAnsi="Arial"/>
                <w:sz w:val="14"/>
                <w:szCs w:val="14"/>
                <w:b w:val="1"/>
                <w:bCs w:val="1"/>
                <w:color w:val="auto"/>
                <w:w w:val="85"/>
              </w:rPr>
              <w:t>(Name and address of agent for service)</w:t>
            </w:r>
          </w:p>
        </w:tc>
        <w:tc>
          <w:tcPr>
            <w:tcW w:w="1780" w:type="dxa"/>
            <w:vAlign w:val="bottom"/>
          </w:tcPr>
          <w:p>
            <w:pPr>
              <w:spacing w:after="0"/>
              <w:rPr>
                <w:sz w:val="15"/>
                <w:szCs w:val="15"/>
                <w:color w:val="auto"/>
              </w:rPr>
            </w:pPr>
          </w:p>
        </w:tc>
        <w:tc>
          <w:tcPr>
            <w:tcW w:w="2160" w:type="dxa"/>
            <w:vAlign w:val="bottom"/>
          </w:tcPr>
          <w:p>
            <w:pPr>
              <w:spacing w:after="0"/>
              <w:rPr>
                <w:sz w:val="15"/>
                <w:szCs w:val="15"/>
                <w:color w:val="auto"/>
              </w:rPr>
            </w:pPr>
          </w:p>
        </w:tc>
      </w:tr>
      <w:tr>
        <w:trPr>
          <w:trHeight w:val="514"/>
        </w:trPr>
        <w:tc>
          <w:tcPr>
            <w:tcW w:w="2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2420" w:type="dxa"/>
            <w:vAlign w:val="bottom"/>
            <w:gridSpan w:val="4"/>
          </w:tcPr>
          <w:p>
            <w:pPr>
              <w:jc w:val="center"/>
              <w:ind w:right="160"/>
              <w:spacing w:after="0"/>
              <w:rPr>
                <w:sz w:val="20"/>
                <w:szCs w:val="20"/>
                <w:color w:val="auto"/>
              </w:rPr>
            </w:pPr>
            <w:r>
              <w:rPr>
                <w:rFonts w:ascii="Arial" w:cs="Arial" w:eastAsia="Arial" w:hAnsi="Arial"/>
                <w:sz w:val="18"/>
                <w:szCs w:val="18"/>
                <w:color w:val="auto"/>
                <w:w w:val="89"/>
              </w:rPr>
              <w:t>(781) 828-9300</w:t>
            </w:r>
          </w:p>
        </w:tc>
        <w:tc>
          <w:tcPr>
            <w:tcW w:w="48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2160" w:type="dxa"/>
            <w:vAlign w:val="bottom"/>
          </w:tcPr>
          <w:p>
            <w:pPr>
              <w:spacing w:after="0"/>
              <w:rPr>
                <w:sz w:val="24"/>
                <w:szCs w:val="24"/>
                <w:color w:val="auto"/>
              </w:rPr>
            </w:pPr>
          </w:p>
        </w:tc>
      </w:tr>
      <w:tr>
        <w:trPr>
          <w:trHeight w:val="174"/>
        </w:trPr>
        <w:tc>
          <w:tcPr>
            <w:tcW w:w="2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060" w:type="dxa"/>
            <w:vAlign w:val="bottom"/>
            <w:gridSpan w:val="6"/>
          </w:tcPr>
          <w:p>
            <w:pPr>
              <w:jc w:val="center"/>
              <w:ind w:left="1460"/>
              <w:spacing w:after="0"/>
              <w:rPr>
                <w:sz w:val="20"/>
                <w:szCs w:val="20"/>
                <w:color w:val="auto"/>
              </w:rPr>
            </w:pPr>
            <w:r>
              <w:rPr>
                <w:rFonts w:ascii="Arial" w:cs="Arial" w:eastAsia="Arial" w:hAnsi="Arial"/>
                <w:sz w:val="14"/>
                <w:szCs w:val="14"/>
                <w:b w:val="1"/>
                <w:bCs w:val="1"/>
                <w:color w:val="auto"/>
                <w:w w:val="85"/>
              </w:rPr>
              <w:t>(Telephone number, including area code, of agent for service)</w:t>
            </w:r>
          </w:p>
        </w:tc>
        <w:tc>
          <w:tcPr>
            <w:tcW w:w="1780" w:type="dxa"/>
            <w:vAlign w:val="bottom"/>
          </w:tcPr>
          <w:p>
            <w:pPr>
              <w:spacing w:after="0"/>
              <w:rPr>
                <w:sz w:val="15"/>
                <w:szCs w:val="15"/>
                <w:color w:val="auto"/>
              </w:rPr>
            </w:pPr>
          </w:p>
        </w:tc>
        <w:tc>
          <w:tcPr>
            <w:tcW w:w="2160" w:type="dxa"/>
            <w:vAlign w:val="bottom"/>
          </w:tcPr>
          <w:p>
            <w:pPr>
              <w:spacing w:after="0"/>
              <w:rPr>
                <w:sz w:val="15"/>
                <w:szCs w:val="15"/>
                <w:color w:val="auto"/>
              </w:rPr>
            </w:pPr>
          </w:p>
        </w:tc>
      </w:tr>
      <w:tr>
        <w:trPr>
          <w:trHeight w:val="525"/>
        </w:trPr>
        <w:tc>
          <w:tcPr>
            <w:tcW w:w="2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060" w:type="dxa"/>
            <w:vAlign w:val="bottom"/>
            <w:gridSpan w:val="6"/>
          </w:tcPr>
          <w:p>
            <w:pPr>
              <w:jc w:val="center"/>
              <w:ind w:left="1440"/>
              <w:spacing w:after="0"/>
              <w:rPr>
                <w:sz w:val="20"/>
                <w:szCs w:val="20"/>
                <w:color w:val="auto"/>
              </w:rPr>
            </w:pPr>
            <w:r>
              <w:rPr>
                <w:rFonts w:ascii="Arial" w:cs="Arial" w:eastAsia="Arial" w:hAnsi="Arial"/>
                <w:sz w:val="18"/>
                <w:szCs w:val="18"/>
                <w:b w:val="1"/>
                <w:bCs w:val="1"/>
                <w:color w:val="auto"/>
                <w:w w:val="99"/>
              </w:rPr>
              <w:t>CALCULATION OF REGISTRATION FEE</w:t>
            </w:r>
          </w:p>
        </w:tc>
        <w:tc>
          <w:tcPr>
            <w:tcW w:w="1780" w:type="dxa"/>
            <w:vAlign w:val="bottom"/>
          </w:tcPr>
          <w:p>
            <w:pPr>
              <w:spacing w:after="0"/>
              <w:rPr>
                <w:sz w:val="24"/>
                <w:szCs w:val="24"/>
                <w:color w:val="auto"/>
              </w:rPr>
            </w:pPr>
          </w:p>
        </w:tc>
        <w:tc>
          <w:tcPr>
            <w:tcW w:w="2160" w:type="dxa"/>
            <w:vAlign w:val="bottom"/>
          </w:tcPr>
          <w:p>
            <w:pPr>
              <w:spacing w:after="0"/>
              <w:rPr>
                <w:sz w:val="24"/>
                <w:szCs w:val="24"/>
                <w:color w:val="auto"/>
              </w:rPr>
            </w:pPr>
          </w:p>
        </w:tc>
      </w:tr>
      <w:tr>
        <w:trPr>
          <w:trHeight w:val="225"/>
        </w:trPr>
        <w:tc>
          <w:tcPr>
            <w:tcW w:w="20" w:type="dxa"/>
            <w:vAlign w:val="bottom"/>
          </w:tcPr>
          <w:p>
            <w:pPr>
              <w:spacing w:after="0"/>
              <w:rPr>
                <w:sz w:val="19"/>
                <w:szCs w:val="19"/>
                <w:color w:val="auto"/>
              </w:rPr>
            </w:pPr>
          </w:p>
        </w:tc>
        <w:tc>
          <w:tcPr>
            <w:tcW w:w="17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216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2280" w:type="dxa"/>
            <w:vAlign w:val="bottom"/>
            <w:tcBorders>
              <w:bottom w:val="single" w:sz="8" w:color="auto"/>
            </w:tcBorders>
            <w:gridSpan w:val="3"/>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spacing w:after="0"/>
              <w:rPr>
                <w:sz w:val="19"/>
                <w:szCs w:val="19"/>
                <w:color w:val="auto"/>
              </w:rPr>
            </w:pPr>
          </w:p>
        </w:tc>
        <w:tc>
          <w:tcPr>
            <w:tcW w:w="2160" w:type="dxa"/>
            <w:vAlign w:val="bottom"/>
            <w:tcBorders>
              <w:bottom w:val="single" w:sz="8" w:color="auto"/>
            </w:tcBorders>
          </w:tcPr>
          <w:p>
            <w:pPr>
              <w:spacing w:after="0"/>
              <w:rPr>
                <w:sz w:val="19"/>
                <w:szCs w:val="19"/>
                <w:color w:val="auto"/>
              </w:rPr>
            </w:pPr>
          </w:p>
        </w:tc>
      </w:tr>
      <w:tr>
        <w:trPr>
          <w:trHeight w:val="136"/>
        </w:trPr>
        <w:tc>
          <w:tcPr>
            <w:tcW w:w="20" w:type="dxa"/>
            <w:vAlign w:val="bottom"/>
          </w:tcPr>
          <w:p>
            <w:pPr>
              <w:spacing w:after="0"/>
              <w:rPr>
                <w:sz w:val="11"/>
                <w:szCs w:val="11"/>
                <w:color w:val="auto"/>
              </w:rPr>
            </w:pPr>
          </w:p>
        </w:tc>
        <w:tc>
          <w:tcPr>
            <w:tcW w:w="1720" w:type="dxa"/>
            <w:vAlign w:val="bottom"/>
          </w:tcPr>
          <w:p>
            <w:pPr>
              <w:jc w:val="center"/>
              <w:ind w:left="562"/>
              <w:spacing w:after="0" w:line="136" w:lineRule="exact"/>
              <w:rPr>
                <w:sz w:val="20"/>
                <w:szCs w:val="20"/>
                <w:color w:val="auto"/>
              </w:rPr>
            </w:pPr>
            <w:r>
              <w:rPr>
                <w:rFonts w:ascii="Arial" w:cs="Arial" w:eastAsia="Arial" w:hAnsi="Arial"/>
                <w:sz w:val="14"/>
                <w:szCs w:val="14"/>
                <w:b w:val="1"/>
                <w:bCs w:val="1"/>
                <w:color w:val="auto"/>
                <w:w w:val="86"/>
              </w:rPr>
              <w:t>Title of securities</w:t>
            </w:r>
          </w:p>
        </w:tc>
        <w:tc>
          <w:tcPr>
            <w:tcW w:w="680" w:type="dxa"/>
            <w:vAlign w:val="bottom"/>
            <w:tcBorders>
              <w:right w:val="single" w:sz="8" w:color="auto"/>
            </w:tcBorders>
          </w:tcPr>
          <w:p>
            <w:pPr>
              <w:spacing w:after="0"/>
              <w:rPr>
                <w:sz w:val="11"/>
                <w:szCs w:val="11"/>
                <w:color w:val="auto"/>
              </w:rPr>
            </w:pPr>
          </w:p>
        </w:tc>
        <w:tc>
          <w:tcPr>
            <w:tcW w:w="2160" w:type="dxa"/>
            <w:vAlign w:val="bottom"/>
          </w:tcPr>
          <w:p>
            <w:pPr>
              <w:jc w:val="center"/>
              <w:ind w:left="140"/>
              <w:spacing w:after="0" w:line="136" w:lineRule="exact"/>
              <w:rPr>
                <w:sz w:val="20"/>
                <w:szCs w:val="20"/>
                <w:color w:val="auto"/>
              </w:rPr>
            </w:pPr>
            <w:r>
              <w:rPr>
                <w:rFonts w:ascii="Arial" w:cs="Arial" w:eastAsia="Arial" w:hAnsi="Arial"/>
                <w:sz w:val="14"/>
                <w:szCs w:val="14"/>
                <w:b w:val="1"/>
                <w:bCs w:val="1"/>
                <w:color w:val="auto"/>
                <w:w w:val="86"/>
              </w:rPr>
              <w:t>Amount to be</w:t>
            </w:r>
          </w:p>
        </w:tc>
        <w:tc>
          <w:tcPr>
            <w:tcW w:w="140" w:type="dxa"/>
            <w:vAlign w:val="bottom"/>
            <w:tcBorders>
              <w:right w:val="single" w:sz="8" w:color="auto"/>
            </w:tcBorders>
          </w:tcPr>
          <w:p>
            <w:pPr>
              <w:spacing w:after="0"/>
              <w:rPr>
                <w:sz w:val="11"/>
                <w:szCs w:val="11"/>
                <w:color w:val="auto"/>
              </w:rPr>
            </w:pPr>
          </w:p>
        </w:tc>
        <w:tc>
          <w:tcPr>
            <w:tcW w:w="2280" w:type="dxa"/>
            <w:vAlign w:val="bottom"/>
            <w:tcBorders>
              <w:right w:val="single" w:sz="8" w:color="auto"/>
            </w:tcBorders>
            <w:gridSpan w:val="3"/>
          </w:tcPr>
          <w:p>
            <w:pPr>
              <w:jc w:val="center"/>
              <w:ind w:left="1"/>
              <w:spacing w:after="0" w:line="136" w:lineRule="exact"/>
              <w:rPr>
                <w:sz w:val="20"/>
                <w:szCs w:val="20"/>
                <w:color w:val="auto"/>
              </w:rPr>
            </w:pPr>
            <w:r>
              <w:rPr>
                <w:rFonts w:ascii="Arial" w:cs="Arial" w:eastAsia="Arial" w:hAnsi="Arial"/>
                <w:sz w:val="14"/>
                <w:szCs w:val="14"/>
                <w:b w:val="1"/>
                <w:bCs w:val="1"/>
                <w:color w:val="auto"/>
                <w:w w:val="86"/>
              </w:rPr>
              <w:t>Proposed maximum offering</w:t>
            </w:r>
          </w:p>
        </w:tc>
        <w:tc>
          <w:tcPr>
            <w:tcW w:w="480" w:type="dxa"/>
            <w:vAlign w:val="bottom"/>
          </w:tcPr>
          <w:p>
            <w:pPr>
              <w:spacing w:after="0"/>
              <w:rPr>
                <w:sz w:val="11"/>
                <w:szCs w:val="11"/>
                <w:color w:val="auto"/>
              </w:rPr>
            </w:pPr>
          </w:p>
        </w:tc>
        <w:tc>
          <w:tcPr>
            <w:tcW w:w="1780" w:type="dxa"/>
            <w:vAlign w:val="bottom"/>
            <w:tcBorders>
              <w:right w:val="single" w:sz="8" w:color="auto"/>
            </w:tcBorders>
          </w:tcPr>
          <w:p>
            <w:pPr>
              <w:jc w:val="center"/>
              <w:ind w:right="304"/>
              <w:spacing w:after="0" w:line="136" w:lineRule="exact"/>
              <w:rPr>
                <w:sz w:val="20"/>
                <w:szCs w:val="20"/>
                <w:color w:val="auto"/>
              </w:rPr>
            </w:pPr>
            <w:r>
              <w:rPr>
                <w:rFonts w:ascii="Arial" w:cs="Arial" w:eastAsia="Arial" w:hAnsi="Arial"/>
                <w:sz w:val="14"/>
                <w:szCs w:val="14"/>
                <w:b w:val="1"/>
                <w:bCs w:val="1"/>
                <w:color w:val="auto"/>
                <w:w w:val="86"/>
              </w:rPr>
              <w:t>Proposed maximum</w:t>
            </w:r>
          </w:p>
        </w:tc>
        <w:tc>
          <w:tcPr>
            <w:tcW w:w="2160" w:type="dxa"/>
            <w:vAlign w:val="bottom"/>
          </w:tcPr>
          <w:p>
            <w:pPr>
              <w:spacing w:after="0"/>
              <w:rPr>
                <w:sz w:val="11"/>
                <w:szCs w:val="11"/>
                <w:color w:val="auto"/>
              </w:rPr>
            </w:pPr>
          </w:p>
        </w:tc>
      </w:tr>
      <w:tr>
        <w:trPr>
          <w:trHeight w:val="175"/>
        </w:trPr>
        <w:tc>
          <w:tcPr>
            <w:tcW w:w="20" w:type="dxa"/>
            <w:vAlign w:val="bottom"/>
          </w:tcPr>
          <w:p>
            <w:pPr>
              <w:spacing w:after="0"/>
              <w:rPr>
                <w:sz w:val="15"/>
                <w:szCs w:val="15"/>
                <w:color w:val="auto"/>
              </w:rPr>
            </w:pPr>
          </w:p>
        </w:tc>
        <w:tc>
          <w:tcPr>
            <w:tcW w:w="1720" w:type="dxa"/>
            <w:vAlign w:val="bottom"/>
            <w:tcBorders>
              <w:bottom w:val="single" w:sz="8" w:color="auto"/>
            </w:tcBorders>
          </w:tcPr>
          <w:p>
            <w:pPr>
              <w:jc w:val="center"/>
              <w:ind w:left="562"/>
              <w:spacing w:after="0"/>
              <w:rPr>
                <w:sz w:val="20"/>
                <w:szCs w:val="20"/>
                <w:color w:val="auto"/>
              </w:rPr>
            </w:pPr>
            <w:r>
              <w:rPr>
                <w:rFonts w:ascii="Arial" w:cs="Arial" w:eastAsia="Arial" w:hAnsi="Arial"/>
                <w:sz w:val="14"/>
                <w:szCs w:val="14"/>
                <w:b w:val="1"/>
                <w:bCs w:val="1"/>
                <w:color w:val="auto"/>
                <w:w w:val="83"/>
              </w:rPr>
              <w:t>to be registered</w:t>
            </w:r>
          </w:p>
        </w:tc>
        <w:tc>
          <w:tcPr>
            <w:tcW w:w="680" w:type="dxa"/>
            <w:vAlign w:val="bottom"/>
            <w:tcBorders>
              <w:bottom w:val="single" w:sz="8" w:color="auto"/>
              <w:right w:val="single" w:sz="8" w:color="auto"/>
            </w:tcBorders>
          </w:tcPr>
          <w:p>
            <w:pPr>
              <w:spacing w:after="0"/>
              <w:rPr>
                <w:sz w:val="15"/>
                <w:szCs w:val="15"/>
                <w:color w:val="auto"/>
              </w:rPr>
            </w:pPr>
          </w:p>
        </w:tc>
        <w:tc>
          <w:tcPr>
            <w:tcW w:w="2160" w:type="dxa"/>
            <w:vAlign w:val="bottom"/>
            <w:tcBorders>
              <w:bottom w:val="single" w:sz="8" w:color="auto"/>
            </w:tcBorders>
          </w:tcPr>
          <w:p>
            <w:pPr>
              <w:jc w:val="center"/>
              <w:ind w:left="140"/>
              <w:spacing w:after="0"/>
              <w:rPr>
                <w:sz w:val="20"/>
                <w:szCs w:val="20"/>
                <w:color w:val="auto"/>
              </w:rPr>
            </w:pPr>
            <w:r>
              <w:rPr>
                <w:rFonts w:ascii="Arial" w:cs="Arial" w:eastAsia="Arial" w:hAnsi="Arial"/>
                <w:sz w:val="14"/>
                <w:szCs w:val="14"/>
                <w:b w:val="1"/>
                <w:bCs w:val="1"/>
                <w:color w:val="auto"/>
                <w:w w:val="85"/>
              </w:rPr>
              <w:t>registered</w:t>
            </w:r>
          </w:p>
        </w:tc>
        <w:tc>
          <w:tcPr>
            <w:tcW w:w="140" w:type="dxa"/>
            <w:vAlign w:val="bottom"/>
            <w:tcBorders>
              <w:bottom w:val="single" w:sz="8" w:color="auto"/>
              <w:right w:val="single" w:sz="8" w:color="auto"/>
            </w:tcBorders>
          </w:tcPr>
          <w:p>
            <w:pPr>
              <w:spacing w:after="0"/>
              <w:rPr>
                <w:sz w:val="15"/>
                <w:szCs w:val="15"/>
                <w:color w:val="auto"/>
              </w:rPr>
            </w:pPr>
          </w:p>
        </w:tc>
        <w:tc>
          <w:tcPr>
            <w:tcW w:w="2280" w:type="dxa"/>
            <w:vAlign w:val="bottom"/>
            <w:tcBorders>
              <w:bottom w:val="single" w:sz="8" w:color="auto"/>
              <w:right w:val="single" w:sz="8" w:color="auto"/>
            </w:tcBorders>
            <w:gridSpan w:val="3"/>
          </w:tcPr>
          <w:p>
            <w:pPr>
              <w:jc w:val="center"/>
              <w:ind w:left="1"/>
              <w:spacing w:after="0"/>
              <w:rPr>
                <w:sz w:val="20"/>
                <w:szCs w:val="20"/>
                <w:color w:val="auto"/>
              </w:rPr>
            </w:pPr>
            <w:r>
              <w:rPr>
                <w:rFonts w:ascii="Arial" w:cs="Arial" w:eastAsia="Arial" w:hAnsi="Arial"/>
                <w:sz w:val="14"/>
                <w:szCs w:val="14"/>
                <w:b w:val="1"/>
                <w:bCs w:val="1"/>
                <w:color w:val="auto"/>
                <w:w w:val="87"/>
              </w:rPr>
              <w:t>price per share</w:t>
            </w:r>
          </w:p>
        </w:tc>
        <w:tc>
          <w:tcPr>
            <w:tcW w:w="480" w:type="dxa"/>
            <w:vAlign w:val="bottom"/>
            <w:tcBorders>
              <w:bottom w:val="single" w:sz="8" w:color="auto"/>
            </w:tcBorders>
          </w:tcPr>
          <w:p>
            <w:pPr>
              <w:spacing w:after="0"/>
              <w:rPr>
                <w:sz w:val="15"/>
                <w:szCs w:val="15"/>
                <w:color w:val="auto"/>
              </w:rPr>
            </w:pPr>
          </w:p>
        </w:tc>
        <w:tc>
          <w:tcPr>
            <w:tcW w:w="1780" w:type="dxa"/>
            <w:vAlign w:val="bottom"/>
            <w:tcBorders>
              <w:bottom w:val="single" w:sz="8" w:color="auto"/>
              <w:right w:val="single" w:sz="8" w:color="auto"/>
            </w:tcBorders>
          </w:tcPr>
          <w:p>
            <w:pPr>
              <w:jc w:val="center"/>
              <w:ind w:right="324"/>
              <w:spacing w:after="0"/>
              <w:rPr>
                <w:sz w:val="20"/>
                <w:szCs w:val="20"/>
                <w:color w:val="auto"/>
              </w:rPr>
            </w:pPr>
            <w:r>
              <w:rPr>
                <w:rFonts w:ascii="Arial" w:cs="Arial" w:eastAsia="Arial" w:hAnsi="Arial"/>
                <w:sz w:val="14"/>
                <w:szCs w:val="14"/>
                <w:b w:val="1"/>
                <w:bCs w:val="1"/>
                <w:color w:val="auto"/>
                <w:w w:val="86"/>
              </w:rPr>
              <w:t>aggregate offering price</w:t>
            </w:r>
          </w:p>
        </w:tc>
        <w:tc>
          <w:tcPr>
            <w:tcW w:w="21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6"/>
              </w:rPr>
              <w:t>Amount of registration fee</w:t>
            </w:r>
          </w:p>
        </w:tc>
      </w:tr>
      <w:tr>
        <w:trPr>
          <w:trHeight w:val="201"/>
        </w:trPr>
        <w:tc>
          <w:tcPr>
            <w:tcW w:w="20" w:type="dxa"/>
            <w:vAlign w:val="bottom"/>
          </w:tcPr>
          <w:p>
            <w:pPr>
              <w:spacing w:after="0"/>
              <w:rPr>
                <w:sz w:val="17"/>
                <w:szCs w:val="17"/>
                <w:color w:val="auto"/>
              </w:rPr>
            </w:pPr>
          </w:p>
        </w:tc>
        <w:tc>
          <w:tcPr>
            <w:tcW w:w="2400" w:type="dxa"/>
            <w:vAlign w:val="bottom"/>
            <w:tcBorders>
              <w:right w:val="single" w:sz="8" w:color="auto"/>
            </w:tcBorders>
            <w:gridSpan w:val="2"/>
          </w:tcPr>
          <w:p>
            <w:pPr>
              <w:spacing w:after="0" w:line="201" w:lineRule="exact"/>
              <w:rPr>
                <w:sz w:val="20"/>
                <w:szCs w:val="20"/>
                <w:color w:val="auto"/>
              </w:rPr>
            </w:pPr>
            <w:r>
              <w:rPr>
                <w:rFonts w:ascii="Arial" w:cs="Arial" w:eastAsia="Arial" w:hAnsi="Arial"/>
                <w:sz w:val="18"/>
                <w:szCs w:val="18"/>
                <w:color w:val="auto"/>
                <w:w w:val="91"/>
              </w:rPr>
              <w:t>Common Stock, $0.01 par value</w:t>
            </w:r>
          </w:p>
        </w:tc>
        <w:tc>
          <w:tcPr>
            <w:tcW w:w="2160" w:type="dxa"/>
            <w:vAlign w:val="bottom"/>
          </w:tcPr>
          <w:p>
            <w:pPr>
              <w:spacing w:after="0"/>
              <w:rPr>
                <w:sz w:val="17"/>
                <w:szCs w:val="17"/>
                <w:color w:val="auto"/>
              </w:rPr>
            </w:pPr>
          </w:p>
        </w:tc>
        <w:tc>
          <w:tcPr>
            <w:tcW w:w="140" w:type="dxa"/>
            <w:vAlign w:val="bottom"/>
            <w:tcBorders>
              <w:right w:val="single" w:sz="8" w:color="auto"/>
            </w:tcBorders>
          </w:tcPr>
          <w:p>
            <w:pPr>
              <w:spacing w:after="0"/>
              <w:rPr>
                <w:sz w:val="17"/>
                <w:szCs w:val="17"/>
                <w:color w:val="auto"/>
              </w:rPr>
            </w:pPr>
          </w:p>
        </w:tc>
        <w:tc>
          <w:tcPr>
            <w:tcW w:w="1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40" w:type="dxa"/>
            <w:vAlign w:val="bottom"/>
            <w:tcBorders>
              <w:right w:val="single" w:sz="8" w:color="auto"/>
            </w:tcBorders>
          </w:tcPr>
          <w:p>
            <w:pPr>
              <w:spacing w:after="0"/>
              <w:rPr>
                <w:sz w:val="17"/>
                <w:szCs w:val="17"/>
                <w:color w:val="auto"/>
              </w:rPr>
            </w:pPr>
          </w:p>
        </w:tc>
        <w:tc>
          <w:tcPr>
            <w:tcW w:w="480" w:type="dxa"/>
            <w:vAlign w:val="bottom"/>
          </w:tcPr>
          <w:p>
            <w:pPr>
              <w:spacing w:after="0"/>
              <w:rPr>
                <w:sz w:val="17"/>
                <w:szCs w:val="17"/>
                <w:color w:val="auto"/>
              </w:rPr>
            </w:pPr>
          </w:p>
        </w:tc>
        <w:tc>
          <w:tcPr>
            <w:tcW w:w="1780" w:type="dxa"/>
            <w:vAlign w:val="bottom"/>
            <w:tcBorders>
              <w:right w:val="single" w:sz="8" w:color="auto"/>
            </w:tcBorders>
          </w:tcPr>
          <w:p>
            <w:pPr>
              <w:spacing w:after="0"/>
              <w:rPr>
                <w:sz w:val="17"/>
                <w:szCs w:val="17"/>
                <w:color w:val="auto"/>
              </w:rPr>
            </w:pPr>
          </w:p>
        </w:tc>
        <w:tc>
          <w:tcPr>
            <w:tcW w:w="2160" w:type="dxa"/>
            <w:vAlign w:val="bottom"/>
          </w:tcPr>
          <w:p>
            <w:pPr>
              <w:spacing w:after="0"/>
              <w:rPr>
                <w:sz w:val="17"/>
                <w:szCs w:val="17"/>
                <w:color w:val="auto"/>
              </w:rPr>
            </w:pPr>
          </w:p>
        </w:tc>
      </w:tr>
      <w:tr>
        <w:trPr>
          <w:trHeight w:val="231"/>
        </w:trPr>
        <w:tc>
          <w:tcPr>
            <w:tcW w:w="20" w:type="dxa"/>
            <w:vAlign w:val="bottom"/>
          </w:tcPr>
          <w:p>
            <w:pPr>
              <w:spacing w:after="0"/>
              <w:rPr>
                <w:sz w:val="20"/>
                <w:szCs w:val="20"/>
                <w:color w:val="auto"/>
              </w:rPr>
            </w:pPr>
          </w:p>
        </w:tc>
        <w:tc>
          <w:tcPr>
            <w:tcW w:w="172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per share</w:t>
            </w:r>
          </w:p>
        </w:tc>
        <w:tc>
          <w:tcPr>
            <w:tcW w:w="680" w:type="dxa"/>
            <w:vAlign w:val="bottom"/>
            <w:tcBorders>
              <w:bottom w:val="single" w:sz="8" w:color="auto"/>
              <w:right w:val="single" w:sz="8" w:color="auto"/>
            </w:tcBorders>
          </w:tcPr>
          <w:p>
            <w:pPr>
              <w:spacing w:after="0"/>
              <w:rPr>
                <w:sz w:val="20"/>
                <w:szCs w:val="20"/>
                <w:color w:val="auto"/>
              </w:rPr>
            </w:pPr>
          </w:p>
        </w:tc>
        <w:tc>
          <w:tcPr>
            <w:tcW w:w="2160" w:type="dxa"/>
            <w:vAlign w:val="bottom"/>
            <w:tcBorders>
              <w:bottom w:val="single" w:sz="8" w:color="auto"/>
            </w:tcBorders>
          </w:tcPr>
          <w:p>
            <w:pPr>
              <w:jc w:val="center"/>
              <w:ind w:left="140"/>
              <w:spacing w:after="0"/>
              <w:rPr>
                <w:sz w:val="20"/>
                <w:szCs w:val="20"/>
                <w:color w:val="auto"/>
              </w:rPr>
            </w:pPr>
            <w:r>
              <w:rPr>
                <w:rFonts w:ascii="Arial" w:cs="Arial" w:eastAsia="Arial" w:hAnsi="Arial"/>
                <w:sz w:val="18"/>
                <w:szCs w:val="18"/>
                <w:color w:val="auto"/>
                <w:w w:val="85"/>
              </w:rPr>
              <w:t>2,500,000 Shares</w:t>
            </w:r>
          </w:p>
        </w:tc>
        <w:tc>
          <w:tcPr>
            <w:tcW w:w="140" w:type="dxa"/>
            <w:vAlign w:val="bottom"/>
            <w:tcBorders>
              <w:bottom w:val="single" w:sz="8" w:color="auto"/>
              <w:right w:val="single" w:sz="8" w:color="auto"/>
            </w:tcBorders>
          </w:tcPr>
          <w:p>
            <w:pPr>
              <w:spacing w:after="0"/>
              <w:rPr>
                <w:sz w:val="20"/>
                <w:szCs w:val="20"/>
                <w:color w:val="auto"/>
              </w:rPr>
            </w:pPr>
          </w:p>
        </w:tc>
        <w:tc>
          <w:tcPr>
            <w:tcW w:w="2280" w:type="dxa"/>
            <w:vAlign w:val="bottom"/>
            <w:tcBorders>
              <w:bottom w:val="single" w:sz="8" w:color="auto"/>
              <w:right w:val="single" w:sz="8" w:color="auto"/>
            </w:tcBorders>
            <w:gridSpan w:val="3"/>
          </w:tcPr>
          <w:p>
            <w:pPr>
              <w:jc w:val="center"/>
              <w:ind w:left="1"/>
              <w:spacing w:after="0"/>
              <w:rPr>
                <w:sz w:val="20"/>
                <w:szCs w:val="20"/>
                <w:color w:val="auto"/>
              </w:rPr>
            </w:pPr>
            <w:r>
              <w:rPr>
                <w:rFonts w:ascii="Arial" w:cs="Arial" w:eastAsia="Arial" w:hAnsi="Arial"/>
                <w:sz w:val="18"/>
                <w:szCs w:val="18"/>
                <w:color w:val="auto"/>
                <w:w w:val="87"/>
              </w:rPr>
              <w:t>$11.62</w:t>
            </w:r>
          </w:p>
        </w:tc>
        <w:tc>
          <w:tcPr>
            <w:tcW w:w="480" w:type="dxa"/>
            <w:vAlign w:val="bottom"/>
            <w:tcBorders>
              <w:bottom w:val="single" w:sz="8" w:color="auto"/>
            </w:tcBorders>
          </w:tcPr>
          <w:p>
            <w:pPr>
              <w:spacing w:after="0"/>
              <w:rPr>
                <w:sz w:val="20"/>
                <w:szCs w:val="20"/>
                <w:color w:val="auto"/>
              </w:rPr>
            </w:pPr>
          </w:p>
        </w:tc>
        <w:tc>
          <w:tcPr>
            <w:tcW w:w="1780" w:type="dxa"/>
            <w:vAlign w:val="bottom"/>
            <w:tcBorders>
              <w:bottom w:val="single" w:sz="8" w:color="auto"/>
              <w:right w:val="single" w:sz="8" w:color="auto"/>
            </w:tcBorders>
          </w:tcPr>
          <w:p>
            <w:pPr>
              <w:jc w:val="center"/>
              <w:ind w:right="324"/>
              <w:spacing w:after="0"/>
              <w:rPr>
                <w:sz w:val="20"/>
                <w:szCs w:val="20"/>
                <w:color w:val="auto"/>
              </w:rPr>
            </w:pPr>
            <w:r>
              <w:rPr>
                <w:rFonts w:ascii="Arial" w:cs="Arial" w:eastAsia="Arial" w:hAnsi="Arial"/>
                <w:sz w:val="18"/>
                <w:szCs w:val="18"/>
                <w:color w:val="auto"/>
                <w:w w:val="89"/>
              </w:rPr>
              <w:t>$29,050,000 (1)</w:t>
            </w:r>
          </w:p>
        </w:tc>
        <w:tc>
          <w:tcPr>
            <w:tcW w:w="2160" w:type="dxa"/>
            <w:vAlign w:val="bottom"/>
            <w:tcBorders>
              <w:bottom w:val="single" w:sz="8" w:color="auto"/>
            </w:tcBorders>
          </w:tcPr>
          <w:p>
            <w:pPr>
              <w:jc w:val="right"/>
              <w:ind w:right="642"/>
              <w:spacing w:after="0"/>
              <w:rPr>
                <w:sz w:val="20"/>
                <w:szCs w:val="20"/>
                <w:color w:val="auto"/>
              </w:rPr>
            </w:pPr>
            <w:r>
              <w:rPr>
                <w:rFonts w:ascii="Arial" w:cs="Arial" w:eastAsia="Arial" w:hAnsi="Arial"/>
                <w:sz w:val="18"/>
                <w:szCs w:val="18"/>
                <w:color w:val="auto"/>
              </w:rPr>
              <w:t>$3,108.35</w:t>
            </w:r>
          </w:p>
        </w:tc>
      </w:tr>
    </w:tbl>
    <w:p>
      <w:pPr>
        <w:spacing w:after="0" w:line="194" w:lineRule="exact"/>
        <w:rPr>
          <w:sz w:val="24"/>
          <w:szCs w:val="24"/>
          <w:color w:val="auto"/>
        </w:rPr>
      </w:pPr>
    </w:p>
    <w:p>
      <w:pPr>
        <w:ind w:left="460" w:right="60" w:hanging="452"/>
        <w:spacing w:after="0" w:line="306" w:lineRule="auto"/>
        <w:tabs>
          <w:tab w:leader="none" w:pos="460" w:val="left"/>
        </w:tabs>
        <w:numPr>
          <w:ilvl w:val="0"/>
          <w:numId w:val="1"/>
        </w:numPr>
        <w:rPr>
          <w:rFonts w:ascii="Arial" w:cs="Arial" w:eastAsia="Arial" w:hAnsi="Arial"/>
          <w:sz w:val="16"/>
          <w:szCs w:val="16"/>
          <w:color w:val="auto"/>
        </w:rPr>
      </w:pPr>
      <w:r>
        <w:rPr>
          <w:rFonts w:ascii="Arial" w:cs="Arial" w:eastAsia="Arial" w:hAnsi="Arial"/>
          <w:sz w:val="16"/>
          <w:szCs w:val="16"/>
          <w:color w:val="auto"/>
        </w:rPr>
        <w:t>Estimated solely for the purpose of calculating the registration fee in accordance with Rule 457(h) of the Securities Act of 1933, as amended. The price per share and aggregate offering price are calculated on the basis of the average of the high and low sale prices of the Registrant’s Common Stock on the Nasdaq Global Market on August 18, 2006, in accordance with Rule 457(c) under the Securities Act of 1933, as amended.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165100</wp:posOffset>
            </wp:positionV>
            <wp:extent cx="7250430" cy="298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1" w:name="page2"/>
    <w:bookmarkEnd w:id="1"/>
    <w:p>
      <w:pPr>
        <w:ind w:left="540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PART II</w:t>
      </w:r>
    </w:p>
    <w:p>
      <w:pPr>
        <w:spacing w:after="0" w:line="90" w:lineRule="exact"/>
        <w:rPr>
          <w:sz w:val="20"/>
          <w:szCs w:val="20"/>
          <w:color w:val="auto"/>
        </w:rPr>
      </w:pPr>
    </w:p>
    <w:p>
      <w:pPr>
        <w:ind w:left="2980"/>
        <w:spacing w:after="0"/>
        <w:rPr>
          <w:sz w:val="20"/>
          <w:szCs w:val="20"/>
          <w:color w:val="auto"/>
        </w:rPr>
      </w:pPr>
      <w:r>
        <w:rPr>
          <w:rFonts w:ascii="Arial" w:cs="Arial" w:eastAsia="Arial" w:hAnsi="Arial"/>
          <w:sz w:val="18"/>
          <w:szCs w:val="18"/>
          <w:b w:val="1"/>
          <w:bCs w:val="1"/>
          <w:color w:val="auto"/>
        </w:rPr>
        <w:t>INFORMATION REQUIRED IN THE REGISTRATION STATEMENT</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Incorporation of Documents by Reference.</w:t>
      </w:r>
    </w:p>
    <w:p>
      <w:pPr>
        <w:spacing w:after="0" w:line="96" w:lineRule="exact"/>
        <w:rPr>
          <w:sz w:val="20"/>
          <w:szCs w:val="20"/>
          <w:color w:val="auto"/>
        </w:rPr>
      </w:pPr>
    </w:p>
    <w:p>
      <w:pPr>
        <w:ind w:right="80" w:firstLine="456"/>
        <w:spacing w:after="0" w:line="306" w:lineRule="auto"/>
        <w:rPr>
          <w:sz w:val="20"/>
          <w:szCs w:val="20"/>
          <w:color w:val="auto"/>
        </w:rPr>
      </w:pPr>
      <w:r>
        <w:rPr>
          <w:rFonts w:ascii="Arial" w:cs="Arial" w:eastAsia="Arial" w:hAnsi="Arial"/>
          <w:sz w:val="16"/>
          <w:szCs w:val="16"/>
          <w:color w:val="auto"/>
        </w:rPr>
        <w:t>The Registrant is subject to the informational and reporting requirements of Sections 13(a), 14, and 15(d) of the Securities Exchange Act of 1934, as amended (the “Exchange Act”), and in accordance therewith files reports, proxy statements and other information with the Securities and Exchange Commission (the “Commission”). The following documents, which are on file with the Commission, are incorporated in this Registration Statement by reference:</w:t>
      </w:r>
    </w:p>
    <w:p>
      <w:pPr>
        <w:spacing w:after="0" w:line="26" w:lineRule="exact"/>
        <w:rPr>
          <w:sz w:val="20"/>
          <w:szCs w:val="20"/>
          <w:color w:val="auto"/>
        </w:rPr>
      </w:pPr>
    </w:p>
    <w:p>
      <w:pPr>
        <w:ind w:left="1140" w:hanging="237"/>
        <w:spacing w:after="0"/>
        <w:tabs>
          <w:tab w:leader="none" w:pos="114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Registrant’s Annual Report on Form 10-K, as amended, for the fiscal year ended January 28, 2006.</w:t>
      </w:r>
    </w:p>
    <w:p>
      <w:pPr>
        <w:spacing w:after="0" w:line="171" w:lineRule="exact"/>
        <w:rPr>
          <w:rFonts w:ascii="Arial" w:cs="Arial" w:eastAsia="Arial" w:hAnsi="Arial"/>
          <w:sz w:val="18"/>
          <w:szCs w:val="18"/>
          <w:color w:val="auto"/>
        </w:rPr>
      </w:pPr>
    </w:p>
    <w:p>
      <w:pPr>
        <w:ind w:left="460" w:right="40" w:firstLine="443"/>
        <w:spacing w:after="0" w:line="268" w:lineRule="auto"/>
        <w:tabs>
          <w:tab w:leader="none" w:pos="1147" w:val="left"/>
        </w:tabs>
        <w:numPr>
          <w:ilvl w:val="0"/>
          <w:numId w:val="2"/>
        </w:numPr>
        <w:rPr>
          <w:rFonts w:ascii="Arial" w:cs="Arial" w:eastAsia="Arial" w:hAnsi="Arial"/>
          <w:sz w:val="18"/>
          <w:szCs w:val="18"/>
          <w:color w:val="auto"/>
        </w:rPr>
      </w:pPr>
      <w:r>
        <w:rPr>
          <w:rFonts w:ascii="Arial" w:cs="Arial" w:eastAsia="Arial" w:hAnsi="Arial"/>
          <w:sz w:val="18"/>
          <w:szCs w:val="18"/>
          <w:color w:val="auto"/>
        </w:rPr>
        <w:t>All other reports filed pursuant to Section 13(a) or 15(d) of the Exchange Act since the end of the fiscal year covered by the document referred to in (a) above.</w:t>
      </w:r>
    </w:p>
    <w:p>
      <w:pPr>
        <w:spacing w:after="0" w:line="131" w:lineRule="exact"/>
        <w:rPr>
          <w:rFonts w:ascii="Arial" w:cs="Arial" w:eastAsia="Arial" w:hAnsi="Arial"/>
          <w:sz w:val="18"/>
          <w:szCs w:val="18"/>
          <w:color w:val="auto"/>
        </w:rPr>
      </w:pPr>
    </w:p>
    <w:p>
      <w:pPr>
        <w:ind w:left="460" w:right="100" w:firstLine="443"/>
        <w:spacing w:after="0" w:line="268" w:lineRule="auto"/>
        <w:tabs>
          <w:tab w:leader="none" w:pos="1137"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description of the Registrant’s common stock contained in the Registrant’s Registration Statement on Form 8-A, filed on May 27, 1987, and all amendments and reports updating such description.</w:t>
      </w:r>
    </w:p>
    <w:p>
      <w:pPr>
        <w:spacing w:after="0" w:line="132"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In addition, all documents subsequently filed by the Registrant pursuant to Sections 13(a), 13(c), 14 and 15(d) of the Exchange Act, prior to the filing of a post-effective amendment which indicates that all securities offered hereby have been sold or which deregisters all securities then remaining unsold, shall be deemed to be incorporated by reference in this Registration Statement and to be part hereof from the date of the filing of such documents. Any statement contained in a document incorporated or deemed to be incorporated by reference herein shall be deemed to be modified or superseded for the purposes of this Registration Statement to the extent that a statement contained herein or in any other subsequently filed document which also is or is deemed to be incorporated by reference herein modifies or supersedes such statement. Any statement so modified or superseded shall not be deemed, except as so modified or superseded, to constitute a part of this Registration Statement.</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Description of Securities.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 applicable.</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Interests of Named Experts and Counsel.</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 applicable.</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Indemnification of Directors and Officers.</w:t>
      </w:r>
    </w:p>
    <w:p>
      <w:pPr>
        <w:spacing w:after="0" w:line="96" w:lineRule="exact"/>
        <w:rPr>
          <w:sz w:val="20"/>
          <w:szCs w:val="20"/>
          <w:color w:val="auto"/>
        </w:rPr>
      </w:pPr>
    </w:p>
    <w:p>
      <w:pPr>
        <w:ind w:right="120" w:firstLine="456"/>
        <w:spacing w:after="0" w:line="283" w:lineRule="auto"/>
        <w:rPr>
          <w:sz w:val="20"/>
          <w:szCs w:val="20"/>
          <w:color w:val="auto"/>
        </w:rPr>
      </w:pPr>
      <w:r>
        <w:rPr>
          <w:rFonts w:ascii="Arial" w:cs="Arial" w:eastAsia="Arial" w:hAnsi="Arial"/>
          <w:sz w:val="16"/>
          <w:szCs w:val="16"/>
          <w:color w:val="auto"/>
        </w:rPr>
        <w:t>The Registrant’s Restated Certificate of Incorporation, as amended (the “Certificate”), provides that no director of the Registrant shall be personally liable to the Registrant or to any of its stockholders for monetary damages arising out of such director’s breach of fiduciary duty, except to the extent that the elimination or limitation of liability is not permitted by the Delaware General Corporation Law. The Delaware General Corporation Law, as currently in effect, permits charter provisions eliminating the liability of directors for breach of fiduciary duty, except that directors remain liable for (i) any breach of the directors’ duty of loyalty to a company or its stockholders, (ii) acts or omissions not in good faith or which involve intentional misconduct or a knowing violation of law,</w:t>
      </w:r>
    </w:p>
    <w:p>
      <w:pPr>
        <w:spacing w:after="0" w:line="2" w:lineRule="exact"/>
        <w:rPr>
          <w:sz w:val="20"/>
          <w:szCs w:val="20"/>
          <w:color w:val="auto"/>
        </w:rPr>
      </w:pPr>
    </w:p>
    <w:p>
      <w:pPr>
        <w:ind w:right="100" w:firstLine="8"/>
        <w:spacing w:after="0" w:line="253" w:lineRule="auto"/>
        <w:tabs>
          <w:tab w:leader="none" w:pos="307" w:val="left"/>
        </w:tabs>
        <w:numPr>
          <w:ilvl w:val="0"/>
          <w:numId w:val="3"/>
        </w:numPr>
        <w:rPr>
          <w:rFonts w:ascii="Arial" w:cs="Arial" w:eastAsia="Arial" w:hAnsi="Arial"/>
          <w:sz w:val="18"/>
          <w:szCs w:val="18"/>
          <w:color w:val="auto"/>
        </w:rPr>
      </w:pPr>
      <w:r>
        <w:rPr>
          <w:rFonts w:ascii="Arial" w:cs="Arial" w:eastAsia="Arial" w:hAnsi="Arial"/>
          <w:sz w:val="18"/>
          <w:szCs w:val="18"/>
          <w:color w:val="auto"/>
        </w:rPr>
        <w:t>any payment of a dividend or approval of a stock repurchase that is illegal under Section 174 of the Delaware General Corporation Law, or (iv) any transaction from which the directors derived an improper personal benefit. The effect of this provision of the Certificate is that directors cannot be held liable for monetary damages arising from breaches of their duty of care, unless the breach involves one of the four exceptions described in the preceding sentence. The provision does not prevent stockholders from obtaining injunctive or other equitable relief against directors, nor does it shield directors from liability under federal or state securities laws.</w:t>
      </w:r>
    </w:p>
    <w:p>
      <w:pPr>
        <w:spacing w:after="0" w:line="145"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The Certificate and the Registrant’s By-Laws further provide for indemnification of the Registrant’s directors and officers to the fullest extent permitted by Section 145 of the Delaware General Corporation Law, including circumstances in which indemnification is otherwise discretionary. Section 145 of the Delaware General Corporation Law provides that a corporation may indemnify any person who was or is a party or is threatened to be made a party to any threatened, pending or completed action, suit or proceeding, whether civil, criminal, administrative or investigative, other than an action by or in the right of the corporation, by reason of the fact that the person is or was a director, officer, employee or agent of the corporation or is or was serving at the corporation’s</w:t>
      </w:r>
    </w:p>
    <w:p>
      <w:pPr>
        <w:spacing w:after="0" w:line="1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II-1</w:t>
      </w:r>
    </w:p>
    <w:p>
      <w:pPr>
        <w:sectPr>
          <w:pgSz w:w="11900" w:h="16838" w:orient="portrait"/>
          <w:cols w:equalWidth="0" w:num="1">
            <w:col w:w="11400"/>
          </w:cols>
          <w:pgMar w:left="240" w:top="274" w:right="259" w:bottom="1440" w:gutter="0" w:footer="0" w:header="0"/>
        </w:sectPr>
      </w:pPr>
    </w:p>
    <w:bookmarkStart w:id="2" w:name="page3"/>
    <w:bookmarkEnd w:id="2"/>
    <w:p>
      <w:pPr>
        <w:ind w:right="60"/>
        <w:spacing w:after="0" w:line="28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request as a director, officer, employee or agent of another corporation, partnership, joint venture, trust or other enterprise, against expenses, including attorneys’ fees, judgments, fines and amounts paid in settlement actually and reasonably incurred by the person in connection with the action, suit or proceeding if the person acted in good faith and in a manner the person reasonably believed to be in or not opposed to the best interests of the corporation, and, with respect to any criminal action or proceeding, had no reasonable cause to believe the person’s conduct was unlawful. The power to indemnify applies to actions brought by or in the right of the corporation as well, but only to the extent of expenses, including attorneys’ fees but excluding judgments, fines and amounts paid in settlement, actually and reasonably incurred by the person in connection with the defense or settlement of the action or suit. And with the further limitation that in these actions, no indemnification shall be made in the event of any adjudication that the person is liable to the corporation, unless and only to the extent a court determines that, despite the adjudication of liability but in view of all the circumstances of the case, such person is fairly and reasonably entitled to indemnity for such expenses which such court shall deem proper.</w:t>
      </w:r>
    </w:p>
    <w:p>
      <w:pPr>
        <w:spacing w:after="0" w:line="195"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Item 7. Exemption from Registration Claimed</w:t>
      </w:r>
      <w:r>
        <w:rPr>
          <w:rFonts w:ascii="Arial" w:cs="Arial" w:eastAsia="Arial" w:hAnsi="Arial"/>
          <w:sz w:val="18"/>
          <w:szCs w:val="18"/>
          <w:color w:val="auto"/>
        </w:rPr>
        <w:t>.</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 applicable.</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Exhibits.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Exhibit Index immediately preceding the exhibits is incorporated herein by reference.</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Undertakings.</w:t>
      </w:r>
    </w:p>
    <w:p>
      <w:pPr>
        <w:spacing w:after="0" w:line="96" w:lineRule="exact"/>
        <w:rPr>
          <w:sz w:val="20"/>
          <w:szCs w:val="20"/>
          <w:color w:val="auto"/>
        </w:rPr>
      </w:pPr>
    </w:p>
    <w:p>
      <w:pPr>
        <w:ind w:left="640" w:hanging="176"/>
        <w:spacing w:after="0"/>
        <w:tabs>
          <w:tab w:leader="none" w:pos="64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Item 512(a) of Regulation S-K</w:t>
      </w:r>
      <w:r>
        <w:rPr>
          <w:rFonts w:ascii="Arial" w:cs="Arial" w:eastAsia="Arial" w:hAnsi="Arial"/>
          <w:sz w:val="18"/>
          <w:szCs w:val="18"/>
          <w:color w:val="auto"/>
        </w:rPr>
        <w:t>. The undersigned Registrant hereby undertakes:</w:t>
      </w:r>
    </w:p>
    <w:p>
      <w:pPr>
        <w:spacing w:after="0" w:line="90" w:lineRule="exact"/>
        <w:rPr>
          <w:rFonts w:ascii="Arial" w:cs="Arial" w:eastAsia="Arial" w:hAnsi="Arial"/>
          <w:sz w:val="18"/>
          <w:szCs w:val="18"/>
          <w:color w:val="auto"/>
        </w:rPr>
      </w:pPr>
    </w:p>
    <w:p>
      <w:pPr>
        <w:ind w:left="1160" w:hanging="257"/>
        <w:spacing w:after="0"/>
        <w:tabs>
          <w:tab w:leader="none" w:pos="1160" w:val="left"/>
        </w:tabs>
        <w:numPr>
          <w:ilvl w:val="1"/>
          <w:numId w:val="4"/>
        </w:numPr>
        <w:rPr>
          <w:rFonts w:ascii="Arial" w:cs="Arial" w:eastAsia="Arial" w:hAnsi="Arial"/>
          <w:sz w:val="18"/>
          <w:szCs w:val="18"/>
          <w:color w:val="auto"/>
        </w:rPr>
      </w:pPr>
      <w:r>
        <w:rPr>
          <w:rFonts w:ascii="Arial" w:cs="Arial" w:eastAsia="Arial" w:hAnsi="Arial"/>
          <w:sz w:val="18"/>
          <w:szCs w:val="18"/>
          <w:color w:val="auto"/>
        </w:rPr>
        <w:t>To file, during any period in which offers or sales are being made, a post-effective amendment to this Registration Statement:</w:t>
      </w:r>
    </w:p>
    <w:p>
      <w:pPr>
        <w:spacing w:after="0" w:line="90" w:lineRule="exact"/>
        <w:rPr>
          <w:rFonts w:ascii="Arial" w:cs="Arial" w:eastAsia="Arial" w:hAnsi="Arial"/>
          <w:sz w:val="18"/>
          <w:szCs w:val="18"/>
          <w:color w:val="auto"/>
        </w:rPr>
      </w:pPr>
    </w:p>
    <w:p>
      <w:pPr>
        <w:ind w:left="1560" w:hanging="219"/>
        <w:spacing w:after="0"/>
        <w:tabs>
          <w:tab w:leader="none" w:pos="1560" w:val="left"/>
        </w:tabs>
        <w:numPr>
          <w:ilvl w:val="2"/>
          <w:numId w:val="4"/>
        </w:numPr>
        <w:rPr>
          <w:rFonts w:ascii="Arial" w:cs="Arial" w:eastAsia="Arial" w:hAnsi="Arial"/>
          <w:sz w:val="18"/>
          <w:szCs w:val="18"/>
          <w:color w:val="auto"/>
        </w:rPr>
      </w:pPr>
      <w:r>
        <w:rPr>
          <w:rFonts w:ascii="Arial" w:cs="Arial" w:eastAsia="Arial" w:hAnsi="Arial"/>
          <w:sz w:val="18"/>
          <w:szCs w:val="18"/>
          <w:color w:val="auto"/>
        </w:rPr>
        <w:t>To include any prospectus required by Section 10(a)(3) of the Securities Act;</w:t>
      </w:r>
    </w:p>
    <w:p>
      <w:pPr>
        <w:spacing w:after="0" w:line="90" w:lineRule="exact"/>
        <w:rPr>
          <w:rFonts w:ascii="Arial" w:cs="Arial" w:eastAsia="Arial" w:hAnsi="Arial"/>
          <w:sz w:val="18"/>
          <w:szCs w:val="18"/>
          <w:color w:val="auto"/>
        </w:rPr>
      </w:pPr>
    </w:p>
    <w:p>
      <w:pPr>
        <w:ind w:left="920" w:right="40" w:firstLine="421"/>
        <w:spacing w:after="0" w:line="259" w:lineRule="auto"/>
        <w:tabs>
          <w:tab w:leader="none" w:pos="1598" w:val="left"/>
        </w:tabs>
        <w:numPr>
          <w:ilvl w:val="2"/>
          <w:numId w:val="4"/>
        </w:numPr>
        <w:rPr>
          <w:rFonts w:ascii="Arial" w:cs="Arial" w:eastAsia="Arial" w:hAnsi="Arial"/>
          <w:sz w:val="18"/>
          <w:szCs w:val="18"/>
          <w:color w:val="auto"/>
        </w:rPr>
      </w:pPr>
      <w:r>
        <w:rPr>
          <w:rFonts w:ascii="Arial" w:cs="Arial" w:eastAsia="Arial" w:hAnsi="Arial"/>
          <w:sz w:val="18"/>
          <w:szCs w:val="18"/>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and</w:t>
      </w:r>
    </w:p>
    <w:p>
      <w:pPr>
        <w:spacing w:after="0" w:line="59" w:lineRule="exact"/>
        <w:rPr>
          <w:rFonts w:ascii="Arial" w:cs="Arial" w:eastAsia="Arial" w:hAnsi="Arial"/>
          <w:sz w:val="18"/>
          <w:szCs w:val="18"/>
          <w:color w:val="auto"/>
        </w:rPr>
      </w:pPr>
    </w:p>
    <w:p>
      <w:pPr>
        <w:ind w:left="920" w:right="160" w:firstLine="421"/>
        <w:spacing w:after="0" w:line="268" w:lineRule="auto"/>
        <w:tabs>
          <w:tab w:leader="none" w:pos="1647" w:val="left"/>
        </w:tabs>
        <w:numPr>
          <w:ilvl w:val="2"/>
          <w:numId w:val="4"/>
        </w:numPr>
        <w:rPr>
          <w:rFonts w:ascii="Arial" w:cs="Arial" w:eastAsia="Arial" w:hAnsi="Arial"/>
          <w:sz w:val="18"/>
          <w:szCs w:val="18"/>
          <w:color w:val="auto"/>
        </w:rPr>
      </w:pPr>
      <w:r>
        <w:rPr>
          <w:rFonts w:ascii="Arial" w:cs="Arial" w:eastAsia="Arial" w:hAnsi="Arial"/>
          <w:sz w:val="18"/>
          <w:szCs w:val="18"/>
          <w:color w:val="auto"/>
        </w:rPr>
        <w:t>To include any material information with respect to the plan of distribution not previously disclosed in the Registration Statement or any material change to such information in the Registration Statement;</w:t>
      </w:r>
    </w:p>
    <w:p>
      <w:pPr>
        <w:spacing w:after="0" w:line="51" w:lineRule="exact"/>
        <w:rPr>
          <w:sz w:val="20"/>
          <w:szCs w:val="20"/>
          <w:color w:val="auto"/>
        </w:rPr>
      </w:pPr>
    </w:p>
    <w:p>
      <w:pPr>
        <w:ind w:left="920"/>
        <w:spacing w:after="0" w:line="259" w:lineRule="auto"/>
        <w:rPr>
          <w:sz w:val="20"/>
          <w:szCs w:val="20"/>
          <w:color w:val="auto"/>
        </w:rPr>
      </w:pPr>
      <w:r>
        <w:rPr>
          <w:rFonts w:ascii="Arial" w:cs="Arial" w:eastAsia="Arial" w:hAnsi="Arial"/>
          <w:sz w:val="18"/>
          <w:szCs w:val="18"/>
          <w:i w:val="1"/>
          <w:iCs w:val="1"/>
          <w:color w:val="auto"/>
        </w:rPr>
        <w:t>provided, however,</w:t>
      </w:r>
      <w:r>
        <w:rPr>
          <w:rFonts w:ascii="Arial" w:cs="Arial" w:eastAsia="Arial" w:hAnsi="Arial"/>
          <w:sz w:val="18"/>
          <w:szCs w:val="18"/>
          <w:color w:val="auto"/>
        </w:rPr>
        <w:t>, that paragraphs (i) and (ii) do not apply if the information required to be included in a post-effective amendment by those</w:t>
      </w:r>
      <w:r>
        <w:rPr>
          <w:rFonts w:ascii="Arial" w:cs="Arial" w:eastAsia="Arial" w:hAnsi="Arial"/>
          <w:sz w:val="18"/>
          <w:szCs w:val="18"/>
          <w:i w:val="1"/>
          <w:iCs w:val="1"/>
          <w:color w:val="auto"/>
        </w:rPr>
        <w:t xml:space="preserve"> </w:t>
      </w:r>
      <w:r>
        <w:rPr>
          <w:rFonts w:ascii="Arial" w:cs="Arial" w:eastAsia="Arial" w:hAnsi="Arial"/>
          <w:sz w:val="18"/>
          <w:szCs w:val="18"/>
          <w:color w:val="auto"/>
        </w:rPr>
        <w:t>paragraphs is contained in periodic reports filed with or furnished to the Commission by the Registrant pursuant to Section 13 or Section 15(d) of the Exchange Act that are incorporated by reference in the Registration Statement.</w:t>
      </w:r>
    </w:p>
    <w:p>
      <w:pPr>
        <w:spacing w:after="0" w:line="59" w:lineRule="exact"/>
        <w:rPr>
          <w:sz w:val="20"/>
          <w:szCs w:val="20"/>
          <w:color w:val="auto"/>
        </w:rPr>
      </w:pPr>
    </w:p>
    <w:p>
      <w:pPr>
        <w:ind w:left="460" w:right="340" w:firstLine="443"/>
        <w:spacing w:after="0" w:line="259" w:lineRule="auto"/>
        <w:tabs>
          <w:tab w:leader="none" w:pos="1147" w:val="left"/>
        </w:tabs>
        <w:numPr>
          <w:ilvl w:val="1"/>
          <w:numId w:val="5"/>
        </w:numPr>
        <w:rPr>
          <w:rFonts w:ascii="Arial" w:cs="Arial" w:eastAsia="Arial" w:hAnsi="Arial"/>
          <w:sz w:val="18"/>
          <w:szCs w:val="18"/>
          <w:color w:val="auto"/>
        </w:rPr>
      </w:pPr>
      <w:r>
        <w:rPr>
          <w:rFonts w:ascii="Arial" w:cs="Arial" w:eastAsia="Arial" w:hAnsi="Arial"/>
          <w:sz w:val="18"/>
          <w:szCs w:val="18"/>
          <w:color w:val="auto"/>
        </w:rPr>
        <w:t xml:space="preserve">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w:t>
      </w:r>
      <w:r>
        <w:rPr>
          <w:rFonts w:ascii="Arial" w:cs="Arial" w:eastAsia="Arial" w:hAnsi="Arial"/>
          <w:sz w:val="18"/>
          <w:szCs w:val="18"/>
          <w:i w:val="1"/>
          <w:iCs w:val="1"/>
          <w:color w:val="auto"/>
        </w:rPr>
        <w:t>bona fide</w:t>
      </w:r>
      <w:r>
        <w:rPr>
          <w:rFonts w:ascii="Arial" w:cs="Arial" w:eastAsia="Arial" w:hAnsi="Arial"/>
          <w:sz w:val="18"/>
          <w:szCs w:val="18"/>
          <w:color w:val="auto"/>
        </w:rPr>
        <w:t xml:space="preserve"> offering thereof.</w:t>
      </w:r>
    </w:p>
    <w:p>
      <w:pPr>
        <w:spacing w:after="0" w:line="59" w:lineRule="exact"/>
        <w:rPr>
          <w:rFonts w:ascii="Arial" w:cs="Arial" w:eastAsia="Arial" w:hAnsi="Arial"/>
          <w:sz w:val="18"/>
          <w:szCs w:val="18"/>
          <w:color w:val="auto"/>
        </w:rPr>
      </w:pPr>
    </w:p>
    <w:p>
      <w:pPr>
        <w:ind w:left="460" w:right="800" w:firstLine="443"/>
        <w:spacing w:after="0" w:line="268" w:lineRule="auto"/>
        <w:tabs>
          <w:tab w:leader="none" w:pos="1147" w:val="left"/>
        </w:tabs>
        <w:numPr>
          <w:ilvl w:val="1"/>
          <w:numId w:val="5"/>
        </w:numPr>
        <w:rPr>
          <w:rFonts w:ascii="Arial" w:cs="Arial" w:eastAsia="Arial" w:hAnsi="Arial"/>
          <w:sz w:val="18"/>
          <w:szCs w:val="18"/>
          <w:color w:val="auto"/>
        </w:rPr>
      </w:pPr>
      <w:r>
        <w:rPr>
          <w:rFonts w:ascii="Arial" w:cs="Arial" w:eastAsia="Arial" w:hAnsi="Arial"/>
          <w:sz w:val="18"/>
          <w:szCs w:val="18"/>
          <w:color w:val="auto"/>
        </w:rPr>
        <w:t>To remove from registration by means of a post-effective amendment any of the securities being registered which remain unsold at the termination of the offering.</w:t>
      </w:r>
    </w:p>
    <w:p>
      <w:pPr>
        <w:spacing w:after="0" w:line="131" w:lineRule="exact"/>
        <w:rPr>
          <w:rFonts w:ascii="Arial" w:cs="Arial" w:eastAsia="Arial" w:hAnsi="Arial"/>
          <w:sz w:val="18"/>
          <w:szCs w:val="18"/>
          <w:color w:val="auto"/>
        </w:rPr>
      </w:pPr>
    </w:p>
    <w:p>
      <w:pPr>
        <w:jc w:val="both"/>
        <w:ind w:right="200" w:firstLine="464"/>
        <w:spacing w:after="0" w:line="256" w:lineRule="auto"/>
        <w:tabs>
          <w:tab w:leader="none" w:pos="632"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Item 512(b) of Regulation S-K</w:t>
      </w:r>
      <w:r>
        <w:rPr>
          <w:rFonts w:ascii="Arial" w:cs="Arial" w:eastAsia="Arial" w:hAnsi="Arial"/>
          <w:sz w:val="18"/>
          <w:szCs w:val="18"/>
          <w:color w:val="auto"/>
        </w:rPr>
        <w:t>. The undersigned Registrant hereby undertakes that, for purposes of determining any liability under the Securities Act,</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each filing of the Registrant’s annual report pursuant to Section 13(a) or Section 15(d) of the Exchange Act that is incorporated by reference in the Registration Statement shall be deemed to be a new registration statement relating to the securities offered therein, and the offering of such securities at that time shall be deemed to be the initial </w:t>
      </w:r>
      <w:r>
        <w:rPr>
          <w:rFonts w:ascii="Arial" w:cs="Arial" w:eastAsia="Arial" w:hAnsi="Arial"/>
          <w:sz w:val="18"/>
          <w:szCs w:val="18"/>
          <w:i w:val="1"/>
          <w:iCs w:val="1"/>
          <w:color w:val="auto"/>
        </w:rPr>
        <w:t>bona fide</w:t>
      </w:r>
      <w:r>
        <w:rPr>
          <w:rFonts w:ascii="Arial" w:cs="Arial" w:eastAsia="Arial" w:hAnsi="Arial"/>
          <w:sz w:val="18"/>
          <w:szCs w:val="18"/>
          <w:color w:val="auto"/>
        </w:rPr>
        <w:t xml:space="preserve"> offering thereof.</w:t>
      </w:r>
    </w:p>
    <w:p>
      <w:pPr>
        <w:spacing w:after="0" w:line="143" w:lineRule="exact"/>
        <w:rPr>
          <w:rFonts w:ascii="Arial" w:cs="Arial" w:eastAsia="Arial" w:hAnsi="Arial"/>
          <w:sz w:val="18"/>
          <w:szCs w:val="18"/>
          <w:color w:val="auto"/>
        </w:rPr>
      </w:pPr>
    </w:p>
    <w:p>
      <w:pPr>
        <w:ind w:right="180" w:firstLine="464"/>
        <w:spacing w:after="0" w:line="289" w:lineRule="auto"/>
        <w:tabs>
          <w:tab w:leader="none" w:pos="632" w:val="left"/>
        </w:tabs>
        <w:numPr>
          <w:ilvl w:val="0"/>
          <w:numId w:val="6"/>
        </w:numPr>
        <w:rPr>
          <w:rFonts w:ascii="Arial" w:cs="Arial" w:eastAsia="Arial" w:hAnsi="Arial"/>
          <w:sz w:val="16"/>
          <w:szCs w:val="16"/>
          <w:color w:val="auto"/>
        </w:rPr>
      </w:pPr>
      <w:r>
        <w:rPr>
          <w:rFonts w:ascii="Arial" w:cs="Arial" w:eastAsia="Arial" w:hAnsi="Arial"/>
          <w:sz w:val="16"/>
          <w:szCs w:val="16"/>
          <w:i w:val="1"/>
          <w:iCs w:val="1"/>
          <w:color w:val="auto"/>
        </w:rPr>
        <w:t>Item 512(h) of Regulation S-K</w:t>
      </w:r>
      <w:r>
        <w:rPr>
          <w:rFonts w:ascii="Arial" w:cs="Arial" w:eastAsia="Arial" w:hAnsi="Arial"/>
          <w:sz w:val="16"/>
          <w:szCs w:val="16"/>
          <w:color w:val="auto"/>
        </w:rPr>
        <w:t>. Insofar as indemnification for liabilities arising under the Securities Act may be permitted to directors, officers and</w:t>
      </w:r>
      <w:r>
        <w:rPr>
          <w:rFonts w:ascii="Arial" w:cs="Arial" w:eastAsia="Arial" w:hAnsi="Arial"/>
          <w:sz w:val="16"/>
          <w:szCs w:val="16"/>
          <w:i w:val="1"/>
          <w:iCs w:val="1"/>
          <w:color w:val="auto"/>
        </w:rPr>
        <w:t xml:space="preserve"> </w:t>
      </w:r>
      <w:r>
        <w:rPr>
          <w:rFonts w:ascii="Arial" w:cs="Arial" w:eastAsia="Arial" w:hAnsi="Arial"/>
          <w:sz w:val="16"/>
          <w:szCs w:val="16"/>
          <w:color w:val="auto"/>
        </w:rPr>
        <w:t>controlling persons of the Registrant pursuant to the foregoing provisions, or otherwise, the Registrant has been advised that in the opinion of the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II-2</w:t>
      </w:r>
    </w:p>
    <w:p>
      <w:pPr>
        <w:sectPr>
          <w:pgSz w:w="11900" w:h="16838" w:orient="portrait"/>
          <w:cols w:equalWidth="0" w:num="1">
            <w:col w:w="11400"/>
          </w:cols>
          <w:pgMar w:left="240" w:top="280" w:right="25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SIGNATURES</w:t>
      </w:r>
    </w:p>
    <w:p>
      <w:pPr>
        <w:spacing w:after="0" w:line="177"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color w:val="auto"/>
        </w:rPr>
        <w:t>Pursuant to the requirements of the Securities Act of 1933, the Registrant certifies that it has reasonable grounds to believe that it meets all of the requirements for filing on Form S-8 and has duly caused this Registration Statement to be signed on its behalf by the undersigned, thereunto duly authorized, in the City of Canton, Commonwealth of Massachusetts, on this 25 day of August, 2006.</w:t>
      </w:r>
    </w:p>
    <w:p>
      <w:pPr>
        <w:spacing w:after="0" w:line="34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CASUAL MALE RETAIL GROUP, INC.</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Dennis R. Hernreich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4558665</wp:posOffset>
            </wp:positionH>
            <wp:positionV relativeFrom="paragraph">
              <wp:posOffset>10795</wp:posOffset>
            </wp:positionV>
            <wp:extent cx="269303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3"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Dennis R. Hernreich</w:t>
      </w:r>
    </w:p>
    <w:p>
      <w:pPr>
        <w:spacing w:after="0" w:line="15"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Chief Financial Officer</w:t>
      </w:r>
    </w:p>
    <w:p>
      <w:pPr>
        <w:spacing w:after="0" w:line="178"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Pursuant to the requirements of the Securities Act of 1933, this Registration Statement has been signed by the following persons in the capacities and on the dates indicated.</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37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Signature</w:t>
            </w:r>
          </w:p>
        </w:tc>
        <w:tc>
          <w:tcPr>
            <w:tcW w:w="1500" w:type="dxa"/>
            <w:vAlign w:val="bottom"/>
          </w:tcPr>
          <w:p>
            <w:pPr>
              <w:spacing w:after="0"/>
              <w:rPr>
                <w:sz w:val="14"/>
                <w:szCs w:val="14"/>
                <w:color w:val="auto"/>
              </w:rPr>
            </w:pPr>
          </w:p>
        </w:tc>
        <w:tc>
          <w:tcPr>
            <w:tcW w:w="34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Title</w:t>
            </w:r>
          </w:p>
        </w:tc>
        <w:tc>
          <w:tcPr>
            <w:tcW w:w="1500" w:type="dxa"/>
            <w:vAlign w:val="bottom"/>
          </w:tcPr>
          <w:p>
            <w:pPr>
              <w:spacing w:after="0"/>
              <w:rPr>
                <w:sz w:val="14"/>
                <w:szCs w:val="14"/>
                <w:color w:val="auto"/>
              </w:rPr>
            </w:pPr>
          </w:p>
        </w:tc>
        <w:tc>
          <w:tcPr>
            <w:tcW w:w="11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Date</w:t>
            </w:r>
          </w:p>
        </w:tc>
      </w:tr>
      <w:tr>
        <w:trPr>
          <w:trHeight w:val="430"/>
        </w:trPr>
        <w:tc>
          <w:tcPr>
            <w:tcW w:w="37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David A. Levin</w:t>
            </w:r>
          </w:p>
        </w:tc>
        <w:tc>
          <w:tcPr>
            <w:tcW w:w="1500" w:type="dxa"/>
            <w:vAlign w:val="bottom"/>
          </w:tcPr>
          <w:p>
            <w:pPr>
              <w:spacing w:after="0"/>
              <w:rPr>
                <w:sz w:val="24"/>
                <w:szCs w:val="24"/>
                <w:color w:val="auto"/>
              </w:rPr>
            </w:pPr>
          </w:p>
        </w:tc>
        <w:tc>
          <w:tcPr>
            <w:tcW w:w="3480" w:type="dxa"/>
            <w:vAlign w:val="bottom"/>
          </w:tcPr>
          <w:p>
            <w:pPr>
              <w:spacing w:after="0"/>
              <w:rPr>
                <w:sz w:val="20"/>
                <w:szCs w:val="20"/>
                <w:color w:val="auto"/>
              </w:rPr>
            </w:pPr>
            <w:r>
              <w:rPr>
                <w:rFonts w:ascii="Arial" w:cs="Arial" w:eastAsia="Arial" w:hAnsi="Arial"/>
                <w:sz w:val="18"/>
                <w:szCs w:val="18"/>
                <w:color w:val="auto"/>
              </w:rPr>
              <w:t>President and Chief Executive Officer</w:t>
            </w:r>
          </w:p>
        </w:tc>
        <w:tc>
          <w:tcPr>
            <w:tcW w:w="2680" w:type="dxa"/>
            <w:vAlign w:val="bottom"/>
            <w:gridSpan w:val="2"/>
          </w:tcPr>
          <w:p>
            <w:pPr>
              <w:ind w:left="1500"/>
              <w:spacing w:after="0"/>
              <w:rPr>
                <w:sz w:val="20"/>
                <w:szCs w:val="20"/>
                <w:color w:val="auto"/>
              </w:rPr>
            </w:pPr>
            <w:r>
              <w:rPr>
                <w:rFonts w:ascii="Arial" w:cs="Arial" w:eastAsia="Arial" w:hAnsi="Arial"/>
                <w:sz w:val="18"/>
                <w:szCs w:val="18"/>
                <w:color w:val="auto"/>
                <w:w w:val="88"/>
              </w:rPr>
              <w:t>August 25, 2006</w:t>
            </w:r>
          </w:p>
        </w:tc>
      </w:tr>
      <w:tr>
        <w:trPr>
          <w:trHeight w:val="218"/>
        </w:trPr>
        <w:tc>
          <w:tcPr>
            <w:tcW w:w="3760" w:type="dxa"/>
            <w:vAlign w:val="bottom"/>
          </w:tcPr>
          <w:p>
            <w:pPr>
              <w:spacing w:after="0"/>
              <w:rPr>
                <w:sz w:val="20"/>
                <w:szCs w:val="20"/>
                <w:color w:val="auto"/>
              </w:rPr>
            </w:pPr>
            <w:r>
              <w:rPr>
                <w:rFonts w:ascii="Arial" w:cs="Arial" w:eastAsia="Arial" w:hAnsi="Arial"/>
                <w:sz w:val="18"/>
                <w:szCs w:val="18"/>
                <w:color w:val="auto"/>
              </w:rPr>
              <w:t>David A. Levin</w:t>
            </w:r>
          </w:p>
        </w:tc>
        <w:tc>
          <w:tcPr>
            <w:tcW w:w="1500" w:type="dxa"/>
            <w:vAlign w:val="bottom"/>
          </w:tcPr>
          <w:p>
            <w:pPr>
              <w:spacing w:after="0"/>
              <w:rPr>
                <w:sz w:val="18"/>
                <w:szCs w:val="18"/>
                <w:color w:val="auto"/>
              </w:rPr>
            </w:pPr>
          </w:p>
        </w:tc>
        <w:tc>
          <w:tcPr>
            <w:tcW w:w="3480" w:type="dxa"/>
            <w:vAlign w:val="bottom"/>
          </w:tcPr>
          <w:p>
            <w:pPr>
              <w:spacing w:after="0" w:line="202" w:lineRule="exact"/>
              <w:rPr>
                <w:sz w:val="20"/>
                <w:szCs w:val="20"/>
                <w:color w:val="auto"/>
              </w:rPr>
            </w:pPr>
            <w:r>
              <w:rPr>
                <w:rFonts w:ascii="Arial" w:cs="Arial" w:eastAsia="Arial" w:hAnsi="Arial"/>
                <w:sz w:val="18"/>
                <w:szCs w:val="18"/>
                <w:color w:val="auto"/>
              </w:rPr>
              <w:t>(Principal Executive Officer)</w:t>
            </w:r>
          </w:p>
        </w:tc>
        <w:tc>
          <w:tcPr>
            <w:tcW w:w="150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437"/>
        </w:trPr>
        <w:tc>
          <w:tcPr>
            <w:tcW w:w="37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Dennis R. Hernreich</w:t>
            </w:r>
          </w:p>
        </w:tc>
        <w:tc>
          <w:tcPr>
            <w:tcW w:w="1500" w:type="dxa"/>
            <w:vAlign w:val="bottom"/>
          </w:tcPr>
          <w:p>
            <w:pPr>
              <w:spacing w:after="0"/>
              <w:rPr>
                <w:sz w:val="24"/>
                <w:szCs w:val="24"/>
                <w:color w:val="auto"/>
              </w:rPr>
            </w:pPr>
          </w:p>
        </w:tc>
        <w:tc>
          <w:tcPr>
            <w:tcW w:w="3480" w:type="dxa"/>
            <w:vAlign w:val="bottom"/>
          </w:tcPr>
          <w:p>
            <w:pPr>
              <w:spacing w:after="0"/>
              <w:rPr>
                <w:sz w:val="20"/>
                <w:szCs w:val="20"/>
                <w:color w:val="auto"/>
              </w:rPr>
            </w:pPr>
            <w:r>
              <w:rPr>
                <w:rFonts w:ascii="Arial" w:cs="Arial" w:eastAsia="Arial" w:hAnsi="Arial"/>
                <w:sz w:val="18"/>
                <w:szCs w:val="18"/>
                <w:color w:val="auto"/>
              </w:rPr>
              <w:t>Executive Vice President, Chief Operating</w:t>
            </w:r>
          </w:p>
        </w:tc>
        <w:tc>
          <w:tcPr>
            <w:tcW w:w="2680" w:type="dxa"/>
            <w:vAlign w:val="bottom"/>
            <w:gridSpan w:val="2"/>
          </w:tcPr>
          <w:p>
            <w:pPr>
              <w:ind w:left="1500"/>
              <w:spacing w:after="0"/>
              <w:rPr>
                <w:sz w:val="20"/>
                <w:szCs w:val="20"/>
                <w:color w:val="auto"/>
              </w:rPr>
            </w:pPr>
            <w:r>
              <w:rPr>
                <w:rFonts w:ascii="Arial" w:cs="Arial" w:eastAsia="Arial" w:hAnsi="Arial"/>
                <w:sz w:val="18"/>
                <w:szCs w:val="18"/>
                <w:color w:val="auto"/>
                <w:w w:val="88"/>
              </w:rPr>
              <w:t>August 25, 2006</w:t>
            </w:r>
          </w:p>
        </w:tc>
      </w:tr>
      <w:tr>
        <w:trPr>
          <w:trHeight w:val="190"/>
        </w:trPr>
        <w:tc>
          <w:tcPr>
            <w:tcW w:w="3760" w:type="dxa"/>
            <w:vAlign w:val="bottom"/>
          </w:tcPr>
          <w:p>
            <w:pPr>
              <w:spacing w:after="0" w:line="190" w:lineRule="exact"/>
              <w:rPr>
                <w:sz w:val="20"/>
                <w:szCs w:val="20"/>
                <w:color w:val="auto"/>
              </w:rPr>
            </w:pPr>
            <w:r>
              <w:rPr>
                <w:rFonts w:ascii="Arial" w:cs="Arial" w:eastAsia="Arial" w:hAnsi="Arial"/>
                <w:sz w:val="18"/>
                <w:szCs w:val="18"/>
                <w:color w:val="auto"/>
              </w:rPr>
              <w:t>Dennis R. Hernreich</w:t>
            </w:r>
          </w:p>
        </w:tc>
        <w:tc>
          <w:tcPr>
            <w:tcW w:w="1500" w:type="dxa"/>
            <w:vAlign w:val="bottom"/>
          </w:tcPr>
          <w:p>
            <w:pPr>
              <w:spacing w:after="0"/>
              <w:rPr>
                <w:sz w:val="16"/>
                <w:szCs w:val="16"/>
                <w:color w:val="auto"/>
              </w:rPr>
            </w:pPr>
          </w:p>
        </w:tc>
        <w:tc>
          <w:tcPr>
            <w:tcW w:w="3480" w:type="dxa"/>
            <w:vAlign w:val="bottom"/>
          </w:tcPr>
          <w:p>
            <w:pPr>
              <w:ind w:left="220"/>
              <w:spacing w:after="0" w:line="190" w:lineRule="exact"/>
              <w:rPr>
                <w:sz w:val="20"/>
                <w:szCs w:val="20"/>
                <w:color w:val="auto"/>
              </w:rPr>
            </w:pPr>
            <w:r>
              <w:rPr>
                <w:rFonts w:ascii="Arial" w:cs="Arial" w:eastAsia="Arial" w:hAnsi="Arial"/>
                <w:sz w:val="18"/>
                <w:szCs w:val="18"/>
                <w:color w:val="auto"/>
                <w:w w:val="90"/>
              </w:rPr>
              <w:t>Officer, Chief Financial Officer and Treasurer</w:t>
            </w:r>
          </w:p>
        </w:tc>
        <w:tc>
          <w:tcPr>
            <w:tcW w:w="1500" w:type="dxa"/>
            <w:vAlign w:val="bottom"/>
          </w:tcPr>
          <w:p>
            <w:pPr>
              <w:spacing w:after="0"/>
              <w:rPr>
                <w:sz w:val="16"/>
                <w:szCs w:val="16"/>
                <w:color w:val="auto"/>
              </w:rPr>
            </w:pPr>
          </w:p>
        </w:tc>
        <w:tc>
          <w:tcPr>
            <w:tcW w:w="1180" w:type="dxa"/>
            <w:vAlign w:val="bottom"/>
          </w:tcPr>
          <w:p>
            <w:pPr>
              <w:spacing w:after="0"/>
              <w:rPr>
                <w:sz w:val="16"/>
                <w:szCs w:val="16"/>
                <w:color w:val="auto"/>
              </w:rPr>
            </w:pPr>
          </w:p>
        </w:tc>
      </w:tr>
      <w:tr>
        <w:trPr>
          <w:trHeight w:val="216"/>
        </w:trPr>
        <w:tc>
          <w:tcPr>
            <w:tcW w:w="37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3480" w:type="dxa"/>
            <w:vAlign w:val="bottom"/>
          </w:tcPr>
          <w:p>
            <w:pPr>
              <w:ind w:left="220"/>
              <w:spacing w:after="0"/>
              <w:rPr>
                <w:sz w:val="20"/>
                <w:szCs w:val="20"/>
                <w:color w:val="auto"/>
              </w:rPr>
            </w:pPr>
            <w:r>
              <w:rPr>
                <w:rFonts w:ascii="Arial" w:cs="Arial" w:eastAsia="Arial" w:hAnsi="Arial"/>
                <w:sz w:val="18"/>
                <w:szCs w:val="18"/>
                <w:color w:val="auto"/>
              </w:rPr>
              <w:t>(Principal Financial Officer and Principal</w:t>
            </w:r>
          </w:p>
        </w:tc>
        <w:tc>
          <w:tcPr>
            <w:tcW w:w="150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22"/>
        </w:trPr>
        <w:tc>
          <w:tcPr>
            <w:tcW w:w="376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3480" w:type="dxa"/>
            <w:vAlign w:val="bottom"/>
          </w:tcPr>
          <w:p>
            <w:pPr>
              <w:ind w:left="220"/>
              <w:spacing w:after="0"/>
              <w:rPr>
                <w:sz w:val="20"/>
                <w:szCs w:val="20"/>
                <w:color w:val="auto"/>
              </w:rPr>
            </w:pPr>
            <w:r>
              <w:rPr>
                <w:rFonts w:ascii="Arial" w:cs="Arial" w:eastAsia="Arial" w:hAnsi="Arial"/>
                <w:sz w:val="18"/>
                <w:szCs w:val="18"/>
                <w:color w:val="auto"/>
              </w:rPr>
              <w:t>Accounting Officer)</w:t>
            </w:r>
          </w:p>
        </w:tc>
        <w:tc>
          <w:tcPr>
            <w:tcW w:w="150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433"/>
        </w:trPr>
        <w:tc>
          <w:tcPr>
            <w:tcW w:w="37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Seymour Holtzman</w:t>
            </w:r>
          </w:p>
        </w:tc>
        <w:tc>
          <w:tcPr>
            <w:tcW w:w="1500" w:type="dxa"/>
            <w:vAlign w:val="bottom"/>
          </w:tcPr>
          <w:p>
            <w:pPr>
              <w:spacing w:after="0"/>
              <w:rPr>
                <w:sz w:val="24"/>
                <w:szCs w:val="24"/>
                <w:color w:val="auto"/>
              </w:rPr>
            </w:pPr>
          </w:p>
        </w:tc>
        <w:tc>
          <w:tcPr>
            <w:tcW w:w="3480" w:type="dxa"/>
            <w:vAlign w:val="bottom"/>
          </w:tcPr>
          <w:p>
            <w:pPr>
              <w:spacing w:after="0"/>
              <w:rPr>
                <w:sz w:val="20"/>
                <w:szCs w:val="20"/>
                <w:color w:val="auto"/>
              </w:rPr>
            </w:pPr>
            <w:r>
              <w:rPr>
                <w:rFonts w:ascii="Arial" w:cs="Arial" w:eastAsia="Arial" w:hAnsi="Arial"/>
                <w:sz w:val="18"/>
                <w:szCs w:val="18"/>
                <w:color w:val="auto"/>
              </w:rPr>
              <w:t>Chairman of the Board of Directors</w:t>
            </w:r>
          </w:p>
        </w:tc>
        <w:tc>
          <w:tcPr>
            <w:tcW w:w="2680" w:type="dxa"/>
            <w:vAlign w:val="bottom"/>
            <w:gridSpan w:val="2"/>
          </w:tcPr>
          <w:p>
            <w:pPr>
              <w:ind w:left="1500"/>
              <w:spacing w:after="0"/>
              <w:rPr>
                <w:sz w:val="20"/>
                <w:szCs w:val="20"/>
                <w:color w:val="auto"/>
              </w:rPr>
            </w:pPr>
            <w:r>
              <w:rPr>
                <w:rFonts w:ascii="Arial" w:cs="Arial" w:eastAsia="Arial" w:hAnsi="Arial"/>
                <w:sz w:val="18"/>
                <w:szCs w:val="18"/>
                <w:color w:val="auto"/>
                <w:w w:val="88"/>
              </w:rPr>
              <w:t>August 25, 2006</w:t>
            </w:r>
          </w:p>
        </w:tc>
      </w:tr>
      <w:tr>
        <w:trPr>
          <w:trHeight w:val="217"/>
        </w:trPr>
        <w:tc>
          <w:tcPr>
            <w:tcW w:w="3760" w:type="dxa"/>
            <w:vAlign w:val="bottom"/>
          </w:tcPr>
          <w:p>
            <w:pPr>
              <w:spacing w:after="0"/>
              <w:rPr>
                <w:sz w:val="20"/>
                <w:szCs w:val="20"/>
                <w:color w:val="auto"/>
              </w:rPr>
            </w:pPr>
            <w:r>
              <w:rPr>
                <w:rFonts w:ascii="Arial" w:cs="Arial" w:eastAsia="Arial" w:hAnsi="Arial"/>
                <w:sz w:val="18"/>
                <w:szCs w:val="18"/>
                <w:color w:val="auto"/>
              </w:rPr>
              <w:t>Seymour Holtzman</w:t>
            </w:r>
          </w:p>
        </w:tc>
        <w:tc>
          <w:tcPr>
            <w:tcW w:w="1500" w:type="dxa"/>
            <w:vAlign w:val="bottom"/>
          </w:tcPr>
          <w:p>
            <w:pPr>
              <w:spacing w:after="0"/>
              <w:rPr>
                <w:sz w:val="18"/>
                <w:szCs w:val="18"/>
                <w:color w:val="auto"/>
              </w:rPr>
            </w:pPr>
          </w:p>
        </w:tc>
        <w:tc>
          <w:tcPr>
            <w:tcW w:w="34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438"/>
        </w:trPr>
        <w:tc>
          <w:tcPr>
            <w:tcW w:w="37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Alan S. Bernikow</w:t>
            </w:r>
          </w:p>
        </w:tc>
        <w:tc>
          <w:tcPr>
            <w:tcW w:w="1500" w:type="dxa"/>
            <w:vAlign w:val="bottom"/>
          </w:tcPr>
          <w:p>
            <w:pPr>
              <w:spacing w:after="0"/>
              <w:rPr>
                <w:sz w:val="24"/>
                <w:szCs w:val="24"/>
                <w:color w:val="auto"/>
              </w:rPr>
            </w:pPr>
          </w:p>
        </w:tc>
        <w:tc>
          <w:tcPr>
            <w:tcW w:w="3480" w:type="dxa"/>
            <w:vAlign w:val="bottom"/>
          </w:tcPr>
          <w:p>
            <w:pPr>
              <w:spacing w:after="0"/>
              <w:rPr>
                <w:sz w:val="20"/>
                <w:szCs w:val="20"/>
                <w:color w:val="auto"/>
              </w:rPr>
            </w:pPr>
            <w:r>
              <w:rPr>
                <w:rFonts w:ascii="Arial" w:cs="Arial" w:eastAsia="Arial" w:hAnsi="Arial"/>
                <w:sz w:val="18"/>
                <w:szCs w:val="18"/>
                <w:color w:val="auto"/>
              </w:rPr>
              <w:t>Director</w:t>
            </w:r>
          </w:p>
        </w:tc>
        <w:tc>
          <w:tcPr>
            <w:tcW w:w="2680" w:type="dxa"/>
            <w:vAlign w:val="bottom"/>
            <w:gridSpan w:val="2"/>
          </w:tcPr>
          <w:p>
            <w:pPr>
              <w:ind w:left="1500"/>
              <w:spacing w:after="0"/>
              <w:rPr>
                <w:sz w:val="20"/>
                <w:szCs w:val="20"/>
                <w:color w:val="auto"/>
              </w:rPr>
            </w:pPr>
            <w:r>
              <w:rPr>
                <w:rFonts w:ascii="Arial" w:cs="Arial" w:eastAsia="Arial" w:hAnsi="Arial"/>
                <w:sz w:val="18"/>
                <w:szCs w:val="18"/>
                <w:color w:val="auto"/>
                <w:w w:val="88"/>
              </w:rPr>
              <w:t>August 25, 2006</w:t>
            </w:r>
          </w:p>
        </w:tc>
      </w:tr>
      <w:tr>
        <w:trPr>
          <w:trHeight w:val="217"/>
        </w:trPr>
        <w:tc>
          <w:tcPr>
            <w:tcW w:w="3760" w:type="dxa"/>
            <w:vAlign w:val="bottom"/>
          </w:tcPr>
          <w:p>
            <w:pPr>
              <w:spacing w:after="0"/>
              <w:rPr>
                <w:sz w:val="20"/>
                <w:szCs w:val="20"/>
                <w:color w:val="auto"/>
              </w:rPr>
            </w:pPr>
            <w:r>
              <w:rPr>
                <w:rFonts w:ascii="Arial" w:cs="Arial" w:eastAsia="Arial" w:hAnsi="Arial"/>
                <w:sz w:val="18"/>
                <w:szCs w:val="18"/>
                <w:color w:val="auto"/>
              </w:rPr>
              <w:t>Alan S. Bernikow</w:t>
            </w:r>
          </w:p>
        </w:tc>
        <w:tc>
          <w:tcPr>
            <w:tcW w:w="1500" w:type="dxa"/>
            <w:vAlign w:val="bottom"/>
          </w:tcPr>
          <w:p>
            <w:pPr>
              <w:spacing w:after="0"/>
              <w:rPr>
                <w:sz w:val="18"/>
                <w:szCs w:val="18"/>
                <w:color w:val="auto"/>
              </w:rPr>
            </w:pPr>
          </w:p>
        </w:tc>
        <w:tc>
          <w:tcPr>
            <w:tcW w:w="34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438"/>
        </w:trPr>
        <w:tc>
          <w:tcPr>
            <w:tcW w:w="37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Jesse H. Choper</w:t>
            </w:r>
          </w:p>
        </w:tc>
        <w:tc>
          <w:tcPr>
            <w:tcW w:w="1500" w:type="dxa"/>
            <w:vAlign w:val="bottom"/>
          </w:tcPr>
          <w:p>
            <w:pPr>
              <w:spacing w:after="0"/>
              <w:rPr>
                <w:sz w:val="24"/>
                <w:szCs w:val="24"/>
                <w:color w:val="auto"/>
              </w:rPr>
            </w:pPr>
          </w:p>
        </w:tc>
        <w:tc>
          <w:tcPr>
            <w:tcW w:w="3480" w:type="dxa"/>
            <w:vAlign w:val="bottom"/>
          </w:tcPr>
          <w:p>
            <w:pPr>
              <w:spacing w:after="0"/>
              <w:rPr>
                <w:sz w:val="20"/>
                <w:szCs w:val="20"/>
                <w:color w:val="auto"/>
              </w:rPr>
            </w:pPr>
            <w:r>
              <w:rPr>
                <w:rFonts w:ascii="Arial" w:cs="Arial" w:eastAsia="Arial" w:hAnsi="Arial"/>
                <w:sz w:val="18"/>
                <w:szCs w:val="18"/>
                <w:color w:val="auto"/>
              </w:rPr>
              <w:t>Director</w:t>
            </w:r>
          </w:p>
        </w:tc>
        <w:tc>
          <w:tcPr>
            <w:tcW w:w="2680" w:type="dxa"/>
            <w:vAlign w:val="bottom"/>
            <w:gridSpan w:val="2"/>
          </w:tcPr>
          <w:p>
            <w:pPr>
              <w:ind w:left="1500"/>
              <w:spacing w:after="0"/>
              <w:rPr>
                <w:sz w:val="20"/>
                <w:szCs w:val="20"/>
                <w:color w:val="auto"/>
              </w:rPr>
            </w:pPr>
            <w:r>
              <w:rPr>
                <w:rFonts w:ascii="Arial" w:cs="Arial" w:eastAsia="Arial" w:hAnsi="Arial"/>
                <w:sz w:val="18"/>
                <w:szCs w:val="18"/>
                <w:color w:val="auto"/>
                <w:w w:val="88"/>
              </w:rPr>
              <w:t>August 25, 2006</w:t>
            </w:r>
          </w:p>
        </w:tc>
      </w:tr>
      <w:tr>
        <w:trPr>
          <w:trHeight w:val="217"/>
        </w:trPr>
        <w:tc>
          <w:tcPr>
            <w:tcW w:w="3760" w:type="dxa"/>
            <w:vAlign w:val="bottom"/>
          </w:tcPr>
          <w:p>
            <w:pPr>
              <w:spacing w:after="0"/>
              <w:rPr>
                <w:sz w:val="20"/>
                <w:szCs w:val="20"/>
                <w:color w:val="auto"/>
              </w:rPr>
            </w:pPr>
            <w:r>
              <w:rPr>
                <w:rFonts w:ascii="Arial" w:cs="Arial" w:eastAsia="Arial" w:hAnsi="Arial"/>
                <w:sz w:val="18"/>
                <w:szCs w:val="18"/>
                <w:color w:val="auto"/>
              </w:rPr>
              <w:t>Jesse H. Choper</w:t>
            </w:r>
          </w:p>
        </w:tc>
        <w:tc>
          <w:tcPr>
            <w:tcW w:w="1500" w:type="dxa"/>
            <w:vAlign w:val="bottom"/>
          </w:tcPr>
          <w:p>
            <w:pPr>
              <w:spacing w:after="0"/>
              <w:rPr>
                <w:sz w:val="18"/>
                <w:szCs w:val="18"/>
                <w:color w:val="auto"/>
              </w:rPr>
            </w:pPr>
          </w:p>
        </w:tc>
        <w:tc>
          <w:tcPr>
            <w:tcW w:w="34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438"/>
        </w:trPr>
        <w:tc>
          <w:tcPr>
            <w:tcW w:w="37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Ward K. Mooney</w:t>
            </w:r>
          </w:p>
        </w:tc>
        <w:tc>
          <w:tcPr>
            <w:tcW w:w="1500" w:type="dxa"/>
            <w:vAlign w:val="bottom"/>
          </w:tcPr>
          <w:p>
            <w:pPr>
              <w:spacing w:after="0"/>
              <w:rPr>
                <w:sz w:val="24"/>
                <w:szCs w:val="24"/>
                <w:color w:val="auto"/>
              </w:rPr>
            </w:pPr>
          </w:p>
        </w:tc>
        <w:tc>
          <w:tcPr>
            <w:tcW w:w="3480" w:type="dxa"/>
            <w:vAlign w:val="bottom"/>
          </w:tcPr>
          <w:p>
            <w:pPr>
              <w:spacing w:after="0"/>
              <w:rPr>
                <w:sz w:val="20"/>
                <w:szCs w:val="20"/>
                <w:color w:val="auto"/>
              </w:rPr>
            </w:pPr>
            <w:r>
              <w:rPr>
                <w:rFonts w:ascii="Arial" w:cs="Arial" w:eastAsia="Arial" w:hAnsi="Arial"/>
                <w:sz w:val="18"/>
                <w:szCs w:val="18"/>
                <w:color w:val="auto"/>
              </w:rPr>
              <w:t>Director</w:t>
            </w:r>
          </w:p>
        </w:tc>
        <w:tc>
          <w:tcPr>
            <w:tcW w:w="2680" w:type="dxa"/>
            <w:vAlign w:val="bottom"/>
            <w:gridSpan w:val="2"/>
          </w:tcPr>
          <w:p>
            <w:pPr>
              <w:ind w:left="1500"/>
              <w:spacing w:after="0"/>
              <w:rPr>
                <w:sz w:val="20"/>
                <w:szCs w:val="20"/>
                <w:color w:val="auto"/>
              </w:rPr>
            </w:pPr>
            <w:r>
              <w:rPr>
                <w:rFonts w:ascii="Arial" w:cs="Arial" w:eastAsia="Arial" w:hAnsi="Arial"/>
                <w:sz w:val="18"/>
                <w:szCs w:val="18"/>
                <w:color w:val="auto"/>
                <w:w w:val="88"/>
              </w:rPr>
              <w:t>August 25, 2006</w:t>
            </w:r>
          </w:p>
        </w:tc>
      </w:tr>
      <w:tr>
        <w:trPr>
          <w:trHeight w:val="217"/>
        </w:trPr>
        <w:tc>
          <w:tcPr>
            <w:tcW w:w="3760" w:type="dxa"/>
            <w:vAlign w:val="bottom"/>
          </w:tcPr>
          <w:p>
            <w:pPr>
              <w:spacing w:after="0"/>
              <w:rPr>
                <w:sz w:val="20"/>
                <w:szCs w:val="20"/>
                <w:color w:val="auto"/>
              </w:rPr>
            </w:pPr>
            <w:r>
              <w:rPr>
                <w:rFonts w:ascii="Arial" w:cs="Arial" w:eastAsia="Arial" w:hAnsi="Arial"/>
                <w:sz w:val="18"/>
                <w:szCs w:val="18"/>
                <w:color w:val="auto"/>
              </w:rPr>
              <w:t>Ward K. Mooney</w:t>
            </w:r>
          </w:p>
        </w:tc>
        <w:tc>
          <w:tcPr>
            <w:tcW w:w="1500" w:type="dxa"/>
            <w:vAlign w:val="bottom"/>
          </w:tcPr>
          <w:p>
            <w:pPr>
              <w:spacing w:after="0"/>
              <w:rPr>
                <w:sz w:val="18"/>
                <w:szCs w:val="18"/>
                <w:color w:val="auto"/>
              </w:rPr>
            </w:pPr>
          </w:p>
        </w:tc>
        <w:tc>
          <w:tcPr>
            <w:tcW w:w="34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438"/>
        </w:trPr>
        <w:tc>
          <w:tcPr>
            <w:tcW w:w="37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George T. Porter, Jr.</w:t>
            </w:r>
          </w:p>
        </w:tc>
        <w:tc>
          <w:tcPr>
            <w:tcW w:w="1500" w:type="dxa"/>
            <w:vAlign w:val="bottom"/>
          </w:tcPr>
          <w:p>
            <w:pPr>
              <w:spacing w:after="0"/>
              <w:rPr>
                <w:sz w:val="24"/>
                <w:szCs w:val="24"/>
                <w:color w:val="auto"/>
              </w:rPr>
            </w:pPr>
          </w:p>
        </w:tc>
        <w:tc>
          <w:tcPr>
            <w:tcW w:w="3480" w:type="dxa"/>
            <w:vAlign w:val="bottom"/>
          </w:tcPr>
          <w:p>
            <w:pPr>
              <w:spacing w:after="0"/>
              <w:rPr>
                <w:sz w:val="20"/>
                <w:szCs w:val="20"/>
                <w:color w:val="auto"/>
              </w:rPr>
            </w:pPr>
            <w:r>
              <w:rPr>
                <w:rFonts w:ascii="Arial" w:cs="Arial" w:eastAsia="Arial" w:hAnsi="Arial"/>
                <w:sz w:val="18"/>
                <w:szCs w:val="18"/>
                <w:color w:val="auto"/>
              </w:rPr>
              <w:t>Director</w:t>
            </w:r>
          </w:p>
        </w:tc>
        <w:tc>
          <w:tcPr>
            <w:tcW w:w="2680" w:type="dxa"/>
            <w:vAlign w:val="bottom"/>
            <w:gridSpan w:val="2"/>
          </w:tcPr>
          <w:p>
            <w:pPr>
              <w:ind w:left="1500"/>
              <w:spacing w:after="0"/>
              <w:rPr>
                <w:sz w:val="20"/>
                <w:szCs w:val="20"/>
                <w:color w:val="auto"/>
              </w:rPr>
            </w:pPr>
            <w:r>
              <w:rPr>
                <w:rFonts w:ascii="Arial" w:cs="Arial" w:eastAsia="Arial" w:hAnsi="Arial"/>
                <w:sz w:val="18"/>
                <w:szCs w:val="18"/>
                <w:color w:val="auto"/>
                <w:w w:val="88"/>
              </w:rPr>
              <w:t>August 25, 2006</w:t>
            </w:r>
          </w:p>
        </w:tc>
      </w:tr>
      <w:tr>
        <w:trPr>
          <w:trHeight w:val="217"/>
        </w:trPr>
        <w:tc>
          <w:tcPr>
            <w:tcW w:w="3760" w:type="dxa"/>
            <w:vAlign w:val="bottom"/>
          </w:tcPr>
          <w:p>
            <w:pPr>
              <w:spacing w:after="0"/>
              <w:rPr>
                <w:sz w:val="20"/>
                <w:szCs w:val="20"/>
                <w:color w:val="auto"/>
              </w:rPr>
            </w:pPr>
            <w:r>
              <w:rPr>
                <w:rFonts w:ascii="Arial" w:cs="Arial" w:eastAsia="Arial" w:hAnsi="Arial"/>
                <w:sz w:val="18"/>
                <w:szCs w:val="18"/>
                <w:color w:val="auto"/>
              </w:rPr>
              <w:t>George T. Porter, Jr.</w:t>
            </w:r>
          </w:p>
        </w:tc>
        <w:tc>
          <w:tcPr>
            <w:tcW w:w="1500" w:type="dxa"/>
            <w:vAlign w:val="bottom"/>
          </w:tcPr>
          <w:p>
            <w:pPr>
              <w:spacing w:after="0"/>
              <w:rPr>
                <w:sz w:val="18"/>
                <w:szCs w:val="18"/>
                <w:color w:val="auto"/>
              </w:rPr>
            </w:pPr>
          </w:p>
        </w:tc>
        <w:tc>
          <w:tcPr>
            <w:tcW w:w="34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438"/>
        </w:trPr>
        <w:tc>
          <w:tcPr>
            <w:tcW w:w="37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Robert L. Sockolov</w:t>
            </w:r>
          </w:p>
        </w:tc>
        <w:tc>
          <w:tcPr>
            <w:tcW w:w="1500" w:type="dxa"/>
            <w:vAlign w:val="bottom"/>
          </w:tcPr>
          <w:p>
            <w:pPr>
              <w:spacing w:after="0"/>
              <w:rPr>
                <w:sz w:val="24"/>
                <w:szCs w:val="24"/>
                <w:color w:val="auto"/>
              </w:rPr>
            </w:pPr>
          </w:p>
        </w:tc>
        <w:tc>
          <w:tcPr>
            <w:tcW w:w="3480" w:type="dxa"/>
            <w:vAlign w:val="bottom"/>
          </w:tcPr>
          <w:p>
            <w:pPr>
              <w:spacing w:after="0"/>
              <w:rPr>
                <w:sz w:val="20"/>
                <w:szCs w:val="20"/>
                <w:color w:val="auto"/>
              </w:rPr>
            </w:pPr>
            <w:r>
              <w:rPr>
                <w:rFonts w:ascii="Arial" w:cs="Arial" w:eastAsia="Arial" w:hAnsi="Arial"/>
                <w:sz w:val="18"/>
                <w:szCs w:val="18"/>
                <w:color w:val="auto"/>
              </w:rPr>
              <w:t>Director</w:t>
            </w:r>
          </w:p>
        </w:tc>
        <w:tc>
          <w:tcPr>
            <w:tcW w:w="2680" w:type="dxa"/>
            <w:vAlign w:val="bottom"/>
            <w:gridSpan w:val="2"/>
          </w:tcPr>
          <w:p>
            <w:pPr>
              <w:ind w:left="1500"/>
              <w:spacing w:after="0"/>
              <w:rPr>
                <w:sz w:val="20"/>
                <w:szCs w:val="20"/>
                <w:color w:val="auto"/>
              </w:rPr>
            </w:pPr>
            <w:r>
              <w:rPr>
                <w:rFonts w:ascii="Arial" w:cs="Arial" w:eastAsia="Arial" w:hAnsi="Arial"/>
                <w:sz w:val="18"/>
                <w:szCs w:val="18"/>
                <w:color w:val="auto"/>
                <w:w w:val="88"/>
              </w:rPr>
              <w:t>August 25, 2006</w:t>
            </w:r>
          </w:p>
        </w:tc>
      </w:tr>
      <w:tr>
        <w:trPr>
          <w:trHeight w:val="217"/>
        </w:trPr>
        <w:tc>
          <w:tcPr>
            <w:tcW w:w="3760" w:type="dxa"/>
            <w:vAlign w:val="bottom"/>
          </w:tcPr>
          <w:p>
            <w:pPr>
              <w:spacing w:after="0"/>
              <w:rPr>
                <w:sz w:val="20"/>
                <w:szCs w:val="20"/>
                <w:color w:val="auto"/>
              </w:rPr>
            </w:pPr>
            <w:r>
              <w:rPr>
                <w:rFonts w:ascii="Arial" w:cs="Arial" w:eastAsia="Arial" w:hAnsi="Arial"/>
                <w:sz w:val="18"/>
                <w:szCs w:val="18"/>
                <w:color w:val="auto"/>
              </w:rPr>
              <w:t>Robert L. Sockolov</w:t>
            </w:r>
          </w:p>
        </w:tc>
        <w:tc>
          <w:tcPr>
            <w:tcW w:w="1500" w:type="dxa"/>
            <w:vAlign w:val="bottom"/>
          </w:tcPr>
          <w:p>
            <w:pPr>
              <w:spacing w:after="0"/>
              <w:rPr>
                <w:sz w:val="18"/>
                <w:szCs w:val="18"/>
                <w:color w:val="auto"/>
              </w:rPr>
            </w:pPr>
          </w:p>
        </w:tc>
        <w:tc>
          <w:tcPr>
            <w:tcW w:w="34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370"/>
        </w:trPr>
        <w:tc>
          <w:tcPr>
            <w:tcW w:w="37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3480" w:type="dxa"/>
            <w:vAlign w:val="bottom"/>
          </w:tcPr>
          <w:p>
            <w:pPr>
              <w:ind w:left="320"/>
              <w:spacing w:after="0"/>
              <w:rPr>
                <w:sz w:val="20"/>
                <w:szCs w:val="20"/>
                <w:color w:val="auto"/>
              </w:rPr>
            </w:pPr>
            <w:r>
              <w:rPr>
                <w:rFonts w:ascii="Arial" w:cs="Arial" w:eastAsia="Arial" w:hAnsi="Arial"/>
                <w:sz w:val="18"/>
                <w:szCs w:val="18"/>
                <w:color w:val="auto"/>
              </w:rPr>
              <w:t>II-3</w:t>
            </w:r>
          </w:p>
        </w:tc>
        <w:tc>
          <w:tcPr>
            <w:tcW w:w="1500" w:type="dxa"/>
            <w:vAlign w:val="bottom"/>
          </w:tcPr>
          <w:p>
            <w:pPr>
              <w:spacing w:after="0"/>
              <w:rPr>
                <w:sz w:val="24"/>
                <w:szCs w:val="24"/>
                <w:color w:val="auto"/>
              </w:rPr>
            </w:pPr>
          </w:p>
        </w:tc>
        <w:tc>
          <w:tcPr>
            <w:tcW w:w="1180" w:type="dxa"/>
            <w:vAlign w:val="bottom"/>
          </w:tcPr>
          <w:p>
            <w:pPr>
              <w:spacing w:after="0"/>
              <w:rPr>
                <w:sz w:val="24"/>
                <w:szCs w:val="24"/>
                <w:color w:val="auto"/>
              </w:rPr>
            </w:pPr>
          </w:p>
        </w:tc>
      </w:tr>
    </w:tbl>
    <w:p>
      <w:pPr>
        <w:sectPr>
          <w:pgSz w:w="11900" w:h="16838" w:orient="portrait"/>
          <w:cols w:equalWidth="0" w:num="1">
            <w:col w:w="11420"/>
          </w:cols>
          <w:pgMar w:left="240" w:top="274" w:right="239" w:bottom="1440" w:gutter="0" w:footer="0" w:header="0"/>
        </w:sectPr>
      </w:pPr>
    </w:p>
    <w:bookmarkStart w:id="4" w:name="page5"/>
    <w:bookmarkEnd w:id="4"/>
    <w:p>
      <w:pPr>
        <w:ind w:left="498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EXHIBIT INDEX</w:t>
      </w:r>
    </w:p>
    <w:p>
      <w:pPr>
        <w:spacing w:after="0" w:line="213" w:lineRule="exact"/>
        <w:rPr>
          <w:sz w:val="20"/>
          <w:szCs w:val="20"/>
          <w:color w:val="auto"/>
        </w:rPr>
      </w:pPr>
    </w:p>
    <w:p>
      <w:pPr>
        <w:ind w:left="20"/>
        <w:spacing w:after="0"/>
        <w:tabs>
          <w:tab w:leader="none" w:pos="5640" w:val="left"/>
        </w:tabs>
        <w:rPr>
          <w:sz w:val="20"/>
          <w:szCs w:val="20"/>
          <w:color w:val="auto"/>
        </w:rPr>
      </w:pPr>
      <w:r>
        <w:rPr>
          <w:rFonts w:ascii="Arial" w:cs="Arial" w:eastAsia="Arial" w:hAnsi="Arial"/>
          <w:sz w:val="14"/>
          <w:szCs w:val="14"/>
          <w:b w:val="1"/>
          <w:bCs w:val="1"/>
          <w:color w:val="auto"/>
        </w:rPr>
        <w:t>No.</w:t>
      </w:r>
      <w:r>
        <w:rPr>
          <w:sz w:val="20"/>
          <w:szCs w:val="20"/>
          <w:color w:val="auto"/>
        </w:rPr>
        <w:tab/>
      </w:r>
      <w:r>
        <w:rPr>
          <w:rFonts w:ascii="Arial" w:cs="Arial" w:eastAsia="Arial" w:hAnsi="Arial"/>
          <w:sz w:val="14"/>
          <w:szCs w:val="14"/>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8890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15" w:lineRule="exact"/>
        <w:rPr>
          <w:sz w:val="20"/>
          <w:szCs w:val="20"/>
          <w:color w:val="auto"/>
        </w:rPr>
      </w:pPr>
    </w:p>
    <w:p>
      <w:pPr>
        <w:ind w:left="640" w:hanging="556"/>
        <w:spacing w:after="0" w:line="268" w:lineRule="auto"/>
        <w:tabs>
          <w:tab w:leader="none" w:pos="620" w:val="left"/>
        </w:tabs>
        <w:rPr>
          <w:sz w:val="20"/>
          <w:szCs w:val="20"/>
          <w:color w:val="auto"/>
        </w:rPr>
      </w:pPr>
      <w:r>
        <w:rPr>
          <w:rFonts w:ascii="Arial" w:cs="Arial" w:eastAsia="Arial" w:hAnsi="Arial"/>
          <w:sz w:val="18"/>
          <w:szCs w:val="18"/>
          <w:color w:val="auto"/>
        </w:rPr>
        <w:t>4.1</w:t>
      </w:r>
      <w:r>
        <w:rPr>
          <w:sz w:val="20"/>
          <w:szCs w:val="20"/>
          <w:color w:val="auto"/>
        </w:rPr>
        <w:tab/>
      </w:r>
      <w:r>
        <w:rPr>
          <w:rFonts w:ascii="Arial" w:cs="Arial" w:eastAsia="Arial" w:hAnsi="Arial"/>
          <w:sz w:val="18"/>
          <w:szCs w:val="18"/>
          <w:color w:val="auto"/>
        </w:rPr>
        <w:t>Casual Male Retail Group, Inc. 2006 Incentive Compensation Plan (included as Exhibit 10.1 to the Registrant’s Quarterly Report on Form 10-Q filed on August 18, 2006, and incorporated herein by reference).</w:t>
      </w:r>
    </w:p>
    <w:p>
      <w:pPr>
        <w:spacing w:after="0" w:line="186" w:lineRule="exact"/>
        <w:rPr>
          <w:sz w:val="20"/>
          <w:szCs w:val="20"/>
          <w:color w:val="auto"/>
        </w:rPr>
      </w:pPr>
    </w:p>
    <w:p>
      <w:pPr>
        <w:ind w:left="80"/>
        <w:spacing w:after="0"/>
        <w:tabs>
          <w:tab w:leader="none" w:pos="620" w:val="left"/>
        </w:tabs>
        <w:rPr>
          <w:sz w:val="20"/>
          <w:szCs w:val="20"/>
          <w:color w:val="auto"/>
        </w:rPr>
      </w:pPr>
      <w:r>
        <w:rPr>
          <w:rFonts w:ascii="Arial" w:cs="Arial" w:eastAsia="Arial" w:hAnsi="Arial"/>
          <w:sz w:val="18"/>
          <w:szCs w:val="18"/>
          <w:color w:val="auto"/>
        </w:rPr>
        <w:t>5.1</w:t>
      </w:r>
      <w:r>
        <w:rPr>
          <w:sz w:val="20"/>
          <w:szCs w:val="20"/>
          <w:color w:val="auto"/>
        </w:rPr>
        <w:tab/>
      </w:r>
      <w:r>
        <w:rPr>
          <w:rFonts w:ascii="Arial" w:cs="Arial" w:eastAsia="Arial" w:hAnsi="Arial"/>
          <w:sz w:val="15"/>
          <w:szCs w:val="15"/>
          <w:color w:val="auto"/>
        </w:rPr>
        <w:t>Opinion of Greenberg Traurig LLP, counsel to the Registrant.</w:t>
      </w:r>
    </w:p>
    <w:p>
      <w:pPr>
        <w:spacing w:after="0" w:line="225"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23.1</w:t>
      </w:r>
      <w:r>
        <w:rPr>
          <w:sz w:val="20"/>
          <w:szCs w:val="20"/>
          <w:color w:val="auto"/>
        </w:rPr>
        <w:tab/>
      </w:r>
      <w:r>
        <w:rPr>
          <w:rFonts w:ascii="Arial" w:cs="Arial" w:eastAsia="Arial" w:hAnsi="Arial"/>
          <w:sz w:val="16"/>
          <w:szCs w:val="16"/>
          <w:color w:val="auto"/>
        </w:rPr>
        <w:t>Consent of Greenberg Traurig LLP (included in Exhibit 5.1).</w:t>
      </w:r>
    </w:p>
    <w:p>
      <w:pPr>
        <w:spacing w:after="0" w:line="225"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23.2</w:t>
      </w:r>
      <w:r>
        <w:rPr>
          <w:sz w:val="20"/>
          <w:szCs w:val="20"/>
          <w:color w:val="auto"/>
        </w:rPr>
        <w:tab/>
      </w:r>
      <w:r>
        <w:rPr>
          <w:rFonts w:ascii="Arial" w:cs="Arial" w:eastAsia="Arial" w:hAnsi="Arial"/>
          <w:sz w:val="16"/>
          <w:szCs w:val="16"/>
          <w:color w:val="auto"/>
        </w:rPr>
        <w:t>Consent of Ernst &amp; Young LLP.</w:t>
      </w:r>
    </w:p>
    <w:p>
      <w:pPr>
        <w:sectPr>
          <w:pgSz w:w="11900" w:h="16838" w:orient="portrait"/>
          <w:cols w:equalWidth="0" w:num="1">
            <w:col w:w="11340"/>
          </w:cols>
          <w:pgMar w:left="300" w:top="274" w:right="259" w:bottom="1440" w:gutter="0" w:footer="0" w:header="0"/>
        </w:sectPr>
      </w:pPr>
    </w:p>
    <w:bookmarkStart w:id="5" w:name="page6"/>
    <w:bookmarkEnd w:id="5"/>
    <w:p>
      <w:pPr>
        <w:jc w:val="right"/>
        <w:spacing w:after="0"/>
        <w:rPr>
          <w:sz w:val="20"/>
          <w:szCs w:val="20"/>
          <w:color w:val="auto"/>
        </w:rPr>
      </w:pPr>
      <w:r>
        <w:rPr>
          <w:rFonts w:ascii="Arial" w:cs="Arial" w:eastAsia="Arial" w:hAnsi="Arial"/>
          <w:sz w:val="18"/>
          <w:szCs w:val="18"/>
          <w:b w:val="1"/>
          <w:bCs w:val="1"/>
          <w:color w:val="auto"/>
        </w:rPr>
        <w:t>Exhibit 5.1</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[Greenberg Traurig, LLP Letterhead]</w:t>
      </w:r>
    </w:p>
    <w:p>
      <w:pPr>
        <w:spacing w:after="0" w:line="171"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August 25, 2006</w:t>
      </w:r>
    </w:p>
    <w:p>
      <w:pPr>
        <w:spacing w:after="0" w:line="90" w:lineRule="exact"/>
        <w:rPr>
          <w:sz w:val="20"/>
          <w:szCs w:val="20"/>
          <w:color w:val="auto"/>
        </w:rPr>
      </w:pPr>
    </w:p>
    <w:p>
      <w:pPr>
        <w:ind w:left="20"/>
        <w:spacing w:after="0"/>
        <w:rPr>
          <w:sz w:val="20"/>
          <w:szCs w:val="20"/>
          <w:color w:val="auto"/>
        </w:rPr>
      </w:pPr>
      <w:r>
        <w:rPr>
          <w:rFonts w:ascii="Arial" w:cs="Arial" w:eastAsia="Arial" w:hAnsi="Arial"/>
          <w:sz w:val="18"/>
          <w:szCs w:val="18"/>
          <w:color w:val="auto"/>
        </w:rPr>
        <w:t>Casual Male Retail Group, Inc.</w:t>
      </w:r>
    </w:p>
    <w:p>
      <w:pPr>
        <w:spacing w:after="0" w:line="15" w:lineRule="exact"/>
        <w:rPr>
          <w:sz w:val="20"/>
          <w:szCs w:val="20"/>
          <w:color w:val="auto"/>
        </w:rPr>
      </w:pPr>
    </w:p>
    <w:p>
      <w:pPr>
        <w:ind w:left="20"/>
        <w:spacing w:after="0"/>
        <w:rPr>
          <w:sz w:val="20"/>
          <w:szCs w:val="20"/>
          <w:color w:val="auto"/>
        </w:rPr>
      </w:pPr>
      <w:r>
        <w:rPr>
          <w:rFonts w:ascii="Arial" w:cs="Arial" w:eastAsia="Arial" w:hAnsi="Arial"/>
          <w:sz w:val="18"/>
          <w:szCs w:val="18"/>
          <w:color w:val="auto"/>
        </w:rPr>
        <w:t>555 Turnpike Street</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color w:val="auto"/>
        </w:rPr>
        <w:t>Canton, MA 02021</w:t>
      </w:r>
    </w:p>
    <w:p>
      <w:pPr>
        <w:spacing w:after="0" w:line="199" w:lineRule="exact"/>
        <w:rPr>
          <w:sz w:val="20"/>
          <w:szCs w:val="20"/>
          <w:color w:val="auto"/>
        </w:rPr>
      </w:pPr>
    </w:p>
    <w:p>
      <w:pPr>
        <w:ind w:left="920"/>
        <w:spacing w:after="0"/>
        <w:tabs>
          <w:tab w:leader="none" w:pos="1460" w:val="left"/>
        </w:tabs>
        <w:rPr>
          <w:sz w:val="20"/>
          <w:szCs w:val="20"/>
          <w:color w:val="auto"/>
        </w:rPr>
      </w:pPr>
      <w:r>
        <w:rPr>
          <w:rFonts w:ascii="Arial" w:cs="Arial" w:eastAsia="Arial" w:hAnsi="Arial"/>
          <w:sz w:val="18"/>
          <w:szCs w:val="18"/>
          <w:color w:val="auto"/>
        </w:rPr>
        <w:t>Re:</w:t>
      </w:r>
      <w:r>
        <w:rPr>
          <w:sz w:val="20"/>
          <w:szCs w:val="20"/>
          <w:color w:val="auto"/>
        </w:rPr>
        <w:tab/>
      </w:r>
      <w:r>
        <w:rPr>
          <w:rFonts w:ascii="Arial" w:cs="Arial" w:eastAsia="Arial" w:hAnsi="Arial"/>
          <w:sz w:val="18"/>
          <w:szCs w:val="18"/>
          <w:b w:val="1"/>
          <w:bCs w:val="1"/>
          <w:color w:val="auto"/>
        </w:rPr>
        <w:t>Shares to be Issued Under the Casual Male Retail Group, Inc.</w:t>
      </w:r>
    </w:p>
    <w:p>
      <w:pPr>
        <w:spacing w:after="0" w:line="21" w:lineRule="exact"/>
        <w:rPr>
          <w:sz w:val="20"/>
          <w:szCs w:val="20"/>
          <w:color w:val="auto"/>
        </w:rPr>
      </w:pPr>
    </w:p>
    <w:p>
      <w:pPr>
        <w:ind w:left="1480"/>
        <w:spacing w:after="0"/>
        <w:rPr>
          <w:sz w:val="20"/>
          <w:szCs w:val="20"/>
          <w:color w:val="auto"/>
        </w:rPr>
      </w:pPr>
      <w:r>
        <w:rPr>
          <w:rFonts w:ascii="Arial" w:cs="Arial" w:eastAsia="Arial" w:hAnsi="Arial"/>
          <w:sz w:val="18"/>
          <w:szCs w:val="18"/>
          <w:b w:val="1"/>
          <w:bCs w:val="1"/>
          <w:color w:val="auto"/>
        </w:rPr>
        <w:t>2006 Incentive Compensation Plan</w:t>
      </w:r>
    </w:p>
    <w:p>
      <w:pPr>
        <w:spacing w:after="0" w:line="246" w:lineRule="exact"/>
        <w:rPr>
          <w:sz w:val="20"/>
          <w:szCs w:val="20"/>
          <w:color w:val="auto"/>
        </w:rPr>
      </w:pPr>
    </w:p>
    <w:p>
      <w:pPr>
        <w:ind w:left="20"/>
        <w:spacing w:after="0"/>
        <w:rPr>
          <w:sz w:val="20"/>
          <w:szCs w:val="20"/>
          <w:color w:val="auto"/>
        </w:rPr>
      </w:pPr>
      <w:r>
        <w:rPr>
          <w:rFonts w:ascii="Arial" w:cs="Arial" w:eastAsia="Arial" w:hAnsi="Arial"/>
          <w:sz w:val="18"/>
          <w:szCs w:val="18"/>
          <w:color w:val="auto"/>
        </w:rPr>
        <w:t>Ladies and Gentlemen:</w:t>
      </w:r>
    </w:p>
    <w:p>
      <w:pPr>
        <w:spacing w:after="0" w:line="90" w:lineRule="exact"/>
        <w:rPr>
          <w:sz w:val="20"/>
          <w:szCs w:val="20"/>
          <w:color w:val="auto"/>
        </w:rPr>
      </w:pPr>
    </w:p>
    <w:p>
      <w:pPr>
        <w:ind w:right="220" w:firstLine="456"/>
        <w:spacing w:after="0" w:line="298" w:lineRule="auto"/>
        <w:rPr>
          <w:sz w:val="20"/>
          <w:szCs w:val="20"/>
          <w:color w:val="auto"/>
        </w:rPr>
      </w:pPr>
      <w:r>
        <w:rPr>
          <w:rFonts w:ascii="Arial" w:cs="Arial" w:eastAsia="Arial" w:hAnsi="Arial"/>
          <w:sz w:val="16"/>
          <w:szCs w:val="16"/>
          <w:color w:val="auto"/>
        </w:rPr>
        <w:t>We have assisted in the preparation of a Registration Statement on Form S-8 (the “Registration Statement”) to be filed with the Securities and Exchange Commission (the “Commission”) under the Securities Act of 1933, as amended (the “Securities Act”), relating to 2,500,000 shares (the “Shares”) of common stock, $0.01 par value per share (the “Common Stock”), of Casual Male Retail Group, Inc., a Delaware corporation (the “Company”), that may be issued under the Casual Male Retail Group, Inc. 2006 Incentive Compensation Plan (the “Plan”).</w:t>
      </w:r>
    </w:p>
    <w:p>
      <w:pPr>
        <w:spacing w:after="0" w:line="113" w:lineRule="exact"/>
        <w:rPr>
          <w:sz w:val="20"/>
          <w:szCs w:val="20"/>
          <w:color w:val="auto"/>
        </w:rPr>
      </w:pPr>
    </w:p>
    <w:p>
      <w:pPr>
        <w:jc w:val="both"/>
        <w:ind w:right="140" w:firstLine="456"/>
        <w:spacing w:after="0" w:line="259" w:lineRule="auto"/>
        <w:rPr>
          <w:sz w:val="20"/>
          <w:szCs w:val="20"/>
          <w:color w:val="auto"/>
        </w:rPr>
      </w:pPr>
      <w:r>
        <w:rPr>
          <w:rFonts w:ascii="Arial" w:cs="Arial" w:eastAsia="Arial" w:hAnsi="Arial"/>
          <w:sz w:val="18"/>
          <w:szCs w:val="18"/>
          <w:color w:val="auto"/>
        </w:rPr>
        <w:t>We have examined the Certificate of Incorporation and Bylaws of the Company, each as amended and restated to date, and originals, or copies certified to our satisfaction, of all pertinent records of the meetings of the directors and stockholders of the Company, the Registration Statement and such other documents relating to the Company as we have deemed material for the purposes of this opinion.</w:t>
      </w:r>
    </w:p>
    <w:p>
      <w:pPr>
        <w:spacing w:after="0" w:line="140" w:lineRule="exact"/>
        <w:rPr>
          <w:sz w:val="20"/>
          <w:szCs w:val="20"/>
          <w:color w:val="auto"/>
        </w:rPr>
      </w:pPr>
    </w:p>
    <w:p>
      <w:pPr>
        <w:jc w:val="both"/>
        <w:ind w:right="240" w:firstLine="456"/>
        <w:spacing w:after="0" w:line="259" w:lineRule="auto"/>
        <w:rPr>
          <w:sz w:val="20"/>
          <w:szCs w:val="20"/>
          <w:color w:val="auto"/>
        </w:rPr>
      </w:pPr>
      <w:r>
        <w:rPr>
          <w:rFonts w:ascii="Arial" w:cs="Arial" w:eastAsia="Arial" w:hAnsi="Arial"/>
          <w:sz w:val="18"/>
          <w:szCs w:val="18"/>
          <w:color w:val="auto"/>
        </w:rPr>
        <w:t>In our examination of the foregoing documents, we have assumed the genuineness of all signatures, the authenticity of all documents submitted to us as originals, the conformity to original documents of all documents submitted to us as certified, photostatic or other copies, the authenticity of the originals of any such documents and the legal competence of all signatories to such documents.</w:t>
      </w:r>
    </w:p>
    <w:p>
      <w:pPr>
        <w:spacing w:after="0" w:line="140"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We assume that the appropriate action will be taken, prior to the offer and sale of the Shares in accordance with the Plan, to register and qualify the Shares for sale under all applicable state securities or “Blue Sky” laws.</w:t>
      </w:r>
    </w:p>
    <w:p>
      <w:pPr>
        <w:sectPr>
          <w:pgSz w:w="11900" w:h="16838" w:orient="portrait"/>
          <w:cols w:equalWidth="0" w:num="1">
            <w:col w:w="11420"/>
          </w:cols>
          <w:pgMar w:left="240" w:top="125" w:right="239" w:bottom="1440" w:gutter="0" w:footer="0" w:header="0"/>
        </w:sectPr>
      </w:pPr>
    </w:p>
    <w:bookmarkStart w:id="6" w:name="page7"/>
    <w:bookmarkEnd w:id="6"/>
    <w:p>
      <w:pPr>
        <w:ind w:left="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Casual Male Retail Group, Inc.</w:t>
      </w:r>
    </w:p>
    <w:p>
      <w:pPr>
        <w:spacing w:after="0" w:line="15" w:lineRule="exact"/>
        <w:rPr>
          <w:sz w:val="20"/>
          <w:szCs w:val="20"/>
          <w:color w:val="auto"/>
        </w:rPr>
      </w:pPr>
    </w:p>
    <w:p>
      <w:pPr>
        <w:ind w:left="20"/>
        <w:spacing w:after="0"/>
        <w:rPr>
          <w:sz w:val="20"/>
          <w:szCs w:val="20"/>
          <w:color w:val="auto"/>
        </w:rPr>
      </w:pPr>
      <w:r>
        <w:rPr>
          <w:rFonts w:ascii="Arial" w:cs="Arial" w:eastAsia="Arial" w:hAnsi="Arial"/>
          <w:sz w:val="18"/>
          <w:szCs w:val="18"/>
          <w:color w:val="auto"/>
        </w:rPr>
        <w:t>August 25, 2006</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color w:val="auto"/>
        </w:rPr>
        <w:t>Page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60007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00075" cy="8890"/>
                    </a:xfrm>
                    <a:prstGeom prst="rect">
                      <a:avLst/>
                    </a:prstGeom>
                    <a:noFill/>
                  </pic:spPr>
                </pic:pic>
              </a:graphicData>
            </a:graphic>
          </wp:anchor>
        </w:drawing>
      </w:r>
    </w:p>
    <w:p>
      <w:pPr>
        <w:spacing w:after="0" w:line="266"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We express no opinion herein as to the laws of any state or jurisdiction other than the state laws of The Commonwealth of Massachusetts, the General Corporation Law of the State of Delaware and the federal laws of the United States of America.</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It is understood that this opinion is to be used only in connection with the offer and sale of the Shares while the Registration Statement is in effect.</w:t>
      </w:r>
    </w:p>
    <w:p>
      <w:pPr>
        <w:spacing w:after="0" w:line="19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Please note that we are opining only as to the matters expressly set forth herein, and no opinion should be inferred as to any other matters.</w:t>
      </w:r>
    </w:p>
    <w:p>
      <w:pPr>
        <w:spacing w:after="0" w:line="194" w:lineRule="exact"/>
        <w:rPr>
          <w:sz w:val="20"/>
          <w:szCs w:val="20"/>
          <w:color w:val="auto"/>
        </w:rPr>
      </w:pPr>
    </w:p>
    <w:p>
      <w:pPr>
        <w:ind w:right="440" w:firstLine="456"/>
        <w:spacing w:after="0" w:line="332" w:lineRule="auto"/>
        <w:rPr>
          <w:sz w:val="20"/>
          <w:szCs w:val="20"/>
          <w:color w:val="auto"/>
        </w:rPr>
      </w:pPr>
      <w:r>
        <w:rPr>
          <w:rFonts w:ascii="Arial" w:cs="Arial" w:eastAsia="Arial" w:hAnsi="Arial"/>
          <w:sz w:val="16"/>
          <w:szCs w:val="16"/>
          <w:color w:val="auto"/>
        </w:rPr>
        <w:t>Based on the foregoing, we are of the opinion that the Shares have been duly authorized for issuance and, when the Shares are issued and paid for in accordance with the terms and conditions of the Plan, the Shares will be validly issued, fully paid and nonassessable.</w:t>
      </w:r>
    </w:p>
    <w:p>
      <w:pPr>
        <w:spacing w:after="0" w:line="85"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We hereby consent to the filing of this opinion with the Commission in connection with the Registration Statement in accordance with the requirements of Item 601(b)(5) of Regulation S-K under the Securities Act. In giving such consent, we do not hereby admit that we are in the category of persons whose consent is required under Section 7 of the Securities Act or the rules and regulations of the Commission.</w:t>
      </w:r>
    </w:p>
    <w:p>
      <w:pPr>
        <w:spacing w:after="0" w:line="221"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Very truly yours,</w:t>
      </w:r>
    </w:p>
    <w:p>
      <w:pPr>
        <w:spacing w:after="0" w:line="90" w:lineRule="exact"/>
        <w:rPr>
          <w:sz w:val="20"/>
          <w:szCs w:val="20"/>
          <w:color w:val="auto"/>
        </w:rPr>
      </w:pPr>
    </w:p>
    <w:p>
      <w:pPr>
        <w:ind w:left="6060"/>
        <w:spacing w:after="0"/>
        <w:tabs>
          <w:tab w:leader="none" w:pos="638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Greenberg Traurig,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3851910</wp:posOffset>
            </wp:positionH>
            <wp:positionV relativeFrom="paragraph">
              <wp:posOffset>-13970</wp:posOffset>
            </wp:positionV>
            <wp:extent cx="218503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185035" cy="8890"/>
                    </a:xfrm>
                    <a:prstGeom prst="rect">
                      <a:avLst/>
                    </a:prstGeom>
                    <a:noFill/>
                  </pic:spPr>
                </pic:pic>
              </a:graphicData>
            </a:graphic>
          </wp:anchor>
        </w:drawing>
      </w:r>
    </w:p>
    <w:p>
      <w:pPr>
        <w:ind w:left="6060"/>
        <w:spacing w:after="0"/>
        <w:rPr>
          <w:sz w:val="20"/>
          <w:szCs w:val="20"/>
          <w:color w:val="auto"/>
        </w:rPr>
      </w:pPr>
      <w:r>
        <w:rPr>
          <w:rFonts w:ascii="Arial" w:cs="Arial" w:eastAsia="Arial" w:hAnsi="Arial"/>
          <w:sz w:val="18"/>
          <w:szCs w:val="18"/>
          <w:color w:val="auto"/>
        </w:rPr>
        <w:t>Greenberg Traurig, LLP</w:t>
      </w:r>
    </w:p>
    <w:p>
      <w:pPr>
        <w:sectPr>
          <w:pgSz w:w="11900" w:h="16838" w:orient="portrait"/>
          <w:cols w:equalWidth="0" w:num="1">
            <w:col w:w="11320"/>
          </w:cols>
          <w:pgMar w:left="240" w:top="280" w:right="339" w:bottom="1440" w:gutter="0" w:footer="0" w:header="0"/>
        </w:sectPr>
      </w:pPr>
    </w:p>
    <w:bookmarkStart w:id="7" w:name="page8"/>
    <w:bookmarkEnd w:id="7"/>
    <w:p>
      <w:pPr>
        <w:jc w:val="right"/>
        <w:spacing w:after="0"/>
        <w:rPr>
          <w:sz w:val="20"/>
          <w:szCs w:val="20"/>
          <w:color w:val="auto"/>
        </w:rPr>
      </w:pPr>
      <w:r>
        <w:rPr>
          <w:rFonts w:ascii="Arial" w:cs="Arial" w:eastAsia="Arial" w:hAnsi="Arial"/>
          <w:sz w:val="18"/>
          <w:szCs w:val="18"/>
          <w:b w:val="1"/>
          <w:bCs w:val="1"/>
          <w:color w:val="auto"/>
        </w:rPr>
        <w:t>Exhibit 23.2</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165" w:lineRule="exact"/>
        <w:rPr>
          <w:sz w:val="20"/>
          <w:szCs w:val="20"/>
          <w:color w:val="auto"/>
        </w:rPr>
      </w:pPr>
    </w:p>
    <w:p>
      <w:pPr>
        <w:ind w:right="120"/>
        <w:spacing w:after="0" w:line="294" w:lineRule="auto"/>
        <w:rPr>
          <w:sz w:val="20"/>
          <w:szCs w:val="20"/>
          <w:color w:val="auto"/>
        </w:rPr>
      </w:pPr>
      <w:r>
        <w:rPr>
          <w:rFonts w:ascii="Arial" w:cs="Arial" w:eastAsia="Arial" w:hAnsi="Arial"/>
          <w:sz w:val="16"/>
          <w:szCs w:val="16"/>
          <w:color w:val="auto"/>
        </w:rPr>
        <w:t>We consent to the incorporation by reference in the Registration Statement on Form S-8 pertaining to the Casual Male Retail Group, Inc. 2006 Incentive Compensation Plan to register 2,500,000 shares of common stock, of our reports dated March 29, 2006, with respect to the consolidated financial statements and schedule of Casual Male Retail Group, Inc., Casual Male Retail Group, Inc. management’s assessment of the effectiveness of internal control over financial reporting, and the effectiveness of internal control over financial reporting of Casual Male Retail Group, Inc., included in its Annual Report (Form 10-K) for the year ended January 28, 2006 filed with the Securities and Exchange Commission.</w:t>
      </w:r>
    </w:p>
    <w:p>
      <w:pPr>
        <w:spacing w:after="0" w:line="197"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/s/ ERNST &amp; YOUNG LLP</w:t>
      </w:r>
    </w:p>
    <w:p>
      <w:pPr>
        <w:spacing w:after="0" w:line="90" w:lineRule="exact"/>
        <w:rPr>
          <w:sz w:val="20"/>
          <w:szCs w:val="20"/>
          <w:color w:val="auto"/>
        </w:rPr>
      </w:pPr>
    </w:p>
    <w:p>
      <w:pPr>
        <w:ind w:left="20"/>
        <w:spacing w:after="0"/>
        <w:rPr>
          <w:sz w:val="20"/>
          <w:szCs w:val="20"/>
          <w:color w:val="auto"/>
        </w:rPr>
      </w:pPr>
      <w:r>
        <w:rPr>
          <w:rFonts w:ascii="Arial" w:cs="Arial" w:eastAsia="Arial" w:hAnsi="Arial"/>
          <w:sz w:val="18"/>
          <w:szCs w:val="18"/>
          <w:color w:val="auto"/>
        </w:rPr>
        <w:t>Boston, Massachusetts</w:t>
      </w:r>
    </w:p>
    <w:p>
      <w:pPr>
        <w:spacing w:after="0" w:line="15" w:lineRule="exact"/>
        <w:rPr>
          <w:sz w:val="20"/>
          <w:szCs w:val="20"/>
          <w:color w:val="auto"/>
        </w:rPr>
      </w:pPr>
    </w:p>
    <w:p>
      <w:pPr>
        <w:ind w:left="20"/>
        <w:spacing w:after="0"/>
        <w:rPr>
          <w:sz w:val="20"/>
          <w:szCs w:val="20"/>
          <w:color w:val="auto"/>
        </w:rPr>
      </w:pPr>
      <w:r>
        <w:rPr>
          <w:rFonts w:ascii="Arial" w:cs="Arial" w:eastAsia="Arial" w:hAnsi="Arial"/>
          <w:sz w:val="18"/>
          <w:szCs w:val="18"/>
          <w:color w:val="auto"/>
        </w:rPr>
        <w:t>August 24, 2006</w:t>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decimal"/>
      <w:start w:val="1"/>
    </w:lvl>
  </w:abstractNum>
  <w:abstractNum w:abstractNumId="1">
    <w:nsid w:val="625558EC"/>
    <w:multiLevelType w:val="hybridMultilevel"/>
    <w:lvl w:ilvl="0">
      <w:lvlJc w:val="left"/>
      <w:lvlText w:val="(%1)"/>
      <w:numFmt w:val="lowerLetter"/>
      <w:start w:val="1"/>
    </w:lvl>
  </w:abstractNum>
  <w:abstractNum w:abstractNumId="2">
    <w:nsid w:val="238E1F29"/>
    <w:multiLevelType w:val="hybridMultilevel"/>
    <w:lvl w:ilvl="0">
      <w:lvlJc w:val="left"/>
      <w:lvlText w:val="(%1)"/>
      <w:numFmt w:val="lowerRoman"/>
      <w:start w:val="3"/>
    </w:lvl>
  </w:abstractNum>
  <w:abstractNum w:abstractNumId="3">
    <w:nsid w:val="46E87CCD"/>
    <w:multiLevelType w:val="hybridMultilevel"/>
    <w:lvl w:ilvl="0">
      <w:lvlJc w:val="left"/>
      <w:lvlText w:val="%1."/>
      <w:numFmt w:val="decimal"/>
      <w:start w:val="1"/>
    </w:lvl>
    <w:lvl w:ilvl="1">
      <w:lvlJc w:val="left"/>
      <w:lvlText w:val="(%2)"/>
      <w:numFmt w:val="decimal"/>
      <w:start w:val="1"/>
    </w:lvl>
    <w:lvl w:ilvl="2">
      <w:lvlJc w:val="left"/>
      <w:lvlText w:val="(%3)"/>
      <w:numFmt w:val="lowerRoman"/>
      <w:start w:val="1"/>
    </w:lvl>
  </w:abstractNum>
  <w:abstractNum w:abstractNumId="4">
    <w:nsid w:val="3D1B58BA"/>
    <w:multiLevelType w:val="hybridMultilevel"/>
    <w:lvl w:ilvl="0">
      <w:lvlJc w:val="left"/>
      <w:lvlText w:val="%1"/>
      <w:numFmt w:val="decimal"/>
      <w:start w:val="1"/>
    </w:lvl>
    <w:lvl w:ilvl="1">
      <w:lvlJc w:val="left"/>
      <w:lvlText w:val="(%2)"/>
      <w:numFmt w:val="decimal"/>
      <w:start w:val="2"/>
    </w:lvl>
  </w:abstractNum>
  <w:abstractNum w:abstractNumId="5">
    <w:nsid w:val="507ED7AB"/>
    <w:multiLevelType w:val="hybridMultilevel"/>
    <w:lvl w:ilvl="0">
      <w:lvlJc w:val="left"/>
      <w:lvlText w:val="%1."/>
      <w:numFmt w:val="decimal"/>
      <w:start w:val="2"/>
    </w:lvl>
    <w:lvl w:ilvl="1">
      <w:lvlJc w:val="left"/>
      <w:lvlText w:val="%2"/>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2019-12-20T18:34:21Z</dcterms:created>
  <dcterms:modified xsi:type="dcterms:W3CDTF">2019-12-20T18:34:21Z</dcterms:modified>
</cp:coreProperties>
</file>