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20955</wp:posOffset>
            </wp:positionV>
            <wp:extent cx="6993255" cy="53536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353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Surette Allison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Merchandising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320" w:righ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14,442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84,701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4,239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4.37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80,462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14,442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14,442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Restricted stock units ("RSU") convert into common stock on a one-for-one basis.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2. Represents shares withheld from shares otherwise issuable upon vesting of RSUs for payment of taxes.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7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3. Represents RSUs for performance-based compensation granted to the Reporting Person on March 23, 2023 under the 2020-2022 Long-Term Incentive Plan.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Allison Surette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09/05/2023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-3053080</wp:posOffset>
            </wp:positionV>
            <wp:extent cx="29210" cy="2017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4139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2023-09-05T15:46:02Z</dcterms:created>
  <dcterms:modified xsi:type="dcterms:W3CDTF">2023-09-05T15:46:02Z</dcterms:modified>
</cp:coreProperties>
</file>