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677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AWM Investment Company, Inc.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527 MADISON AVENUE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2600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DESTINATION XL GROUP,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DXLG</w:t>
            </w:r>
          </w:p>
        </w:tc>
        <w:tc>
          <w:tcPr>
            <w:tcW w:w="170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
        </w:trPr>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rPr>
                <w:rFonts w:ascii="Times New Roman" w:cs="Times New Roman" w:eastAsia="Times New Roman" w:hAnsi="Times New Roman"/>
                <w:sz w:val="1"/>
                <w:szCs w:val="1"/>
                <w:color w:val="auto"/>
              </w:rPr>
            </w:pPr>
            <w:hyperlink r:id="rId13">
              <w:r>
                <w:rPr>
                  <w:rFonts w:ascii="Times New Roman" w:cs="Times New Roman" w:eastAsia="Times New Roman" w:hAnsi="Times New Roman"/>
                  <w:sz w:val="1"/>
                  <w:szCs w:val="1"/>
                  <w:color w:val="auto"/>
                </w:rPr>
                <w:t>]</w:t>
              </w:r>
            </w:hyperlink>
          </w:p>
        </w:tc>
        <w:tc>
          <w:tcPr>
            <w:tcW w:w="28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360" w:type="dxa"/>
            <w:vAlign w:val="bottom"/>
            <w:vMerge w:val="continue"/>
          </w:tcPr>
          <w:p>
            <w:pPr>
              <w:spacing w:after="0" w:line="20" w:lineRule="exact"/>
              <w:rPr>
                <w:sz w:val="1"/>
                <w:szCs w:val="1"/>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8"/>
                <w:szCs w:val="18"/>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3"/>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88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500" w:type="dxa"/>
            <w:vAlign w:val="bottom"/>
          </w:tcPr>
          <w:p>
            <w:pPr>
              <w:ind w:left="400"/>
              <w:spacing w:after="0" w:line="113" w:lineRule="exact"/>
              <w:rPr>
                <w:sz w:val="20"/>
                <w:szCs w:val="20"/>
                <w:color w:val="auto"/>
              </w:rPr>
            </w:pPr>
            <w:r>
              <w:rPr>
                <w:rFonts w:ascii="Arial" w:cs="Arial" w:eastAsia="Arial" w:hAnsi="Arial"/>
                <w:sz w:val="13"/>
                <w:szCs w:val="13"/>
                <w:color w:val="auto"/>
              </w:rPr>
              <w:t>below)</w:t>
            </w:r>
          </w:p>
        </w:tc>
        <w:tc>
          <w:tcPr>
            <w:tcW w:w="360" w:type="dxa"/>
            <w:vAlign w:val="bottom"/>
          </w:tcPr>
          <w:p>
            <w:pPr>
              <w:spacing w:after="0"/>
              <w:rPr>
                <w:sz w:val="9"/>
                <w:szCs w:val="9"/>
                <w:color w:val="auto"/>
              </w:rPr>
            </w:pPr>
          </w:p>
        </w:tc>
        <w:tc>
          <w:tcPr>
            <w:tcW w:w="1240" w:type="dxa"/>
            <w:vAlign w:val="bottom"/>
          </w:tcPr>
          <w:p>
            <w:pPr>
              <w:ind w:left="10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01/11/2023</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8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10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22"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20" w:type="dxa"/>
            <w:vAlign w:val="bottom"/>
          </w:tcPr>
          <w:p>
            <w:pPr>
              <w:ind w:left="1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38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6.</w:t>
            </w:r>
          </w:p>
        </w:tc>
        <w:tc>
          <w:tcPr>
            <w:tcW w:w="1460" w:type="dxa"/>
            <w:vAlign w:val="bottom"/>
            <w:gridSpan w:val="4"/>
          </w:tcPr>
          <w:p>
            <w:pPr>
              <w:ind w:left="1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3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1460" w:type="dxa"/>
            <w:vAlign w:val="bottom"/>
            <w:gridSpan w:val="4"/>
          </w:tcPr>
          <w:p>
            <w:pPr>
              <w:ind w:left="16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14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2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Form: Direct</w:t>
            </w:r>
          </w:p>
        </w:tc>
        <w:tc>
          <w:tcPr>
            <w:tcW w:w="1460" w:type="dxa"/>
            <w:vAlign w:val="bottom"/>
            <w:gridSpan w:val="4"/>
          </w:tcPr>
          <w:p>
            <w:pPr>
              <w:ind w:left="160"/>
              <w:spacing w:after="0" w:line="133"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7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00" w:type="dxa"/>
            <w:vAlign w:val="bottom"/>
          </w:tcPr>
          <w:p>
            <w:pPr>
              <w:spacing w:after="0"/>
              <w:rPr>
                <w:sz w:val="6"/>
                <w:szCs w:val="6"/>
                <w:color w:val="auto"/>
              </w:rPr>
            </w:pPr>
          </w:p>
        </w:tc>
        <w:tc>
          <w:tcPr>
            <w:tcW w:w="8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(A)</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V</w:t>
            </w:r>
          </w:p>
        </w:tc>
        <w:tc>
          <w:tcPr>
            <w:tcW w:w="8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or</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ind w:left="2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Pr>
          <w:p>
            <w:pPr>
              <w:spacing w:after="0"/>
              <w:rPr>
                <w:sz w:val="21"/>
                <w:szCs w:val="21"/>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01/11/2023</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w w:val="98"/>
              </w:rPr>
              <w:t>24,228</w:t>
            </w:r>
          </w:p>
        </w:tc>
        <w:tc>
          <w:tcPr>
            <w:tcW w:w="640" w:type="dxa"/>
            <w:vAlign w:val="bottom"/>
            <w:vMerge w:val="restart"/>
          </w:tcPr>
          <w:p>
            <w:pPr>
              <w:jc w:val="right"/>
              <w:ind w:right="92"/>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6.9998</w:t>
            </w:r>
            <w:r>
              <w:rPr>
                <w:rFonts w:ascii="Times New Roman" w:cs="Times New Roman" w:eastAsia="Times New Roman" w:hAnsi="Times New Roman"/>
                <w:sz w:val="22"/>
                <w:szCs w:val="22"/>
                <w:color w:val="008000"/>
                <w:vertAlign w:val="superscript"/>
              </w:rPr>
              <w:t>(1)</w:t>
            </w:r>
          </w:p>
        </w:tc>
        <w:tc>
          <w:tcPr>
            <w:tcW w:w="80" w:type="dxa"/>
            <w:vAlign w:val="bottom"/>
          </w:tcPr>
          <w:p>
            <w:pPr>
              <w:spacing w:after="0"/>
              <w:rPr>
                <w:sz w:val="21"/>
                <w:szCs w:val="21"/>
                <w:color w:val="auto"/>
              </w:rPr>
            </w:pPr>
          </w:p>
        </w:tc>
        <w:tc>
          <w:tcPr>
            <w:tcW w:w="880" w:type="dxa"/>
            <w:vAlign w:val="bottom"/>
            <w:gridSpan w:val="2"/>
            <w:vMerge w:val="restart"/>
          </w:tcPr>
          <w:p>
            <w:pPr>
              <w:jc w:val="center"/>
              <w:ind w:left="72"/>
              <w:spacing w:after="0"/>
              <w:rPr>
                <w:sz w:val="20"/>
                <w:szCs w:val="20"/>
                <w:color w:val="auto"/>
              </w:rPr>
            </w:pPr>
            <w:r>
              <w:rPr>
                <w:rFonts w:ascii="Times New Roman" w:cs="Times New Roman" w:eastAsia="Times New Roman" w:hAnsi="Times New Roman"/>
                <w:sz w:val="17"/>
                <w:szCs w:val="17"/>
                <w:color w:val="0000FF"/>
              </w:rPr>
              <w:t>9,562,402</w:t>
            </w:r>
          </w:p>
        </w:tc>
        <w:tc>
          <w:tcPr>
            <w:tcW w:w="200" w:type="dxa"/>
            <w:vAlign w:val="bottom"/>
          </w:tcPr>
          <w:p>
            <w:pPr>
              <w:spacing w:after="0"/>
              <w:rPr>
                <w:sz w:val="21"/>
                <w:szCs w:val="21"/>
                <w:color w:val="auto"/>
              </w:rPr>
            </w:pPr>
          </w:p>
        </w:tc>
        <w:tc>
          <w:tcPr>
            <w:tcW w:w="800" w:type="dxa"/>
            <w:vAlign w:val="bottom"/>
            <w:vMerge w:val="restart"/>
          </w:tcPr>
          <w:p>
            <w:pPr>
              <w:jc w:val="center"/>
              <w:ind w:left="35"/>
              <w:spacing w:after="0"/>
              <w:rPr>
                <w:sz w:val="20"/>
                <w:szCs w:val="20"/>
                <w:color w:val="auto"/>
              </w:rPr>
            </w:pPr>
            <w:r>
              <w:rPr>
                <w:rFonts w:ascii="Times New Roman" w:cs="Times New Roman" w:eastAsia="Times New Roman" w:hAnsi="Times New Roman"/>
                <w:sz w:val="17"/>
                <w:szCs w:val="17"/>
                <w:color w:val="0000FF"/>
              </w:rPr>
              <w:t>I</w:t>
            </w:r>
          </w:p>
        </w:tc>
        <w:tc>
          <w:tcPr>
            <w:tcW w:w="14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By Limited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4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Partnerships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Pr>
          <w:p>
            <w:pPr>
              <w:spacing w:after="0"/>
              <w:rPr>
                <w:sz w:val="21"/>
                <w:szCs w:val="21"/>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01/11/2023</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w w:val="98"/>
              </w:rPr>
              <w:t>10,000</w:t>
            </w:r>
          </w:p>
        </w:tc>
        <w:tc>
          <w:tcPr>
            <w:tcW w:w="640" w:type="dxa"/>
            <w:vAlign w:val="bottom"/>
            <w:vMerge w:val="restart"/>
          </w:tcPr>
          <w:p>
            <w:pPr>
              <w:jc w:val="right"/>
              <w:ind w:right="92"/>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7.1604</w:t>
            </w:r>
            <w:r>
              <w:rPr>
                <w:rFonts w:ascii="Times New Roman" w:cs="Times New Roman" w:eastAsia="Times New Roman" w:hAnsi="Times New Roman"/>
                <w:sz w:val="22"/>
                <w:szCs w:val="22"/>
                <w:color w:val="008000"/>
                <w:vertAlign w:val="superscript"/>
              </w:rPr>
              <w:t>(1)</w:t>
            </w:r>
          </w:p>
        </w:tc>
        <w:tc>
          <w:tcPr>
            <w:tcW w:w="80" w:type="dxa"/>
            <w:vAlign w:val="bottom"/>
          </w:tcPr>
          <w:p>
            <w:pPr>
              <w:spacing w:after="0"/>
              <w:rPr>
                <w:sz w:val="21"/>
                <w:szCs w:val="21"/>
                <w:color w:val="auto"/>
              </w:rPr>
            </w:pPr>
          </w:p>
        </w:tc>
        <w:tc>
          <w:tcPr>
            <w:tcW w:w="880" w:type="dxa"/>
            <w:vAlign w:val="bottom"/>
            <w:gridSpan w:val="2"/>
            <w:vMerge w:val="restart"/>
          </w:tcPr>
          <w:p>
            <w:pPr>
              <w:jc w:val="center"/>
              <w:ind w:left="72"/>
              <w:spacing w:after="0"/>
              <w:rPr>
                <w:sz w:val="20"/>
                <w:szCs w:val="20"/>
                <w:color w:val="auto"/>
              </w:rPr>
            </w:pPr>
            <w:r>
              <w:rPr>
                <w:rFonts w:ascii="Times New Roman" w:cs="Times New Roman" w:eastAsia="Times New Roman" w:hAnsi="Times New Roman"/>
                <w:sz w:val="17"/>
                <w:szCs w:val="17"/>
                <w:color w:val="0000FF"/>
              </w:rPr>
              <w:t>9,552,402</w:t>
            </w:r>
          </w:p>
        </w:tc>
        <w:tc>
          <w:tcPr>
            <w:tcW w:w="200" w:type="dxa"/>
            <w:vAlign w:val="bottom"/>
          </w:tcPr>
          <w:p>
            <w:pPr>
              <w:spacing w:after="0"/>
              <w:rPr>
                <w:sz w:val="21"/>
                <w:szCs w:val="21"/>
                <w:color w:val="auto"/>
              </w:rPr>
            </w:pPr>
          </w:p>
        </w:tc>
        <w:tc>
          <w:tcPr>
            <w:tcW w:w="800" w:type="dxa"/>
            <w:vAlign w:val="bottom"/>
            <w:vMerge w:val="restart"/>
          </w:tcPr>
          <w:p>
            <w:pPr>
              <w:jc w:val="center"/>
              <w:ind w:left="35"/>
              <w:spacing w:after="0"/>
              <w:rPr>
                <w:sz w:val="20"/>
                <w:szCs w:val="20"/>
                <w:color w:val="auto"/>
              </w:rPr>
            </w:pPr>
            <w:r>
              <w:rPr>
                <w:rFonts w:ascii="Times New Roman" w:cs="Times New Roman" w:eastAsia="Times New Roman" w:hAnsi="Times New Roman"/>
                <w:sz w:val="17"/>
                <w:szCs w:val="17"/>
                <w:color w:val="0000FF"/>
              </w:rPr>
              <w:t>I</w:t>
            </w:r>
          </w:p>
        </w:tc>
        <w:tc>
          <w:tcPr>
            <w:tcW w:w="14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By Limited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4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Partnerships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Pr>
          <w:p>
            <w:pPr>
              <w:spacing w:after="0"/>
              <w:rPr>
                <w:sz w:val="21"/>
                <w:szCs w:val="21"/>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01/12/2023</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1480" w:type="dxa"/>
            <w:vAlign w:val="bottom"/>
            <w:gridSpan w:val="2"/>
            <w:vMerge w:val="restart"/>
          </w:tcPr>
          <w:p>
            <w:pPr>
              <w:jc w:val="right"/>
              <w:ind w:right="92"/>
              <w:spacing w:after="0"/>
              <w:rPr>
                <w:sz w:val="20"/>
                <w:szCs w:val="20"/>
                <w:color w:val="auto"/>
              </w:rPr>
            </w:pPr>
            <w:r>
              <w:rPr>
                <w:rFonts w:ascii="Times New Roman" w:cs="Times New Roman" w:eastAsia="Times New Roman" w:hAnsi="Times New Roman"/>
                <w:sz w:val="17"/>
                <w:szCs w:val="17"/>
                <w:color w:val="0000FF"/>
              </w:rPr>
              <w:t>87,572</w:t>
            </w:r>
            <w:r>
              <w:rPr>
                <w:rFonts w:ascii="Times New Roman" w:cs="Times New Roman" w:eastAsia="Times New Roman" w:hAnsi="Times New Roman"/>
                <w:sz w:val="22"/>
                <w:szCs w:val="22"/>
                <w:color w:val="008000"/>
                <w:vertAlign w:val="superscript"/>
              </w:rPr>
              <w:t>(2)(3)</w:t>
            </w:r>
            <w:r>
              <w:rPr>
                <w:rFonts w:ascii="Times New Roman" w:cs="Times New Roman" w:eastAsia="Times New Roman" w:hAnsi="Times New Roman"/>
                <w:sz w:val="17"/>
                <w:szCs w:val="17"/>
                <w:color w:val="0000FF"/>
              </w:rPr>
              <w:t xml:space="preserve">    D</w:t>
            </w:r>
          </w:p>
        </w:tc>
        <w:tc>
          <w:tcPr>
            <w:tcW w:w="820" w:type="dxa"/>
            <w:vAlign w:val="bottom"/>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7.0044</w:t>
            </w:r>
            <w:r>
              <w:rPr>
                <w:rFonts w:ascii="Times New Roman" w:cs="Times New Roman" w:eastAsia="Times New Roman" w:hAnsi="Times New Roman"/>
                <w:sz w:val="22"/>
                <w:szCs w:val="22"/>
                <w:color w:val="008000"/>
                <w:vertAlign w:val="superscript"/>
              </w:rPr>
              <w:t>(1)</w:t>
            </w:r>
          </w:p>
        </w:tc>
        <w:tc>
          <w:tcPr>
            <w:tcW w:w="80" w:type="dxa"/>
            <w:vAlign w:val="bottom"/>
          </w:tcPr>
          <w:p>
            <w:pPr>
              <w:spacing w:after="0"/>
              <w:rPr>
                <w:sz w:val="21"/>
                <w:szCs w:val="21"/>
                <w:color w:val="auto"/>
              </w:rPr>
            </w:pPr>
          </w:p>
        </w:tc>
        <w:tc>
          <w:tcPr>
            <w:tcW w:w="10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9,464,830</w:t>
            </w:r>
            <w:r>
              <w:rPr>
                <w:rFonts w:ascii="Times New Roman" w:cs="Times New Roman" w:eastAsia="Times New Roman" w:hAnsi="Times New Roman"/>
                <w:sz w:val="22"/>
                <w:szCs w:val="22"/>
                <w:color w:val="008000"/>
                <w:w w:val="91"/>
                <w:vertAlign w:val="superscript"/>
              </w:rPr>
              <w:t>(2)(3)</w:t>
            </w:r>
          </w:p>
        </w:tc>
        <w:tc>
          <w:tcPr>
            <w:tcW w:w="800" w:type="dxa"/>
            <w:vAlign w:val="bottom"/>
            <w:vMerge w:val="restart"/>
          </w:tcPr>
          <w:p>
            <w:pPr>
              <w:jc w:val="center"/>
              <w:ind w:left="15"/>
              <w:spacing w:after="0"/>
              <w:rPr>
                <w:sz w:val="20"/>
                <w:szCs w:val="20"/>
                <w:color w:val="auto"/>
              </w:rPr>
            </w:pPr>
            <w:r>
              <w:rPr>
                <w:rFonts w:ascii="Times New Roman" w:cs="Times New Roman" w:eastAsia="Times New Roman" w:hAnsi="Times New Roman"/>
                <w:sz w:val="34"/>
                <w:szCs w:val="34"/>
                <w:color w:val="0000FF"/>
                <w:w w:val="96"/>
                <w:vertAlign w:val="subscript"/>
              </w:rPr>
              <w:t>I</w:t>
            </w:r>
            <w:r>
              <w:rPr>
                <w:rFonts w:ascii="Times New Roman" w:cs="Times New Roman" w:eastAsia="Times New Roman" w:hAnsi="Times New Roman"/>
                <w:sz w:val="11"/>
                <w:szCs w:val="11"/>
                <w:color w:val="008000"/>
                <w:w w:val="96"/>
              </w:rPr>
              <w:t>(2)(3)</w:t>
            </w:r>
          </w:p>
        </w:tc>
        <w:tc>
          <w:tcPr>
            <w:tcW w:w="14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By Limited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4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Partnerships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2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46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0" w:type="dxa"/>
            <w:vAlign w:val="bottom"/>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22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1020" w:type="dxa"/>
            <w:vAlign w:val="bottom"/>
            <w:gridSpan w:val="2"/>
          </w:tcPr>
          <w:p>
            <w:pPr>
              <w:ind w:left="200"/>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140" w:type="dxa"/>
            <w:vAlign w:val="bottom"/>
          </w:tcPr>
          <w:p>
            <w:pPr>
              <w:spacing w:after="0"/>
              <w:rPr>
                <w:sz w:val="11"/>
                <w:szCs w:val="11"/>
                <w:color w:val="auto"/>
              </w:rPr>
            </w:pP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22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  8)</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3"/>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780" w:type="dxa"/>
            <w:vAlign w:val="bottom"/>
            <w:gridSpan w:val="4"/>
          </w:tcPr>
          <w:p>
            <w:pPr>
              <w:ind w:left="5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80" w:type="dxa"/>
            <w:vAlign w:val="bottom"/>
            <w:gridSpan w:val="4"/>
          </w:tcPr>
          <w:p>
            <w:pPr>
              <w:ind w:left="5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90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is a weighted average price.</w:t>
      </w:r>
    </w:p>
    <w:p>
      <w:pPr>
        <w:spacing w:after="0" w:line="5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AWM Investment Company, Inc., a Delaware corporation (AWM), is the investment adviser to Special Situations Fund III QP, L.P. (SSFQP), Special Situations Cayman Fund, L.P. (Cay) and Special Situations Private Equity Fund, L.P. (SSPE). (SSPE and together with SSFQP and Cay, the Funds). As the investment adviser to the Funds, AWM holds sole voting and investment power over 5,769,880 shares of Common Stock of the Issuer (the Shares) held by SSFQP, 1,812,346 Shares held by Cay and 1,882,604 Shares held by SSPE.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David M. Greenhouse (Greenhouse) and Adam C. Stettner (Stettner) are the controlling principals of AWM. The reporting person disclaims beneficial ownership of the Shares, except to the extent of its pecuniary interest therein. This report shall not be deemed an admission that the reporting person is the beneficial owner of the securities reported herein for purposes of Section 16 of the Securities Exchange Act of 1934, as amended, or for any other purpose.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Adam Stettner</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01/13/2023</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35264"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2023-01-13T15:44:42Z</dcterms:created>
  <dcterms:modified xsi:type="dcterms:W3CDTF">2023-01-13T15:44:42Z</dcterms:modified>
</cp:coreProperties>
</file>