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148711302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Minnesota</w:t>
            </w: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1,020,820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2,509,571</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7"/>
              </w:rPr>
              <w:t>2,509,571</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80" w:hanging="775"/>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Casual Male Retail Group, Inc.</w:t>
      </w:r>
    </w:p>
    <w:p>
      <w:pPr>
        <w:spacing w:after="0" w:line="116" w:lineRule="exact"/>
        <w:rPr>
          <w:rFonts w:ascii="Arial" w:cs="Arial" w:eastAsia="Arial" w:hAnsi="Arial"/>
          <w:sz w:val="18"/>
          <w:szCs w:val="18"/>
          <w:color w:val="auto"/>
        </w:rPr>
      </w:pPr>
    </w:p>
    <w:p>
      <w:pPr>
        <w:ind w:left="1580" w:right="6340" w:hanging="775"/>
        <w:spacing w:after="0" w:line="258"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Canton, MA 02021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80" w:hanging="775"/>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16" w:lineRule="exact"/>
        <w:rPr>
          <w:rFonts w:ascii="Arial" w:cs="Arial" w:eastAsia="Arial" w:hAnsi="Arial"/>
          <w:sz w:val="18"/>
          <w:szCs w:val="18"/>
          <w:color w:val="auto"/>
        </w:rPr>
      </w:pPr>
    </w:p>
    <w:p>
      <w:pPr>
        <w:ind w:left="1580" w:right="5480" w:hanging="775"/>
        <w:spacing w:after="0" w:line="258"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100 South Fifth Street</w:t>
      </w:r>
    </w:p>
    <w:p>
      <w:pPr>
        <w:spacing w:after="0" w:line="1"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Suite 2300</w:t>
      </w:r>
    </w:p>
    <w:p>
      <w:pPr>
        <w:spacing w:after="0" w:line="9"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1580" w:hanging="775"/>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rFonts w:ascii="Arial" w:cs="Arial" w:eastAsia="Arial" w:hAnsi="Arial"/>
          <w:sz w:val="18"/>
          <w:szCs w:val="18"/>
          <w:color w:val="auto"/>
        </w:rPr>
      </w:pPr>
    </w:p>
    <w:p>
      <w:pPr>
        <w:ind w:left="1580" w:right="7840" w:hanging="775"/>
        <w:spacing w:after="0" w:line="342" w:lineRule="auto"/>
        <w:tabs>
          <w:tab w:leader="none" w:pos="1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80" w:right="8600" w:hanging="775"/>
        <w:spacing w:after="0" w:line="342" w:lineRule="auto"/>
        <w:tabs>
          <w:tab w:leader="none" w:pos="1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148711302</w:t>
      </w:r>
    </w:p>
    <w:p>
      <w:pPr>
        <w:spacing w:after="0" w:line="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97" w:lineRule="exact"/>
        <w:rPr>
          <w:rFonts w:ascii="Arial" w:cs="Arial" w:eastAsia="Arial" w:hAnsi="Arial"/>
          <w:sz w:val="18"/>
          <w:szCs w:val="18"/>
          <w:color w:val="auto"/>
        </w:rPr>
      </w:pPr>
    </w:p>
    <w:p>
      <w:pPr>
        <w:ind w:left="1260" w:hanging="455"/>
        <w:spacing w:after="0" w:line="207" w:lineRule="exact"/>
        <w:tabs>
          <w:tab w:leader="none" w:pos="12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63"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1580" w:hanging="775"/>
        <w:spacing w:after="0" w:line="277" w:lineRule="auto"/>
        <w:tabs>
          <w:tab w:leader="none" w:pos="12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29" w:lineRule="exact"/>
        <w:rPr>
          <w:sz w:val="20"/>
          <w:szCs w:val="20"/>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120" w:right="734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the Cover Page.</w:t>
      </w:r>
    </w:p>
    <w:p>
      <w:pPr>
        <w:spacing w:after="0" w:line="75" w:lineRule="exact"/>
        <w:rPr>
          <w:rFonts w:ascii="Arial" w:cs="Arial" w:eastAsia="Arial" w:hAnsi="Arial"/>
          <w:sz w:val="18"/>
          <w:szCs w:val="18"/>
          <w:color w:val="auto"/>
        </w:rPr>
      </w:pPr>
    </w:p>
    <w:p>
      <w:pPr>
        <w:ind w:left="1120" w:right="716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120" w:right="644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120" w:right="626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35"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2010</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T. Lee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T. Lee / Chief Executive Officer, President &amp;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Investment Officer</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280"/>
      </w:cols>
      <w:pgMar w:left="240" w:top="12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2019-12-10T07:46:18Z</dcterms:created>
  <dcterms:modified xsi:type="dcterms:W3CDTF">2019-12-10T07:46:18Z</dcterms:modified>
</cp:coreProperties>
</file>