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184785</wp:posOffset>
            </wp:positionV>
            <wp:extent cx="12007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212725</wp:posOffset>
            </wp:positionV>
            <wp:extent cx="1200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spacing w:after="0"/>
        <w:tabs>
          <w:tab w:leader="none" w:pos="8260" w:val="left"/>
        </w:tabs>
        <w:rPr>
          <w:sz w:val="20"/>
          <w:szCs w:val="20"/>
          <w:color w:val="auto"/>
        </w:rPr>
      </w:pPr>
      <w:r>
        <w:rPr>
          <w:rFonts w:ascii="Arial" w:cs="Arial" w:eastAsia="Arial" w:hAnsi="Arial"/>
          <w:sz w:val="22"/>
          <w:szCs w:val="22"/>
          <w:b w:val="1"/>
          <w:bCs w:val="1"/>
          <w:color w:val="auto"/>
        </w:rPr>
        <w:t>For the Quarterly Period Ended May 3, 2003</w:t>
      </w:r>
      <w:r>
        <w:rPr>
          <w:sz w:val="20"/>
          <w:szCs w:val="20"/>
          <w:color w:val="auto"/>
        </w:rPr>
        <w:tab/>
      </w:r>
      <w:r>
        <w:rPr>
          <w:rFonts w:ascii="Arial" w:cs="Arial" w:eastAsia="Arial" w:hAnsi="Arial"/>
          <w:sz w:val="19"/>
          <w:szCs w:val="19"/>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200025</wp:posOffset>
            </wp:positionV>
            <wp:extent cx="1200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180340</wp:posOffset>
            </wp:positionV>
            <wp:extent cx="1200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2580" w:type="dxa"/>
            <w:vAlign w:val="bottom"/>
          </w:tcPr>
          <w:p>
            <w:pPr>
              <w:jc w:val="center"/>
              <w:ind w:right="4"/>
              <w:spacing w:after="0"/>
              <w:rPr>
                <w:sz w:val="20"/>
                <w:szCs w:val="20"/>
                <w:color w:val="auto"/>
              </w:rPr>
            </w:pPr>
            <w:r>
              <w:rPr>
                <w:rFonts w:ascii="Arial" w:cs="Arial" w:eastAsia="Arial" w:hAnsi="Arial"/>
                <w:sz w:val="18"/>
                <w:szCs w:val="18"/>
                <w:b w:val="1"/>
                <w:bCs w:val="1"/>
                <w:color w:val="auto"/>
                <w:w w:val="88"/>
              </w:rPr>
              <w:t>Delaware</w:t>
            </w:r>
          </w:p>
        </w:tc>
        <w:tc>
          <w:tcPr>
            <w:tcW w:w="508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600" w:type="dxa"/>
            <w:vAlign w:val="bottom"/>
          </w:tcPr>
          <w:p>
            <w:pPr>
              <w:jc w:val="center"/>
              <w:ind w:left="14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8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incorporation or organization)</w:t>
            </w:r>
          </w:p>
        </w:tc>
        <w:tc>
          <w:tcPr>
            <w:tcW w:w="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0" w:type="dxa"/>
            <w:vAlign w:val="bottom"/>
          </w:tcPr>
          <w:p>
            <w:pPr>
              <w:jc w:val="center"/>
              <w:ind w:left="1472"/>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2580" w:type="dxa"/>
            <w:vAlign w:val="bottom"/>
          </w:tcPr>
          <w:p>
            <w:pPr>
              <w:jc w:val="center"/>
              <w:ind w:right="4"/>
              <w:spacing w:after="0"/>
              <w:rPr>
                <w:sz w:val="20"/>
                <w:szCs w:val="20"/>
                <w:color w:val="auto"/>
              </w:rPr>
            </w:pPr>
            <w:r>
              <w:rPr>
                <w:rFonts w:ascii="Arial" w:cs="Arial" w:eastAsia="Arial" w:hAnsi="Arial"/>
                <w:sz w:val="18"/>
                <w:szCs w:val="18"/>
                <w:b w:val="1"/>
                <w:bCs w:val="1"/>
                <w:color w:val="auto"/>
                <w:w w:val="90"/>
              </w:rPr>
              <w:t>555 Turnpike Street, Canton, MA</w:t>
            </w:r>
          </w:p>
        </w:tc>
        <w:tc>
          <w:tcPr>
            <w:tcW w:w="508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rPr>
              <w:t>02021</w:t>
            </w:r>
          </w:p>
        </w:tc>
      </w:tr>
      <w:tr>
        <w:trPr>
          <w:trHeight w:val="174"/>
        </w:trPr>
        <w:tc>
          <w:tcPr>
            <w:tcW w:w="2580" w:type="dxa"/>
            <w:vAlign w:val="bottom"/>
          </w:tcPr>
          <w:p>
            <w:pPr>
              <w:jc w:val="center"/>
              <w:ind w:right="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0" w:type="dxa"/>
            <w:vAlign w:val="bottom"/>
          </w:tcPr>
          <w:p>
            <w:pPr>
              <w:jc w:val="center"/>
              <w:ind w:left="1472"/>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2580" w:type="dxa"/>
            <w:vAlign w:val="bottom"/>
          </w:tcPr>
          <w:p>
            <w:pPr>
              <w:spacing w:after="0"/>
              <w:rPr>
                <w:sz w:val="24"/>
                <w:szCs w:val="24"/>
                <w:color w:val="auto"/>
              </w:rPr>
            </w:pPr>
          </w:p>
        </w:tc>
        <w:tc>
          <w:tcPr>
            <w:tcW w:w="2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(781) 828-9300</w:t>
            </w:r>
          </w:p>
        </w:tc>
        <w:tc>
          <w:tcPr>
            <w:tcW w:w="2600" w:type="dxa"/>
            <w:vAlign w:val="bottom"/>
          </w:tcPr>
          <w:p>
            <w:pPr>
              <w:spacing w:after="0"/>
              <w:rPr>
                <w:sz w:val="24"/>
                <w:szCs w:val="24"/>
                <w:color w:val="auto"/>
              </w:rPr>
            </w:pPr>
          </w:p>
        </w:tc>
      </w:tr>
      <w:tr>
        <w:trPr>
          <w:trHeight w:val="174"/>
        </w:trPr>
        <w:tc>
          <w:tcPr>
            <w:tcW w:w="2580" w:type="dxa"/>
            <w:vAlign w:val="bottom"/>
          </w:tcPr>
          <w:p>
            <w:pPr>
              <w:spacing w:after="0"/>
              <w:rPr>
                <w:sz w:val="15"/>
                <w:szCs w:val="15"/>
                <w:color w:val="auto"/>
              </w:rPr>
            </w:pPr>
          </w:p>
        </w:tc>
        <w:tc>
          <w:tcPr>
            <w:tcW w:w="5080" w:type="dxa"/>
            <w:vAlign w:val="bottom"/>
            <w:gridSpan w:val="3"/>
          </w:tcPr>
          <w:p>
            <w:pPr>
              <w:jc w:val="center"/>
              <w:ind w:right="179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r>
        <w:trPr>
          <w:trHeight w:val="284"/>
        </w:trPr>
        <w:tc>
          <w:tcPr>
            <w:tcW w:w="2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600" w:type="dxa"/>
            <w:vAlign w:val="bottom"/>
          </w:tcPr>
          <w:p>
            <w:pPr>
              <w:spacing w:after="0"/>
              <w:rPr>
                <w:sz w:val="24"/>
                <w:szCs w:val="24"/>
                <w:color w:val="auto"/>
              </w:rPr>
            </w:pPr>
          </w:p>
        </w:tc>
      </w:tr>
    </w:tbl>
    <w:p>
      <w:pPr>
        <w:spacing w:after="0" w:line="302"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right="2420"/>
        <w:spacing w:after="0" w:line="310" w:lineRule="exact"/>
        <w:rPr>
          <w:sz w:val="20"/>
          <w:szCs w:val="20"/>
          <w:color w:val="auto"/>
        </w:rPr>
      </w:pPr>
      <w:r>
        <w:rPr>
          <w:rFonts w:ascii="Arial" w:cs="Arial" w:eastAsia="Arial" w:hAnsi="Arial"/>
          <w:sz w:val="18"/>
          <w:szCs w:val="18"/>
          <w:color w:val="auto"/>
        </w:rPr>
        <w:t xml:space="preserve">Indicate by “X”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June 13, 2003 was 35,794,837.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 Financial Statements.</w:t>
      </w:r>
    </w:p>
    <w:p>
      <w:pPr>
        <w:spacing w:after="0" w:line="15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7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3, 2003 and February 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May 3, 2003</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4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3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Accounts receivable</w:t>
            </w: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7,351</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104,013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Prepaid expenses</w:t>
            </w:r>
          </w:p>
        </w:tc>
        <w:tc>
          <w:tcPr>
            <w:tcW w:w="13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8,263</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124,081</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6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30" w:type="dxa"/>
            <w:vAlign w:val="bottom"/>
          </w:tcPr>
          <w:p>
            <w:pPr>
              <w:spacing w:after="0"/>
              <w:rPr>
                <w:sz w:val="24"/>
                <w:szCs w:val="24"/>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64,233</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130" w:type="dxa"/>
            <w:vAlign w:val="bottom"/>
          </w:tcPr>
          <w:p>
            <w:pPr>
              <w:spacing w:after="0"/>
              <w:rPr>
                <w:sz w:val="9"/>
                <w:szCs w:val="9"/>
                <w:color w:val="auto"/>
              </w:rPr>
            </w:pPr>
          </w:p>
        </w:tc>
        <w:tc>
          <w:tcPr>
            <w:tcW w:w="59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Goodwill</w:t>
            </w: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50,699</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Other assets</w:t>
            </w:r>
          </w:p>
        </w:tc>
        <w:tc>
          <w:tcPr>
            <w:tcW w:w="13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3,766</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273,483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130" w:type="dxa"/>
            <w:vAlign w:val="bottom"/>
          </w:tcPr>
          <w:p>
            <w:pPr>
              <w:spacing w:after="0"/>
              <w:rPr>
                <w:sz w:val="9"/>
                <w:szCs w:val="9"/>
                <w:color w:val="auto"/>
              </w:rPr>
            </w:pPr>
          </w:p>
        </w:tc>
        <w:tc>
          <w:tcPr>
            <w:tcW w:w="59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3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Accounts payable</w:t>
            </w: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32,257</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21,326</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Accrued liabilities for severance and store closings</w:t>
            </w:r>
          </w:p>
        </w:tc>
        <w:tc>
          <w:tcPr>
            <w:tcW w:w="13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5,843</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Notes payable</w:t>
            </w: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68,213</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3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937</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liabilities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119,742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182,816</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60" w:type="dxa"/>
            <w:vAlign w:val="bottom"/>
            <w:gridSpan w:val="2"/>
          </w:tcPr>
          <w:p>
            <w:pPr>
              <w:spacing w:after="0"/>
              <w:rPr>
                <w:sz w:val="20"/>
                <w:szCs w:val="20"/>
                <w:color w:val="auto"/>
              </w:rPr>
            </w:pPr>
            <w:r>
              <w:rPr>
                <w:rFonts w:ascii="Arial" w:cs="Arial" w:eastAsia="Arial" w:hAnsi="Arial"/>
                <w:sz w:val="18"/>
                <w:szCs w:val="18"/>
                <w:i w:val="1"/>
                <w:iCs w:val="1"/>
                <w:color w:val="auto"/>
              </w:rPr>
              <w:t>Stockholders’ equity:</w:t>
            </w:r>
          </w:p>
        </w:tc>
        <w:tc>
          <w:tcPr>
            <w:tcW w:w="13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w w:val="94"/>
              </w:rPr>
              <w:t>Preferred stock, $0.01 par value, 1,000,000 shares authorized, 180,162 shares of Series B Convertible Preferred Stock</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converted into common stock as of August 8, 2002, none outstanding at May 3, 2003 and February 1, 2003</w:t>
            </w:r>
          </w:p>
        </w:tc>
        <w:tc>
          <w:tcPr>
            <w:tcW w:w="130" w:type="dxa"/>
            <w:vAlign w:val="bottom"/>
            <w:shd w:val="clear" w:color="auto" w:fill="CCEEFF"/>
          </w:tcPr>
          <w:p>
            <w:pPr>
              <w:spacing w:after="0"/>
              <w:rPr>
                <w:sz w:val="19"/>
                <w:szCs w:val="19"/>
                <w:color w:val="auto"/>
              </w:rPr>
            </w:pPr>
          </w:p>
        </w:tc>
        <w:tc>
          <w:tcPr>
            <w:tcW w:w="123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w w:val="96"/>
              </w:rPr>
              <w:t>Common stock, $0.01 par value, 75,000,000 shares authorized, 38,950,455 and 38,867,000 shares issued at May 3,</w:t>
            </w:r>
          </w:p>
        </w:tc>
        <w:tc>
          <w:tcPr>
            <w:tcW w:w="13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2003 and February 1, 2003, respectively</w:t>
            </w:r>
          </w:p>
        </w:tc>
        <w:tc>
          <w:tcPr>
            <w:tcW w:w="13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390</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147,205</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Accumulated deficit</w:t>
            </w:r>
          </w:p>
        </w:tc>
        <w:tc>
          <w:tcPr>
            <w:tcW w:w="130" w:type="dxa"/>
            <w:vAlign w:val="bottom"/>
          </w:tcPr>
          <w:p>
            <w:pPr>
              <w:spacing w:after="0"/>
              <w:rPr>
                <w:sz w:val="18"/>
                <w:szCs w:val="18"/>
                <w:color w:val="auto"/>
              </w:rPr>
            </w:pPr>
          </w:p>
        </w:tc>
        <w:tc>
          <w:tcPr>
            <w:tcW w:w="123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(46,861)</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3,171,930 and 3,119,236 shares at May 3, 2003 and February 1, 2003, respectively</w:t>
            </w:r>
          </w:p>
        </w:tc>
        <w:tc>
          <w:tcPr>
            <w:tcW w:w="130" w:type="dxa"/>
            <w:vAlign w:val="bottom"/>
            <w:shd w:val="clear" w:color="auto" w:fill="CCEEFF"/>
          </w:tcPr>
          <w:p>
            <w:pPr>
              <w:spacing w:after="0"/>
              <w:rPr>
                <w:sz w:val="18"/>
                <w:szCs w:val="18"/>
                <w:color w:val="auto"/>
              </w:rPr>
            </w:pPr>
          </w:p>
        </w:tc>
        <w:tc>
          <w:tcPr>
            <w:tcW w:w="123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(9,146)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Loan to executive</w:t>
            </w:r>
          </w:p>
        </w:tc>
        <w:tc>
          <w:tcPr>
            <w:tcW w:w="130" w:type="dxa"/>
            <w:vAlign w:val="bottom"/>
          </w:tcPr>
          <w:p>
            <w:pPr>
              <w:spacing w:after="0"/>
              <w:rPr>
                <w:sz w:val="18"/>
                <w:szCs w:val="18"/>
                <w:color w:val="auto"/>
              </w:rPr>
            </w:pPr>
          </w:p>
        </w:tc>
        <w:tc>
          <w:tcPr>
            <w:tcW w:w="123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30" w:type="dxa"/>
            <w:vAlign w:val="bottom"/>
            <w:shd w:val="clear" w:color="auto" w:fill="CCEEFF"/>
          </w:tcPr>
          <w:p>
            <w:pPr>
              <w:spacing w:after="0"/>
              <w:rPr>
                <w:sz w:val="18"/>
                <w:szCs w:val="18"/>
                <w:color w:val="auto"/>
              </w:rPr>
            </w:pPr>
          </w:p>
        </w:tc>
        <w:tc>
          <w:tcPr>
            <w:tcW w:w="123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88,588</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273,483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-4848860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-4848860</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-4848860</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-4848860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-4848860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-4848860</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type w:val="continuous"/>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199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4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May 3, 2003</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53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99,700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7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w w:val="90"/>
              </w:rPr>
              <w:t>64,305</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53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35,396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Expenses:</w:t>
            </w:r>
          </w:p>
        </w:tc>
        <w:tc>
          <w:tcPr>
            <w:tcW w:w="17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7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33,175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2,062</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53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7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35,237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53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7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Interest expense, net</w:t>
            </w:r>
          </w:p>
        </w:tc>
        <w:tc>
          <w:tcPr>
            <w:tcW w:w="17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2,885</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53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minority interest and income taxes</w:t>
            </w:r>
          </w:p>
        </w:tc>
        <w:tc>
          <w:tcPr>
            <w:tcW w:w="17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(2,726)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Less:</w:t>
            </w:r>
          </w:p>
        </w:tc>
        <w:tc>
          <w:tcPr>
            <w:tcW w:w="17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7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70" w:type="dxa"/>
            <w:vAlign w:val="bottom"/>
          </w:tcPr>
          <w:p>
            <w:pPr>
              <w:spacing w:after="0"/>
              <w:rPr>
                <w:sz w:val="19"/>
                <w:szCs w:val="19"/>
                <w:color w:val="auto"/>
              </w:rPr>
            </w:pPr>
          </w:p>
        </w:tc>
        <w:tc>
          <w:tcPr>
            <w:tcW w:w="117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53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7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(2,654)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70" w:type="dxa"/>
            <w:vAlign w:val="bottom"/>
          </w:tcPr>
          <w:p>
            <w:pPr>
              <w:spacing w:after="0"/>
              <w:rPr>
                <w:sz w:val="19"/>
                <w:szCs w:val="19"/>
                <w:color w:val="auto"/>
              </w:rPr>
            </w:pPr>
          </w:p>
        </w:tc>
        <w:tc>
          <w:tcPr>
            <w:tcW w:w="117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53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7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(2,755)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70" w:type="dxa"/>
            <w:vAlign w:val="bottom"/>
          </w:tcPr>
          <w:p>
            <w:pPr>
              <w:spacing w:after="0"/>
              <w:rPr>
                <w:sz w:val="9"/>
                <w:szCs w:val="9"/>
                <w:color w:val="auto"/>
              </w:rPr>
            </w:pPr>
          </w:p>
        </w:tc>
        <w:tc>
          <w:tcPr>
            <w:tcW w:w="53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17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Loss from continuing operations</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1170" w:type="dxa"/>
            <w:vAlign w:val="bottom"/>
            <w:gridSpan w:val="2"/>
          </w:tcPr>
          <w:p>
            <w:pPr>
              <w:jc w:val="right"/>
              <w:ind w:right="580"/>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17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70" w:type="dxa"/>
            <w:vAlign w:val="bottom"/>
          </w:tcPr>
          <w:p>
            <w:pPr>
              <w:spacing w:after="0"/>
              <w:rPr>
                <w:sz w:val="8"/>
                <w:szCs w:val="8"/>
                <w:color w:val="auto"/>
              </w:rPr>
            </w:pPr>
          </w:p>
        </w:tc>
        <w:tc>
          <w:tcPr>
            <w:tcW w:w="53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7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70" w:type="dxa"/>
            <w:vAlign w:val="bottom"/>
          </w:tcPr>
          <w:p>
            <w:pPr>
              <w:spacing w:after="0"/>
              <w:rPr>
                <w:sz w:val="9"/>
                <w:szCs w:val="9"/>
                <w:color w:val="auto"/>
              </w:rPr>
            </w:pPr>
          </w:p>
        </w:tc>
        <w:tc>
          <w:tcPr>
            <w:tcW w:w="53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7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7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w w:val="90"/>
              </w:rPr>
              <w:t>35,754</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-1231900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-1231900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-1231900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-1231900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-1231900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-1231900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-374015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-374015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-374015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-374015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-374015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-374015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and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5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2"/>
              </w:rPr>
              <w:t>May 3, 2003</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(2,755)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Accretion of warrants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to related party</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Issuance of common stock to Board of Directors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Gain on sale or disposal of fixed assets</w:t>
            </w:r>
          </w:p>
        </w:tc>
        <w:tc>
          <w:tcPr>
            <w:tcW w:w="18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(5,563)</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Reserve for severance and store closings</w:t>
            </w: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(1,645)</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(3,046)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operating activities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(11,727)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Additions to property and equipment</w:t>
            </w:r>
          </w:p>
        </w:tc>
        <w:tc>
          <w:tcPr>
            <w:tcW w:w="18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Net borrowings under credit facility</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12,634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long-term debt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Proceeds from minority equityholder of joint venture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989</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Issuance of common stock under option program</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000" w:type="dxa"/>
            <w:vAlign w:val="bottom"/>
          </w:tcPr>
          <w:p>
            <w:pPr>
              <w:ind w:left="2700"/>
              <w:spacing w:after="0"/>
              <w:rPr>
                <w:sz w:val="20"/>
                <w:szCs w:val="20"/>
                <w:color w:val="auto"/>
              </w:rPr>
            </w:pPr>
            <w:r>
              <w:rPr>
                <w:rFonts w:ascii="Arial" w:cs="Arial" w:eastAsia="Arial" w:hAnsi="Arial"/>
                <w:sz w:val="18"/>
                <w:szCs w:val="18"/>
                <w:color w:val="auto"/>
                <w:w w:val="92"/>
              </w:rPr>
              <w:t>The accompanying notes are an integral part of the consolidated financial statements.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-325755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Basis of Presentation</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formerly known as Designs, Inc.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1, 2003 (included in the Company’s Annual Report on Form 10-K which was filed with the Securities and Exchange Commission on May 5, 2003).</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interim financial statements contain the results of operations of the Company’s Casual Male business, which consists of substantially all of the assets of Casual Male Corp. and certain of its subsidiaries (“Casual Male”), which assets were acquired by the Company on May 14, 2002. For a complete description of the Casual Male acquisition, see Note 2 below.</w:t>
      </w:r>
    </w:p>
    <w:p>
      <w:pPr>
        <w:spacing w:after="0" w:line="12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Certain amounts for the three months ended May 4, 2002 have been reclassified to conform to the presentation for the three months ended May 3, 2003. These adjustments relate to the reclassification for discontinued operations in accordance with the provisions of Statement of Financial Accounting Standard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144”). For further discussion regarding discontinued operations see Note 6 below.</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Casual Male Acquisition</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May 14, 2002, pursuant to an asset purchase agreement entered into as of May 2, 2002, the Company completed the acquisition of Casual Male for a purchase price of approximately $170 million, plus the assumption of certain operating liabilities. The Company was selected as the highest and best bidder for the acquired Casual Male assets at a bankruptcy court ordered auction commencing on May 1, 2002 and concluding on May 2, 2002. The U.S. Bankruptcy Court for the Southern District of New York subsequently granted its approval of the acquisition on May 7, 2002.</w:t>
      </w:r>
    </w:p>
    <w:p>
      <w:pPr>
        <w:spacing w:after="0" w:line="99"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Casual Male, which was a leading independent specialty retailer of fashion, casual and dress apparel for big and tall men, had annual sales that exceeded $350 million. Casual Male sold its branded merchandise through various channels of distribution including full price and outlet retail stores, direct mail and the internet. Casual Male had been operating under the protection of the U.S. Bankruptcy Court since May 2001.</w:t>
      </w:r>
    </w:p>
    <w:p>
      <w:pPr>
        <w:spacing w:after="0" w:line="9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Under the terms of the asset purchase agreement, the Company acquired substantially all of Casual Male’s assets, including, but not limited to, the inventory and fixed assets of approximately 475 retail store locations and various intellectual property. In addition, the Company assumed certain operating liabilities, including, but not limited to, existing retail store lease arrangements and the existing mortgage for Casual Male’s corporate headquarters located in Canton, Massachusetts.</w:t>
      </w:r>
    </w:p>
    <w:p>
      <w:pPr>
        <w:spacing w:after="0" w:line="7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view of the significance of the Casual Male acquisition to the growth and future identity of the Company, at the Annual Meeting of Stockholders held on August 8, 2002, the Company’s stockholders approved the Board of Directors’ recommendation to change the Company’s name from “Designs, Inc.” to “Casual Male Retail Group, Inc.” The Company believes that the Casual Male business will be a primary future contributor to the Company’s overall</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and that the name change was an important step to align the customer and investor identification of the Company with the Casual Male store concept.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same reason, certain financial information for the Casual Male business is included in this Quarterly Report on Form 10-Q.</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allocation of the Casual Male purchase price as disclosed by the Company for the fourth quarter of fiscal 2003 and for the fiscal year ended February 1, 2003 has been adjusted to reflect further adjustments to certain asset valuations, which were revised during the first quarter of fiscal 2004. The allocation of purchase price as of May 3, 2003, subject to further adjustments, was as follows:</w:t>
      </w:r>
    </w:p>
    <w:p>
      <w:pPr>
        <w:spacing w:after="0" w:line="122"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66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6"/>
              </w:rPr>
              <w:t>Debit (Credit)</w:t>
            </w:r>
          </w:p>
        </w:tc>
      </w:tr>
      <w:tr>
        <w:trPr>
          <w:trHeight w:val="95"/>
        </w:trPr>
        <w:tc>
          <w:tcPr>
            <w:tcW w:w="76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7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i w:val="1"/>
                <w:iCs w:val="1"/>
                <w:color w:val="auto"/>
                <w:w w:val="94"/>
              </w:rPr>
              <w:t>(in thousands)</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Accounts receivable</w:t>
            </w:r>
          </w:p>
        </w:tc>
        <w:tc>
          <w:tcPr>
            <w:tcW w:w="130" w:type="dxa"/>
            <w:vAlign w:val="bottom"/>
          </w:tcPr>
          <w:p>
            <w:pPr>
              <w:spacing w:after="0"/>
              <w:rPr>
                <w:sz w:val="18"/>
                <w:szCs w:val="18"/>
                <w:color w:val="auto"/>
              </w:rPr>
            </w:pPr>
          </w:p>
        </w:tc>
        <w:tc>
          <w:tcPr>
            <w:tcW w:w="690" w:type="dxa"/>
            <w:vAlign w:val="bottom"/>
            <w:gridSpan w:val="2"/>
          </w:tcPr>
          <w:p>
            <w:pPr>
              <w:jc w:val="right"/>
              <w:ind w:right="20"/>
              <w:spacing w:after="0"/>
              <w:rPr>
                <w:sz w:val="20"/>
                <w:szCs w:val="20"/>
                <w:color w:val="auto"/>
              </w:rPr>
            </w:pPr>
            <w:r>
              <w:rPr>
                <w:rFonts w:ascii="Arial" w:cs="Arial" w:eastAsia="Arial" w:hAnsi="Arial"/>
                <w:sz w:val="18"/>
                <w:szCs w:val="18"/>
                <w:color w:val="auto"/>
              </w:rPr>
              <w:t>1,397</w:t>
            </w:r>
          </w:p>
        </w:tc>
        <w:tc>
          <w:tcPr>
            <w:tcW w:w="6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Merchandise inventory</w:t>
            </w:r>
          </w:p>
        </w:tc>
        <w:tc>
          <w:tcPr>
            <w:tcW w:w="13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70,968</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Prepaid expenses</w:t>
            </w:r>
          </w:p>
        </w:tc>
        <w:tc>
          <w:tcPr>
            <w:tcW w:w="130" w:type="dxa"/>
            <w:vAlign w:val="bottom"/>
          </w:tcPr>
          <w:p>
            <w:pPr>
              <w:spacing w:after="0"/>
              <w:rPr>
                <w:sz w:val="18"/>
                <w:szCs w:val="18"/>
                <w:color w:val="auto"/>
              </w:rPr>
            </w:pPr>
          </w:p>
        </w:tc>
        <w:tc>
          <w:tcPr>
            <w:tcW w:w="690" w:type="dxa"/>
            <w:vAlign w:val="bottom"/>
            <w:gridSpan w:val="2"/>
          </w:tcPr>
          <w:p>
            <w:pPr>
              <w:jc w:val="right"/>
              <w:ind w:right="20"/>
              <w:spacing w:after="0"/>
              <w:rPr>
                <w:sz w:val="20"/>
                <w:szCs w:val="20"/>
                <w:color w:val="auto"/>
              </w:rPr>
            </w:pPr>
            <w:r>
              <w:rPr>
                <w:rFonts w:ascii="Arial" w:cs="Arial" w:eastAsia="Arial" w:hAnsi="Arial"/>
                <w:sz w:val="18"/>
                <w:szCs w:val="18"/>
                <w:color w:val="auto"/>
              </w:rPr>
              <w:t>2,129</w:t>
            </w:r>
          </w:p>
        </w:tc>
        <w:tc>
          <w:tcPr>
            <w:tcW w:w="6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3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52,862</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Other assets</w:t>
            </w:r>
          </w:p>
        </w:tc>
        <w:tc>
          <w:tcPr>
            <w:tcW w:w="130" w:type="dxa"/>
            <w:vAlign w:val="bottom"/>
          </w:tcPr>
          <w:p>
            <w:pPr>
              <w:spacing w:after="0"/>
              <w:rPr>
                <w:sz w:val="18"/>
                <w:szCs w:val="18"/>
                <w:color w:val="auto"/>
              </w:rPr>
            </w:pPr>
          </w:p>
        </w:tc>
        <w:tc>
          <w:tcPr>
            <w:tcW w:w="690" w:type="dxa"/>
            <w:vAlign w:val="bottom"/>
            <w:gridSpan w:val="2"/>
          </w:tcPr>
          <w:p>
            <w:pPr>
              <w:jc w:val="right"/>
              <w:ind w:right="20"/>
              <w:spacing w:after="0"/>
              <w:rPr>
                <w:sz w:val="20"/>
                <w:szCs w:val="20"/>
                <w:color w:val="auto"/>
              </w:rPr>
            </w:pPr>
            <w:r>
              <w:rPr>
                <w:rFonts w:ascii="Arial" w:cs="Arial" w:eastAsia="Arial" w:hAnsi="Arial"/>
                <w:sz w:val="18"/>
                <w:szCs w:val="18"/>
                <w:color w:val="auto"/>
              </w:rPr>
              <w:t>3,424</w:t>
            </w:r>
          </w:p>
        </w:tc>
        <w:tc>
          <w:tcPr>
            <w:tcW w:w="6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50,699</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Casual Male trademark</w:t>
            </w:r>
          </w:p>
        </w:tc>
        <w:tc>
          <w:tcPr>
            <w:tcW w:w="130" w:type="dxa"/>
            <w:vAlign w:val="bottom"/>
          </w:tcPr>
          <w:p>
            <w:pPr>
              <w:spacing w:after="0"/>
              <w:rPr>
                <w:sz w:val="18"/>
                <w:szCs w:val="18"/>
                <w:color w:val="auto"/>
              </w:rPr>
            </w:pPr>
          </w:p>
        </w:tc>
        <w:tc>
          <w:tcPr>
            <w:tcW w:w="690" w:type="dxa"/>
            <w:vAlign w:val="bottom"/>
            <w:gridSpan w:val="2"/>
          </w:tcPr>
          <w:p>
            <w:pPr>
              <w:jc w:val="right"/>
              <w:ind w:right="20"/>
              <w:spacing w:after="0"/>
              <w:rPr>
                <w:sz w:val="20"/>
                <w:szCs w:val="20"/>
                <w:color w:val="auto"/>
              </w:rPr>
            </w:pPr>
            <w:r>
              <w:rPr>
                <w:rFonts w:ascii="Arial" w:cs="Arial" w:eastAsia="Arial" w:hAnsi="Arial"/>
                <w:sz w:val="18"/>
                <w:szCs w:val="18"/>
                <w:color w:val="auto"/>
              </w:rPr>
              <w:t>29,200</w:t>
            </w:r>
          </w:p>
        </w:tc>
        <w:tc>
          <w:tcPr>
            <w:tcW w:w="6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3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Accounts payable</w:t>
            </w:r>
          </w:p>
        </w:tc>
        <w:tc>
          <w:tcPr>
            <w:tcW w:w="130" w:type="dxa"/>
            <w:vAlign w:val="bottom"/>
          </w:tcPr>
          <w:p>
            <w:pPr>
              <w:spacing w:after="0"/>
              <w:rPr>
                <w:sz w:val="18"/>
                <w:szCs w:val="18"/>
                <w:color w:val="auto"/>
              </w:rPr>
            </w:pPr>
          </w:p>
        </w:tc>
        <w:tc>
          <w:tcPr>
            <w:tcW w:w="750" w:type="dxa"/>
            <w:vAlign w:val="bottom"/>
            <w:gridSpan w:val="3"/>
          </w:tcPr>
          <w:p>
            <w:pPr>
              <w:jc w:val="right"/>
              <w:ind w:right="20"/>
              <w:spacing w:after="0"/>
              <w:rPr>
                <w:sz w:val="20"/>
                <w:szCs w:val="20"/>
                <w:color w:val="auto"/>
              </w:rPr>
            </w:pPr>
            <w:r>
              <w:rPr>
                <w:rFonts w:ascii="Arial" w:cs="Arial" w:eastAsia="Arial" w:hAnsi="Arial"/>
                <w:sz w:val="18"/>
                <w:szCs w:val="18"/>
                <w:color w:val="auto"/>
              </w:rPr>
              <w:t>(23,209)</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30" w:type="dxa"/>
            <w:vAlign w:val="bottom"/>
            <w:shd w:val="clear" w:color="auto" w:fill="CCEEFF"/>
          </w:tcPr>
          <w:p>
            <w:pPr>
              <w:spacing w:after="0"/>
              <w:rPr>
                <w:sz w:val="18"/>
                <w:szCs w:val="18"/>
                <w:color w:val="auto"/>
              </w:rPr>
            </w:pPr>
          </w:p>
        </w:tc>
        <w:tc>
          <w:tcPr>
            <w:tcW w:w="75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(6,863)</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Accrual for estimated transaction and severance costs</w:t>
            </w:r>
          </w:p>
        </w:tc>
        <w:tc>
          <w:tcPr>
            <w:tcW w:w="130" w:type="dxa"/>
            <w:vAlign w:val="bottom"/>
          </w:tcPr>
          <w:p>
            <w:pPr>
              <w:spacing w:after="0"/>
              <w:rPr>
                <w:sz w:val="18"/>
                <w:szCs w:val="18"/>
                <w:color w:val="auto"/>
              </w:rPr>
            </w:pPr>
          </w:p>
        </w:tc>
        <w:tc>
          <w:tcPr>
            <w:tcW w:w="750" w:type="dxa"/>
            <w:vAlign w:val="bottom"/>
            <w:gridSpan w:val="3"/>
          </w:tcPr>
          <w:p>
            <w:pPr>
              <w:jc w:val="right"/>
              <w:ind w:right="20"/>
              <w:spacing w:after="0"/>
              <w:rPr>
                <w:sz w:val="20"/>
                <w:szCs w:val="20"/>
                <w:color w:val="auto"/>
              </w:rPr>
            </w:pPr>
            <w:r>
              <w:rPr>
                <w:rFonts w:ascii="Arial" w:cs="Arial" w:eastAsia="Arial" w:hAnsi="Arial"/>
                <w:sz w:val="18"/>
                <w:szCs w:val="18"/>
                <w:color w:val="auto"/>
              </w:rPr>
              <w:t>(9,248)</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Mortgage note</w:t>
            </w:r>
          </w:p>
        </w:tc>
        <w:tc>
          <w:tcPr>
            <w:tcW w:w="130" w:type="dxa"/>
            <w:vAlign w:val="bottom"/>
            <w:shd w:val="clear" w:color="auto" w:fill="CCEEFF"/>
          </w:tcPr>
          <w:p>
            <w:pPr>
              <w:spacing w:after="0"/>
              <w:rPr>
                <w:sz w:val="18"/>
                <w:szCs w:val="18"/>
                <w:color w:val="auto"/>
              </w:rPr>
            </w:pPr>
          </w:p>
        </w:tc>
        <w:tc>
          <w:tcPr>
            <w:tcW w:w="75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(12,151)</w:t>
            </w:r>
          </w:p>
        </w:tc>
      </w:tr>
      <w:tr>
        <w:trPr>
          <w:trHeight w:val="108"/>
        </w:trPr>
        <w:tc>
          <w:tcPr>
            <w:tcW w:w="766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66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 for assets acquired and liabilities assumed</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161,001</w:t>
            </w:r>
          </w:p>
        </w:tc>
        <w:tc>
          <w:tcPr>
            <w:tcW w:w="60" w:type="dxa"/>
            <w:vAlign w:val="bottom"/>
            <w:shd w:val="clear" w:color="auto" w:fill="CCEEFF"/>
          </w:tcPr>
          <w:p>
            <w:pPr>
              <w:spacing w:after="0"/>
              <w:rPr>
                <w:sz w:val="18"/>
                <w:szCs w:val="18"/>
                <w:color w:val="auto"/>
              </w:rPr>
            </w:pPr>
          </w:p>
        </w:tc>
      </w:tr>
      <w:tr>
        <w:trPr>
          <w:trHeight w:val="132"/>
        </w:trPr>
        <w:tc>
          <w:tcPr>
            <w:tcW w:w="766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Casual Male acquisition, along with the payment of certain related fees and expenses, was completed with funds provided by: (i) approximately $30.2 million in additional borrowings from the Company’s amended three-year $120.0 million senior secured credit facility with the Company’s bank, Fleet Retail Finance, Inc. (“Fleet”), (ii) $15.0 million from a three-year term loan with a subsidiary of Fleet, (iii) proceeds from the private placement of $24.5 million principal amount of 12% senior subordinated notes due 2007 together with detachable warrants to acquire 1,715,000 shares of the Company’s common stock at an exercise price of $.01 per share, and additional detachable warrants to acquire 1,176,471 shares of common stock at an exercise price of $8.50 per share, (iv) proceeds from the private placement of $11.0 million principal amount of 5% senior subordinated notes due 2007, (v) approximately $82.5 million of proceeds from the private placement of approximately 1.4 million shares of common stock and 180,162 shares of newly designated Series B Convertible Preferred Stock, par value $0.01 per share (which shares were automatically converted on August 8, 2002 into 18,016,200 shares of common stock), and (vi) the assumption of a mortgage note in the principal amount of approximately $12.2 million.</w:t>
      </w:r>
    </w:p>
    <w:p>
      <w:pPr>
        <w:spacing w:after="0" w:line="10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Below are the operating results for the first quarter of fiscal 2004 compared to the pro forma results for the first quarter of fiscal 2003, assuming that the Casual Male acquisition had occurred on February 3, 2002: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May 3, 2003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May 4, 2002</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Actual</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Actual Other</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Branded</w:t>
            </w:r>
          </w:p>
        </w:tc>
        <w:tc>
          <w:tcPr>
            <w:tcW w:w="10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8"/>
              </w:rPr>
              <w:t>Actual</w:t>
            </w:r>
          </w:p>
        </w:tc>
        <w:tc>
          <w:tcPr>
            <w:tcW w:w="2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6"/>
              </w:rPr>
              <w:t>Pro forma</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7"/>
              </w:rPr>
              <w:t>Branded</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Casual Male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Apparel</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w:t>
            </w:r>
          </w:p>
        </w:tc>
        <w:tc>
          <w:tcPr>
            <w:tcW w:w="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Casual Male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1"/>
              </w:rPr>
              <w:t>Apparel</w:t>
            </w: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79"/>
              </w:rPr>
              <w:t>business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8"/>
              </w:rPr>
              <w:t>businesses</w:t>
            </w:r>
            <w:r>
              <w:rPr>
                <w:rFonts w:ascii="Arial" w:cs="Arial" w:eastAsia="Arial" w:hAnsi="Arial"/>
                <w:sz w:val="22"/>
                <w:szCs w:val="22"/>
                <w:b w:val="1"/>
                <w:bCs w:val="1"/>
                <w:color w:val="auto"/>
                <w:w w:val="78"/>
                <w:vertAlign w:val="superscript"/>
              </w:rPr>
              <w:t>(1)</w:t>
            </w:r>
          </w:p>
        </w:tc>
        <w:tc>
          <w:tcPr>
            <w:tcW w:w="540" w:type="dxa"/>
            <w:vAlign w:val="bottom"/>
          </w:tcPr>
          <w:p>
            <w:pPr>
              <w:spacing w:after="0"/>
              <w:rPr>
                <w:sz w:val="24"/>
                <w:szCs w:val="24"/>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Company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1"/>
              </w:rPr>
              <w:t>business</w:t>
            </w:r>
            <w:r>
              <w:rPr>
                <w:rFonts w:ascii="Arial" w:cs="Arial" w:eastAsia="Arial" w:hAnsi="Arial"/>
                <w:sz w:val="22"/>
                <w:szCs w:val="22"/>
                <w:b w:val="1"/>
                <w:bCs w:val="1"/>
                <w:color w:val="auto"/>
                <w:w w:val="81"/>
                <w:vertAlign w:val="superscript"/>
              </w:rPr>
              <w:t>(2)</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76"/>
              </w:rPr>
              <w:t>businesses</w:t>
            </w:r>
            <w:r>
              <w:rPr>
                <w:rFonts w:ascii="Arial" w:cs="Arial" w:eastAsia="Arial" w:hAnsi="Arial"/>
                <w:sz w:val="22"/>
                <w:szCs w:val="22"/>
                <w:b w:val="1"/>
                <w:bCs w:val="1"/>
                <w:color w:val="auto"/>
                <w:w w:val="76"/>
                <w:vertAlign w:val="superscript"/>
              </w:rPr>
              <w:t>(1)</w:t>
            </w:r>
          </w:p>
        </w:tc>
        <w:tc>
          <w:tcPr>
            <w:tcW w:w="560" w:type="dxa"/>
            <w:vAlign w:val="bottom"/>
            <w:gridSpan w:val="2"/>
          </w:tcPr>
          <w:p>
            <w:pPr>
              <w:spacing w:after="0"/>
              <w:rPr>
                <w:sz w:val="24"/>
                <w:szCs w:val="2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Company</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40" w:type="dxa"/>
            <w:vAlign w:val="bottom"/>
            <w:gridSpan w:val="7"/>
          </w:tcPr>
          <w:p>
            <w:pPr>
              <w:ind w:left="8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5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Gross margin, net of Occupancy costs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Gross margin rate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19.0%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35.5%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42.4%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22.5%</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6" w:name="page7"/>
    <w:bookmarkEnd w:id="6"/>
    <w:p>
      <w:pPr>
        <w:ind w:left="460" w:right="80" w:hanging="452"/>
        <w:spacing w:after="0" w:line="21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6000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0075" cy="8890"/>
                    </a:xfrm>
                    <a:prstGeom prst="rect">
                      <a:avLst/>
                    </a:prstGeom>
                    <a:noFill/>
                  </pic:spPr>
                </pic:pic>
              </a:graphicData>
            </a:graphic>
          </wp:anchor>
        </w:drawing>
        <w:t>Other Branded Apparel businesses primarily includes the operations of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which the Company is in the process of exiting. Also included are the results of operations of its growing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to eliminate the results of operations for closed store locations, which were not acquired by the Company.</w:t>
      </w:r>
    </w:p>
    <w:p>
      <w:pPr>
        <w:spacing w:after="0" w:line="14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pro forma results have been prepared based on available information, using assumptions that the Company’s management believes are reasonable. Such pro forma results do not purport to represent the actual results of operations that would have occurred if the Casual Male acquisition had occurred on the date specified. The above results are also not necessarily indicative of the results that may be achieved in the future.</w:t>
      </w:r>
    </w:p>
    <w:p>
      <w:pPr>
        <w:spacing w:after="0" w:line="9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anticipates total annualized cost savings and synergies of approximately $20 to $25 million. Through the end of the first quarter of fiscal 2004, the Company has begun to realize benefits from approximately $20 million of these projected annualized savings as a result of overhead cost reductions and the integration of the Casual Male business with the former Designs business. As a result of these initiatives, selling, general and administrative expenses decreased by approximately $5.0 million to $26.3 million for the first quarter of fiscal 2004 as compared to $31.3 million for the first quarter of the prior year. The above pro forma results do not reflect these anticipated cost savings except to the extent that such costs have been realized.</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Payable-Credit Facility</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credit facility with Fleet, which was most recently amended on May 14, 2002 in connection with the financing of the Casual Male acquisition (as amended, the “Credit Facility”). The Credit Facility, which expires on May 14, 2005, principally provides for a total commitment of $120 million with the ability for the Company to issue documentary and standby letters of credit of up to $20 million. The Company’s ability to borrow under the Credit Facility is determined using an availability formula based on eligible assets. The Company’s obligations under the Credit Facility are secured by a lien on all of its assets. The Credit Facility includes certain covenants and events of default customary for credit facilities of this nature, including change of control provisions and limitations on payment of dividends by the Company.</w:t>
      </w:r>
    </w:p>
    <w:p>
      <w:pPr>
        <w:spacing w:after="0" w:line="10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May 3, 2003, the Company had outstanding borrowings of approximately $68.2 million under the Credit Facility. Outstanding standby letters of credit were $350,000 and outstanding documentary letters of credit were approximately $36,350 at May 3, 2003. Average borrowings outstanding under the Credit Facility during the first three months of fiscal 2004 were approximately $63.5 million, resulting in an average unused availability of approximately $15.1 million during the first three months of fiscal 2004. At May 3, 2003, the unused availability was approximately $12.3 million. The Company was in compliance with all debt covenants under the Credit Facility at May 3, 2003.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Long-Term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other long-term debt are as follows:</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820" w:type="dxa"/>
            <w:vAlign w:val="bottom"/>
            <w:gridSpan w:val="4"/>
          </w:tcPr>
          <w:p>
            <w:pPr>
              <w:ind w:left="2920"/>
              <w:spacing w:after="0"/>
              <w:rPr>
                <w:sz w:val="20"/>
                <w:szCs w:val="20"/>
                <w:color w:val="auto"/>
              </w:rPr>
            </w:pPr>
            <w:r>
              <w:rPr>
                <w:rFonts w:ascii="Arial" w:cs="Arial" w:eastAsia="Arial" w:hAnsi="Arial"/>
                <w:sz w:val="14"/>
                <w:szCs w:val="14"/>
                <w:b w:val="1"/>
                <w:bCs w:val="1"/>
                <w:i w:val="1"/>
                <w:iCs w:val="1"/>
                <w:color w:val="auto"/>
                <w:w w:val="91"/>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312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12% senior subordinated notes due 2007</w:t>
            </w: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5% senior subordinated notes due 2007</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Mortgage note</w:t>
            </w: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less current portion</w:t>
            </w:r>
          </w:p>
        </w:tc>
        <w:tc>
          <w:tcPr>
            <w:tcW w:w="312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On May 14, 2002, the Company entered into a three-year term loan with Back Bay Capital, a subsidiary of Fleet. Interest on the term loan includes a 12% coupon, 3% paid-in-kind and a 3% annual commitment fee, for a total annual yield of 18%.</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May 2002, the Company also issued $24.5 million principal amount of 12% senior subordinated notes due 2007 through private placements. The carrying value of $16.4 million is net of the assigned value of unamortized warrants to</w:t>
      </w:r>
    </w:p>
    <w:p>
      <w:pPr>
        <w:sectPr>
          <w:pgSz w:w="11900" w:h="16838" w:orient="portrait"/>
          <w:cols w:equalWidth="0" w:num="1">
            <w:col w:w="11400"/>
          </w:cols>
          <w:pgMar w:left="240" w:top="401" w:right="259" w:bottom="1440" w:gutter="0" w:footer="0" w:header="0"/>
        </w:sectPr>
      </w:pPr>
    </w:p>
    <w:bookmarkStart w:id="7" w:name="page8"/>
    <w:bookmarkEnd w:id="7"/>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acquire 1,715,000 shares of common stock at an exercise price of $0.01 per share and additional detachable warrants to acquire 1,176,471 shares of common stock at an exercise price of $8.50 per share. The total assigned value of the warrants of approximately $9.6 million, which has been reflected as a component of stockholder’s equity as a discount on the notes, is being amortized over the five-year life of the notes as interest expense. At May 3, 2003, the unamortized value of the warrants was $8.1 million.</w:t>
      </w:r>
    </w:p>
    <w:p>
      <w:pPr>
        <w:spacing w:after="0" w:line="13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addition, in May 2002 the Company also issued $11.0 million principal amount of 5% senior subordinated notes due 2007 through a private placement with the Kellwood Company, with whom the Company has entered into a product sourcing agreement. Beginning at the end of the second quarter of fiscal 2004, the Company will make principal payments in the amount of $687,500 per quarter through the remaining term of the notes. Accrued interest is payable quarterly.</w:t>
      </w:r>
    </w:p>
    <w:p>
      <w:pPr>
        <w:spacing w:after="0" w:line="93"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In connection with the Casual Male acquisition, the Company also assumed an outstanding mortgage note for real estate and buildings located in Canton, Massachusetts. The mortgage note, which bears interest at 9%, had an outstanding principal balance of $11.4 million at May 3, 2003.</w:t>
      </w:r>
    </w:p>
    <w:p>
      <w:pPr>
        <w:spacing w:after="0" w:line="72" w:lineRule="exact"/>
        <w:rPr>
          <w:sz w:val="20"/>
          <w:szCs w:val="20"/>
          <w:color w:val="auto"/>
        </w:rPr>
      </w:pPr>
    </w:p>
    <w:p>
      <w:pPr>
        <w:ind w:right="10040" w:firstLine="13"/>
        <w:spacing w:after="0" w:line="369" w:lineRule="auto"/>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Equity </w:t>
      </w:r>
      <w:r>
        <w:rPr>
          <w:rFonts w:ascii="Arial" w:cs="Arial" w:eastAsia="Arial" w:hAnsi="Arial"/>
          <w:sz w:val="16"/>
          <w:szCs w:val="16"/>
          <w:u w:val="single" w:color="auto"/>
          <w:color w:val="auto"/>
        </w:rPr>
        <w:t>Earnings Per Share</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is computed by dividing net income (loss) by the weighted average number of shares of common stock outstanding during the respective period. Diluted earnings per share is determined by giving effect to the exercise of stock options and certain warrants using the treasury stock method. The following table provides a reconciliation of the number of shares outstanding for basic and diluted earnings per share:</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724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May 3, 2003</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20" w:type="dxa"/>
            <w:vAlign w:val="bottom"/>
            <w:gridSpan w:val="3"/>
          </w:tcPr>
          <w:p>
            <w:pPr>
              <w:jc w:val="right"/>
              <w:ind w:right="572"/>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w w:val="92"/>
              </w:rPr>
              <w:t>Stock options, excluding the effect of anti-dilutive options and warrants totaling 663 shares for the</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w w:val="97"/>
              </w:rPr>
              <w:t>three months ended May 3, 2003 and 764 shares for the three months ended May 4, 2002</w:t>
            </w:r>
          </w:p>
        </w:tc>
        <w:tc>
          <w:tcPr>
            <w:tcW w:w="340" w:type="dxa"/>
            <w:vAlign w:val="bottom"/>
          </w:tcPr>
          <w:p>
            <w:pPr>
              <w:spacing w:after="0"/>
              <w:rPr>
                <w:sz w:val="19"/>
                <w:szCs w:val="19"/>
                <w:color w:val="auto"/>
              </w:rPr>
            </w:pPr>
          </w:p>
        </w:tc>
        <w:tc>
          <w:tcPr>
            <w:tcW w:w="7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case, because the exercise price of such options and warrants was greater than the average market price per share of Common Stock for the periods reported:</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w:t>
            </w:r>
          </w:p>
        </w:tc>
        <w:tc>
          <w:tcPr>
            <w:tcW w:w="61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May 3, 2003</w:t>
            </w:r>
          </w:p>
        </w:tc>
        <w:tc>
          <w:tcPr>
            <w:tcW w:w="1480" w:type="dxa"/>
            <w:vAlign w:val="bottom"/>
            <w:gridSpan w:val="2"/>
          </w:tcPr>
          <w:p>
            <w:pPr>
              <w:ind w:left="780"/>
              <w:spacing w:after="0"/>
              <w:rPr>
                <w:sz w:val="20"/>
                <w:szCs w:val="20"/>
                <w:color w:val="auto"/>
              </w:rPr>
            </w:pPr>
            <w:r>
              <w:rPr>
                <w:rFonts w:ascii="Arial" w:cs="Arial" w:eastAsia="Arial" w:hAnsi="Arial"/>
                <w:sz w:val="14"/>
                <w:szCs w:val="14"/>
                <w:b w:val="1"/>
                <w:bCs w:val="1"/>
                <w:color w:val="auto"/>
                <w:w w:val="87"/>
              </w:rPr>
              <w:t>May 4, 2002</w:t>
            </w:r>
          </w:p>
        </w:tc>
      </w:tr>
      <w:tr>
        <w:trPr>
          <w:trHeight w:val="95"/>
        </w:trPr>
        <w:tc>
          <w:tcPr>
            <w:tcW w:w="2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2200" w:type="dxa"/>
            <w:vAlign w:val="bottom"/>
            <w:gridSpan w:val="3"/>
          </w:tcPr>
          <w:p>
            <w:pPr>
              <w:ind w:left="700"/>
              <w:spacing w:after="0"/>
              <w:rPr>
                <w:sz w:val="20"/>
                <w:szCs w:val="20"/>
                <w:color w:val="auto"/>
              </w:rPr>
            </w:pPr>
            <w:r>
              <w:rPr>
                <w:rFonts w:ascii="Arial" w:cs="Arial" w:eastAsia="Arial" w:hAnsi="Arial"/>
                <w:sz w:val="14"/>
                <w:szCs w:val="14"/>
                <w:b w:val="1"/>
                <w:bCs w:val="1"/>
                <w:i w:val="1"/>
                <w:iCs w:val="1"/>
                <w:color w:val="auto"/>
              </w:rPr>
              <w:t>(in thousands)</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4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178</w:t>
            </w: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Warrants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1,676</w:t>
            </w:r>
          </w:p>
        </w:tc>
        <w:tc>
          <w:tcPr>
            <w:tcW w:w="78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In December 2002, the Financial Accounting Standards Board issued SFAS No. 148, </w:t>
      </w:r>
      <w:r>
        <w:rPr>
          <w:rFonts w:ascii="Arial" w:cs="Arial" w:eastAsia="Arial" w:hAnsi="Arial"/>
          <w:sz w:val="16"/>
          <w:szCs w:val="16"/>
          <w:i w:val="1"/>
          <w:iCs w:val="1"/>
          <w:color w:val="auto"/>
        </w:rPr>
        <w:t>Accounting for Stock-Based Compensation—Transition and Disclosure</w:t>
      </w:r>
      <w:r>
        <w:rPr>
          <w:rFonts w:ascii="Arial" w:cs="Arial" w:eastAsia="Arial" w:hAnsi="Arial"/>
          <w:sz w:val="16"/>
          <w:szCs w:val="16"/>
          <w:color w:val="auto"/>
        </w:rPr>
        <w:t xml:space="preserve"> (“SFAS 148”), an amendment to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SFAS 148 provides alternative methods of transition for a voluntary change to the fair value based method of accounting for stock-based employee compensation. Additionally, SFAS 148 also amends the disclosure requirements of SFAS 123 to require prominent disclosures in both annual and interim financial statements about the method of accounting for stock-based employee compensation and the effect of the method used on reported results. The transition guidance and annual disclosure provisions are effective for financial statements issued for fiscal years ending after December 15, 2002. The interim disclosure provisions are effective for financial reports containing financial statements for interim periods beginning after December 15, 2002. Accordingly, the Company has adopted the interim disclosure provisions of SFAS 148 in the first quarter of fiscal 2004.</w:t>
      </w:r>
    </w:p>
    <w:p>
      <w:pPr>
        <w:sectPr>
          <w:pgSz w:w="11900" w:h="16838" w:orient="portrait"/>
          <w:cols w:equalWidth="0" w:num="1">
            <w:col w:w="11400"/>
          </w:cols>
          <w:pgMar w:left="240" w:top="280" w:right="259" w:bottom="1440" w:gutter="0" w:footer="0" w:header="0"/>
        </w:sectPr>
      </w:pPr>
    </w:p>
    <w:bookmarkStart w:id="8" w:name="page9"/>
    <w:bookmarkEnd w:id="8"/>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elected the disclosure-only alternative prescribed in SFAS 123 and, accordingly, no compensation cost has been recognized. The Company has disclosed the pro forma net income or loss and per share amounts using the fair value based method. Had compensation costs for the Company’s grants for stock-based compensation been determined consistent with SFAS 123, the Company’s net loss and loss per share would have been as indicated below:</w:t>
      </w:r>
    </w:p>
    <w:p>
      <w:pPr>
        <w:spacing w:after="0" w:line="89"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3"/>
          </w:tcPr>
          <w:p>
            <w:pPr>
              <w:ind w:left="360"/>
              <w:spacing w:after="0"/>
              <w:rPr>
                <w:sz w:val="20"/>
                <w:szCs w:val="20"/>
                <w:color w:val="auto"/>
              </w:rPr>
            </w:pPr>
            <w:r>
              <w:rPr>
                <w:rFonts w:ascii="Arial" w:cs="Arial" w:eastAsia="Arial" w:hAnsi="Arial"/>
                <w:sz w:val="14"/>
                <w:szCs w:val="14"/>
                <w:b w:val="1"/>
                <w:bCs w:val="1"/>
                <w:color w:val="auto"/>
                <w:w w:val="85"/>
              </w:rPr>
              <w:t>For the three months ended:</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45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4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May 3, 2003</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7"/>
              </w:rPr>
              <w:t>May 4, 2002</w:t>
            </w:r>
          </w:p>
        </w:tc>
      </w:tr>
      <w:tr>
        <w:trPr>
          <w:trHeight w:val="95"/>
        </w:trPr>
        <w:tc>
          <w:tcPr>
            <w:tcW w:w="45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4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5"/>
          </w:tcPr>
          <w:p>
            <w:pPr>
              <w:jc w:val="right"/>
              <w:ind w:right="200"/>
              <w:spacing w:after="0"/>
              <w:rPr>
                <w:sz w:val="20"/>
                <w:szCs w:val="20"/>
                <w:color w:val="auto"/>
              </w:rPr>
            </w:pPr>
            <w:r>
              <w:rPr>
                <w:rFonts w:ascii="Arial" w:cs="Arial" w:eastAsia="Arial" w:hAnsi="Arial"/>
                <w:sz w:val="14"/>
                <w:szCs w:val="14"/>
                <w:b w:val="1"/>
                <w:bCs w:val="1"/>
                <w:i w:val="1"/>
                <w:iCs w:val="1"/>
                <w:color w:val="auto"/>
                <w:w w:val="82"/>
              </w:rPr>
              <w:t>(In thousands, except per share amounts)</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loss—as reported</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(2,755)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(1,795)</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Net loss—pro forma</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080"/>
              <w:spacing w:after="0"/>
              <w:rPr>
                <w:sz w:val="20"/>
                <w:szCs w:val="20"/>
                <w:color w:val="auto"/>
              </w:rPr>
            </w:pPr>
            <w:r>
              <w:rPr>
                <w:rFonts w:ascii="Arial" w:cs="Arial" w:eastAsia="Arial" w:hAnsi="Arial"/>
                <w:sz w:val="18"/>
                <w:szCs w:val="18"/>
                <w:color w:val="auto"/>
              </w:rPr>
              <w:t>(3,007)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(1,959)</w:t>
            </w:r>
          </w:p>
        </w:tc>
      </w:tr>
      <w:tr>
        <w:trPr>
          <w:trHeight w:val="102"/>
        </w:trPr>
        <w:tc>
          <w:tcPr>
            <w:tcW w:w="45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share—basic and diluted as reported</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Loss per share—basic and diluted pro forma</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080"/>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applying SFAS 123 in this pro forma disclosure are not likely to be representative of the effects on reported net income or loss for future years.</w:t>
      </w:r>
    </w:p>
    <w:p>
      <w:pPr>
        <w:spacing w:after="0" w:line="18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for the three months ended May 3, 2003 and May 4, 2002:</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56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May 3, 2003</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May 4, 2002</w:t>
            </w:r>
          </w:p>
        </w:tc>
      </w:tr>
      <w:tr>
        <w:trPr>
          <w:trHeight w:val="95"/>
        </w:trPr>
        <w:tc>
          <w:tcPr>
            <w:tcW w:w="65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6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Dividend rate</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of options granted in the first three months of fiscal 2004 and fiscal 2003 was $2.59 and $4.58, respectively.</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5. Restructuring, Store Closing and Impairment of Assets</w:t>
      </w:r>
    </w:p>
    <w:p>
      <w:pPr>
        <w:spacing w:after="0" w:line="77"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During the second and fourth quarters of fiscal 2003, the Company recorded charges totaling $41.3 million related to the Company’s decision to downsize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with the intent of eventually exiting the business, the Company’s transfer of the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to Candies, Inc. and integration costs associated with the combination of the Casual Male and Designs businesses. Of the total $41.3 million in restructuring charges: (i) $7.8 million related to the Company’s fiscal 2003 discontinued operations which included the closing of 20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and the exiting of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both completed in fiscal 2003; (ii) $21.9 million related to the future closing of the remaining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(iii) $3.6 million related to the integration plan to combine the operations of Casual Male with the Company; and (iv) $8.0 million related to the impairment of certain tax assets. Through the end of the first quarter of fiscal 2004, the Company had closed 21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and had completely transferred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to Candies, Inc.</w:t>
      </w:r>
    </w:p>
    <w:p>
      <w:pPr>
        <w:spacing w:after="0" w:line="14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At May 3, 2003, the remaining reserve for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 closings was $16.0 million. The reserve consisted of inventory reserves of $10.2 million, which have been netted against “Inventories” on the Consolidated Balance Sheet and accruals for landlord settlements and other costs of $5.8 million, which are shown as “Accrued liabilities for severance and store closings” on the Consolidated Balance Sheet. Below is a table showing the changes in the components of the reserves from February 1, 2003 to May 3, 2003: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at February 1, 2003</w:t>
            </w:r>
          </w:p>
        </w:tc>
        <w:tc>
          <w:tcPr>
            <w:tcW w:w="840" w:type="dxa"/>
            <w:vAlign w:val="bottom"/>
          </w:tcPr>
          <w:p>
            <w:pPr>
              <w:spacing w:after="0"/>
              <w:rPr>
                <w:sz w:val="20"/>
                <w:szCs w:val="20"/>
                <w:color w:val="auto"/>
              </w:rPr>
            </w:pPr>
            <w:r>
              <w:rPr>
                <w:rFonts w:ascii="Arial" w:cs="Arial" w:eastAsia="Arial" w:hAnsi="Arial"/>
                <w:sz w:val="14"/>
                <w:szCs w:val="14"/>
                <w:b w:val="1"/>
                <w:bCs w:val="1"/>
                <w:color w:val="auto"/>
                <w:w w:val="83"/>
              </w:rPr>
              <w:t>Net Provisions</w:t>
            </w:r>
          </w:p>
        </w:tc>
        <w:tc>
          <w:tcPr>
            <w:tcW w:w="640" w:type="dxa"/>
            <w:vAlign w:val="bottom"/>
          </w:tcPr>
          <w:p>
            <w:pPr>
              <w:spacing w:after="0"/>
              <w:rPr>
                <w:sz w:val="15"/>
                <w:szCs w:val="15"/>
                <w:color w:val="auto"/>
              </w:rPr>
            </w:pP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Charges/Write-offs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at May 3,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(in millions)</w:t>
            </w: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Accrued liabilities for severance and store closings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19"/>
                <w:szCs w:val="19"/>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gridSpan w:val="2"/>
          </w:tcPr>
          <w:p>
            <w:pPr>
              <w:jc w:val="right"/>
              <w:ind w:right="118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Reserves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Discontinued Operations</w:t>
      </w:r>
    </w:p>
    <w:p>
      <w:pPr>
        <w:spacing w:after="0" w:line="77"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accordance with the provisions of SFAS 144, the Company’s discontinued operations reflect the operating results for stores which have been closed as part of the Company’s plan to exit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and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 The results for the first quarter of fiscal 2003 have been reclassified to show the results of operations for the Company’s 21 closed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and the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 business as discontinued operations. Due to the consolidated tax position of the Company, no tax benefit or provision was realized on discontinued operations for either period. Below is a summary of the results of operations for these closed stores for the three months ended May 3, 2003 and May 4, 2002:</w:t>
      </w:r>
    </w:p>
    <w:p>
      <w:pPr>
        <w:spacing w:after="0" w:line="13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2720" w:type="dxa"/>
            <w:vAlign w:val="bottom"/>
            <w:gridSpan w:val="5"/>
          </w:tcPr>
          <w:p>
            <w:pPr>
              <w:ind w:left="1780"/>
              <w:spacing w:after="0"/>
              <w:rPr>
                <w:sz w:val="20"/>
                <w:szCs w:val="20"/>
                <w:color w:val="auto"/>
              </w:rPr>
            </w:pPr>
            <w:r>
              <w:rPr>
                <w:rFonts w:ascii="Arial" w:cs="Arial" w:eastAsia="Arial" w:hAnsi="Arial"/>
                <w:sz w:val="14"/>
                <w:szCs w:val="14"/>
                <w:b w:val="1"/>
                <w:bCs w:val="1"/>
                <w:color w:val="auto"/>
              </w:rPr>
              <w:t>May 3, 2003</w:t>
            </w:r>
          </w:p>
        </w:tc>
        <w:tc>
          <w:tcPr>
            <w:tcW w:w="2060" w:type="dxa"/>
            <w:vAlign w:val="bottom"/>
            <w:gridSpan w:val="4"/>
          </w:tcPr>
          <w:p>
            <w:pPr>
              <w:ind w:left="54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4"/>
          </w:tcPr>
          <w:p>
            <w:pPr>
              <w:ind w:left="160"/>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020" w:type="dxa"/>
            <w:vAlign w:val="bottom"/>
            <w:gridSpan w:val="3"/>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Gross profit, net of occupancy costs</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737</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020" w:type="dxa"/>
            <w:vAlign w:val="bottom"/>
            <w:gridSpan w:val="3"/>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 Income Taxes</w:t>
      </w:r>
    </w:p>
    <w:p>
      <w:pPr>
        <w:spacing w:after="0" w:line="7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fiscal 2003, as a result of the net loss incurred by the Company and the potential that its remaining net deferred tax assets may not be realizable, the Company recorded an additional non-cash charge of approximately $8.0 million, fully reserving the Company’s deferred tax assets at February 1, 2003.</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As a result of previous losses and in accordance with the provisions of SFAS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the Company fully reserved for the tax benefit of $992,000 associated with its pre-tax loss of $2.8 million for the three months ended May 3, 2003.</w:t>
      </w:r>
    </w:p>
    <w:p>
      <w:pPr>
        <w:spacing w:after="0" w:line="1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At May 3, 2003, the Company has total gross deferred tax assets of approximately $35.4 million, which are fully reserved. These tax assets principally relate to federal net operating loss carryforwards that expire from 2017 through 2023. The ability to reduce the Company’s corresponding valuation allowance of $35.4 million in the future is dependent upon the Company’s ability to achieve sustained taxable income, which would allow for the utilization of the deferred tax assets.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8. Minority Interest</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Since March 2002, the Company has operated a joint venture with EcKo Complex, LLC (“EcKo”) under which the Company, a 50.5% partner, owns and manages retail outlet stores bearing the name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featuring EcKo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merchandise. EcKo, a 49.5% partner, contributes to the joint venture the use of its trademark and the merchandise requirements, at cost, of the retail outlet stores. The Company contributes all real estate and operating requirements of the retail outlet stores, including, but not limited to, the real estate leases, payroll needs and advertising. Each partner shares in the operating profits of the joint venture, after each partner has received reimbursements for its cost contributions. Under the terms of the agreement, the Company must maintain a prescribed store opening schedule and open 75 stores over a six-year period in order to maintain the joint venture’s exclusivity. At certain times during the term of the agreement, the Company may exercise a put option to sell its share of the retail joint venture, and EcKo has an option to acquire the Company’s share of the retail joint venture at a price based on the performance of the retail outlet stores. As of May 3, 2003, the Company has opened a total of nine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pursuant to its joint venture arrangement.</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financial reporting purposes, the joint venture’s assets, liabilities, and results of operations are consolidated with those of the Company, and EcKo’s 49.5% ownership in the joint venture is included in the Company’s consolidated financial statements as a minority interest. For the three months ended May 3, 2003, the joint venture had sales of approximately $2.0 million.</w:t>
      </w:r>
    </w:p>
    <w:p>
      <w:pPr>
        <w:sectPr>
          <w:pgSz w:w="11900" w:h="16838" w:orient="portrait"/>
          <w:cols w:equalWidth="0" w:num="1">
            <w:col w:w="11380"/>
          </w:cols>
          <w:pgMar w:left="240" w:top="280" w:right="27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 Segment Information</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Since the Casual Male acquisition in May 2002, the Company has operated its business under two reportable segments: (i) the Casual Male business and (ii) the Other Branded Apparel businesses.</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Casual Male business</w:t>
      </w:r>
      <w:r>
        <w:rPr>
          <w:rFonts w:ascii="Arial" w:cs="Arial" w:eastAsia="Arial" w:hAnsi="Arial"/>
          <w:sz w:val="18"/>
          <w:szCs w:val="18"/>
          <w:color w:val="auto"/>
        </w:rPr>
        <w:t>: This segment includes the Company’s 411 Casual Male Big &amp; Tall retail stores, 61 Casual Male Big &amp; Tall outlet stores, and its Casual</w:t>
      </w:r>
      <w:r>
        <w:rPr>
          <w:rFonts w:ascii="Arial" w:cs="Arial" w:eastAsia="Arial" w:hAnsi="Arial"/>
          <w:sz w:val="18"/>
          <w:szCs w:val="18"/>
          <w:i w:val="1"/>
          <w:iCs w:val="1"/>
          <w:color w:val="auto"/>
        </w:rPr>
        <w:t xml:space="preserve"> </w:t>
      </w:r>
      <w:r>
        <w:rPr>
          <w:rFonts w:ascii="Arial" w:cs="Arial" w:eastAsia="Arial" w:hAnsi="Arial"/>
          <w:sz w:val="18"/>
          <w:szCs w:val="18"/>
          <w:color w:val="auto"/>
        </w:rPr>
        <w:t>Male catalog and e-commerce businesses.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Branded Apparel businesses</w:t>
      </w:r>
      <w:r>
        <w:rPr>
          <w:rFonts w:ascii="Arial" w:cs="Arial" w:eastAsia="Arial" w:hAnsi="Arial"/>
          <w:sz w:val="16"/>
          <w:szCs w:val="16"/>
          <w:color w:val="auto"/>
        </w:rPr>
        <w:t>: This segment includes the Company’s remaining 82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outlet stores and its nine EcKo Unltd.</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outlet stores.</w:t>
      </w:r>
    </w:p>
    <w:p>
      <w:pPr>
        <w:spacing w:after="0" w:line="135"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As discussed in Note 5, the Company is in the process of exiting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 There were no results of operations for the Company’s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 for the three months ended May 3, 2003 as it had been transferred to Candies, Inc. by the end of fiscal 2003.</w:t>
      </w:r>
    </w:p>
    <w:p>
      <w:pPr>
        <w:spacing w:after="0" w:line="3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No segment reporting was necessary for the three months ended May 4, 2002 since the Casual Male acquisition was not completed until May 14, 2002, which was subsequent to the end of the first quarter of fiscal 2003.</w:t>
      </w:r>
    </w:p>
    <w:p>
      <w:pPr>
        <w:spacing w:after="0" w:line="11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accounting policies of the reportable segments are consistent with the consolidated financial statements of the Company. The Company evaluates individual store profitability in terms of a store’s “Operating Profit”, which is defined by the Company as gross margin less occupancy costs, direct selling costs and an allocation of indirect selling costs. Below are the results of operations on a segment basis for the three months ended May 3, 2003.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260" w:type="dxa"/>
            <w:vAlign w:val="bottom"/>
            <w:gridSpan w:val="4"/>
          </w:tcPr>
          <w:p>
            <w:pPr>
              <w:ind w:left="2280"/>
              <w:spacing w:after="0"/>
              <w:rPr>
                <w:sz w:val="20"/>
                <w:szCs w:val="20"/>
                <w:color w:val="auto"/>
              </w:rPr>
            </w:pPr>
            <w:r>
              <w:rPr>
                <w:rFonts w:ascii="Arial" w:cs="Arial" w:eastAsia="Arial" w:hAnsi="Arial"/>
                <w:sz w:val="14"/>
                <w:szCs w:val="14"/>
                <w:b w:val="1"/>
                <w:bCs w:val="1"/>
                <w:color w:val="auto"/>
              </w:rPr>
              <w:t>Casual Male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Other Branded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 May 3, 2003:</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9"/>
              </w:rPr>
              <w:t>business</w:t>
            </w:r>
          </w:p>
        </w:tc>
        <w:tc>
          <w:tcPr>
            <w:tcW w:w="1940" w:type="dxa"/>
            <w:vAlign w:val="bottom"/>
            <w:gridSpan w:val="4"/>
          </w:tcPr>
          <w:p>
            <w:pPr>
              <w:ind w:left="240"/>
              <w:spacing w:after="0"/>
              <w:rPr>
                <w:sz w:val="20"/>
                <w:szCs w:val="20"/>
                <w:color w:val="auto"/>
              </w:rPr>
            </w:pPr>
            <w:r>
              <w:rPr>
                <w:rFonts w:ascii="Arial" w:cs="Arial" w:eastAsia="Arial" w:hAnsi="Arial"/>
                <w:sz w:val="14"/>
                <w:szCs w:val="14"/>
                <w:b w:val="1"/>
                <w:bCs w:val="1"/>
                <w:color w:val="auto"/>
              </w:rPr>
              <w:t>Apparel businesses</w:t>
            </w:r>
          </w:p>
        </w:tc>
        <w:tc>
          <w:tcPr>
            <w:tcW w:w="1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b w:val="1"/>
                <w:bCs w:val="1"/>
                <w:i w:val="1"/>
                <w:iCs w:val="1"/>
                <w:color w:val="auto"/>
                <w:w w:val="91"/>
              </w:rPr>
              <w:t>(in thousands)</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Statement of Operations: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Sales</w:t>
            </w:r>
          </w:p>
        </w:tc>
        <w:tc>
          <w:tcPr>
            <w:tcW w:w="2380" w:type="dxa"/>
            <w:vAlign w:val="bottom"/>
            <w:gridSpan w:val="2"/>
          </w:tcPr>
          <w:p>
            <w:pPr>
              <w:ind w:left="22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72,802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26,898</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26,315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6,860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to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expense,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Minority interest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Benefit for income taxes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Net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Loss from discontinuing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(2,885)</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(72)</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4375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1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(2,654)</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4375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1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46736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6736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00" w:space="720"/>
            <w:col w:w="800"/>
          </w:cols>
          <w:pgMar w:left="240" w:top="280" w:right="239" w:bottom="1440" w:gutter="0" w:footer="0" w:header="0"/>
          <w:type w:val="continuous"/>
        </w:sect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w:t>
            </w:r>
          </w:p>
        </w:tc>
        <w:tc>
          <w:tcPr>
            <w:tcW w:w="3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Inventories</w:t>
            </w:r>
          </w:p>
        </w:tc>
        <w:tc>
          <w:tcPr>
            <w:tcW w:w="3540" w:type="dxa"/>
            <w:vAlign w:val="bottom"/>
          </w:tcPr>
          <w:p>
            <w:pPr>
              <w:jc w:val="right"/>
              <w:ind w:right="172"/>
              <w:spacing w:after="0"/>
              <w:rPr>
                <w:sz w:val="20"/>
                <w:szCs w:val="20"/>
                <w:color w:val="auto"/>
              </w:rPr>
            </w:pPr>
            <w:r>
              <w:rPr>
                <w:rFonts w:ascii="Arial" w:cs="Arial" w:eastAsia="Arial" w:hAnsi="Arial"/>
                <w:sz w:val="18"/>
                <w:szCs w:val="18"/>
                <w:color w:val="auto"/>
              </w:rPr>
              <w:t>$  61,395</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42,618</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$ 104,013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3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57,940</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6,293</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64,233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3540" w:type="dxa"/>
            <w:vAlign w:val="bottom"/>
          </w:tcPr>
          <w:p>
            <w:pPr>
              <w:jc w:val="right"/>
              <w:ind w:right="172"/>
              <w:spacing w:after="0"/>
              <w:rPr>
                <w:sz w:val="20"/>
                <w:szCs w:val="20"/>
                <w:color w:val="auto"/>
              </w:rPr>
            </w:pPr>
            <w:r>
              <w:rPr>
                <w:rFonts w:ascii="Arial" w:cs="Arial" w:eastAsia="Arial" w:hAnsi="Arial"/>
                <w:sz w:val="18"/>
                <w:szCs w:val="18"/>
                <w:color w:val="auto"/>
              </w:rPr>
              <w:t>81,403</w:t>
            </w:r>
          </w:p>
        </w:tc>
        <w:tc>
          <w:tcPr>
            <w:tcW w:w="600" w:type="dxa"/>
            <w:vAlign w:val="bottom"/>
          </w:tcPr>
          <w:p>
            <w:pPr>
              <w:spacing w:after="0"/>
              <w:rPr>
                <w:sz w:val="18"/>
                <w:szCs w:val="18"/>
                <w:color w:val="auto"/>
              </w:rPr>
            </w:pP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81,403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35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23,086</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9,171</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32,257</w:t>
            </w: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Capital expenditures</w:t>
            </w:r>
          </w:p>
        </w:tc>
        <w:tc>
          <w:tcPr>
            <w:tcW w:w="3540" w:type="dxa"/>
            <w:vAlign w:val="bottom"/>
          </w:tcPr>
          <w:p>
            <w:pPr>
              <w:jc w:val="right"/>
              <w:ind w:right="172"/>
              <w:spacing w:after="0"/>
              <w:rPr>
                <w:sz w:val="20"/>
                <w:szCs w:val="20"/>
                <w:color w:val="auto"/>
              </w:rPr>
            </w:pPr>
            <w:r>
              <w:rPr>
                <w:rFonts w:ascii="Arial" w:cs="Arial" w:eastAsia="Arial" w:hAnsi="Arial"/>
                <w:sz w:val="18"/>
                <w:szCs w:val="18"/>
                <w:color w:val="auto"/>
              </w:rPr>
              <w:t>1,347</w:t>
            </w:r>
          </w:p>
        </w:tc>
        <w:tc>
          <w:tcPr>
            <w:tcW w:w="600" w:type="dxa"/>
            <w:vAlign w:val="bottom"/>
          </w:tcPr>
          <w:p>
            <w:pPr>
              <w:spacing w:after="0"/>
              <w:rPr>
                <w:sz w:val="19"/>
                <w:szCs w:val="19"/>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662</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2,009</w:t>
            </w:r>
          </w:p>
        </w:tc>
      </w:tr>
    </w:tbl>
    <w:p>
      <w:pPr>
        <w:spacing w:after="0" w:line="134" w:lineRule="exact"/>
        <w:rPr>
          <w:sz w:val="20"/>
          <w:szCs w:val="20"/>
          <w:color w:val="auto"/>
        </w:rPr>
      </w:pPr>
    </w:p>
    <w:p>
      <w:pPr>
        <w:ind w:right="9260" w:firstLine="13"/>
        <w:spacing w:after="0" w:line="394" w:lineRule="auto"/>
        <w:tabs>
          <w:tab w:leader="none" w:pos="268"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Related Party Transactions </w:t>
      </w:r>
      <w:r>
        <w:rPr>
          <w:rFonts w:ascii="Arial" w:cs="Arial" w:eastAsia="Arial" w:hAnsi="Arial"/>
          <w:sz w:val="15"/>
          <w:szCs w:val="15"/>
          <w:u w:val="single" w:color="auto"/>
          <w:color w:val="auto"/>
        </w:rPr>
        <w:t>Loan to Executive</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June 2000, the Company extended a loan to David A. Levin, its President and Chief Executive Officer, in the amount of $196,875 in order for Mr. Levin to acquire from the Company 150,000 newly issued shares of the Company’s Common Stock at the closing price of the Common Stock on that day. The Company and Mr. Levin entered into a secured promissory note, whereby Mr. Levin agreed to pay to the Company the principal sum of $196,875 plus interest due and payable on June 26, 2003. The promissory note provided for interest at a rate of 6.53% per annum and was secured by the 150,000 acquired shares of the Company’s Common Stock.</w:t>
      </w:r>
    </w:p>
    <w:p>
      <w:pPr>
        <w:sectPr>
          <w:pgSz w:w="11900" w:h="16838" w:orient="portrait"/>
          <w:cols w:equalWidth="0" w:num="1">
            <w:col w:w="11420"/>
          </w:cols>
          <w:pgMar w:left="240" w:top="280" w:right="239" w:bottom="1440" w:gutter="0" w:footer="0" w:header="0"/>
          <w:type w:val="continuous"/>
        </w:sectPr>
      </w:pPr>
    </w:p>
    <w:bookmarkStart w:id="11" w:name="page12"/>
    <w:bookmarkEnd w:id="1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April 30, 2003, Mr. Levin satisfied his obligations under the promissory note through the delivery to the Company of 52,694 shares of the Company’s Common Stock with a fair market value of $233,435, which represented the outstanding principal and interest through April 30, 2003. The Company accounted for the 52,694 shares received from Mr. Levin as treasury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Extension of Jewelcor Management Inc. Consulting Agreement</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April 28, 2003, the Board of Directors of the Company approved an extension to the Company’s consulting agreement with Jewelcor Management Inc. (“JMI”) for an additional three-year term commencing on April 29, 2003 and ending on April 28, 2006. The extension of the consulting agreement will automatically renew each year thereafter on its anniversary date for additional one-year terms, unless either party notifies the other at least ninety days prior to the end of the then-current term. Under the consulting agreement, the Company will compensate JMI, annually, through the issuance of non-forfeitable and fully vested shares of the Company’s Common Stock with a fair value equal to $276,000 on the date of grant. Accordingly, as payment for services to be rendered under this agreement through April 28, 2004, the Company issued to JMI 70,769 non-forfeitable and fully vested shares of Common Stock. The fair value of those shares as of April 28, 2003 was $276,000 or $3.90 per share. Seymour Holtzman, the Chairman of the Company’s Board of Directors and the beneficial holder of approximately 12% of the Company’s outstanding Common Stock (principally held by JMI), is also the President and Chief Executive Officer, and indirectly, with his wife, the primary shareholder of JMI.</w:t>
      </w:r>
    </w:p>
    <w:p>
      <w:pPr>
        <w:sectPr>
          <w:pgSz w:w="11900" w:h="16838" w:orient="portrait"/>
          <w:cols w:equalWidth="0" w:num="1">
            <w:col w:w="11400"/>
          </w:cols>
          <w:pgMar w:left="240" w:top="28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Casual Male Retail Group, Inc. (formerly known as Designs, Inc.) together with its subsidiaries (the “Company”) is the largest specialty apparel retailer of big and tall men’s apparel, with a presence throughout the United States and Puerto Rico.</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business of the Company, which historically had been the operation of outlet stores selling Levi Strauss &amp; Co. and other well-known branded apparel, changed dramatically during fiscal 2003. Approximately one year ago, on May 14, 2002, the Company completed its acquisition of substantially all of the assets of Casual Male Corp. and certain of its subsidiaries (“Casual Male”) for a purchase price of approximately $170 million, plus the assumption of certain operating liabilities. Casual Male, which had been operating under the protection of the U.S. Bankruptcy Court, was a leading independent specialty retailer of fashion, casual and dress apparel for big and tall men, with annual sales that exceeded $350 million.</w:t>
      </w:r>
    </w:p>
    <w:p>
      <w:pPr>
        <w:spacing w:after="0" w:line="10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saw significant opportunities from the Casual Male acquisition and believed the newly acquired multi-channel Casual Male business represented the future growth vehicle for the Company. As a result of this shift in business direction, in the third quarter of fiscal 2003, the Company changed its name from Designs, Inc. to Casual Male Retail Group, Inc.</w:t>
      </w:r>
    </w:p>
    <w:p>
      <w:pPr>
        <w:spacing w:after="0" w:line="127"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In the second quarter of fiscal 2003, following the Casual Male acquisition, the Company announced that it would be exiting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business. Throughout fiscal 2003, the Company continued to see erosion in the Levi Strauss &amp; Co. brands in the marketplace, and merchandising initiatives developed with Levi Strauss &amp; Co. to stimulate sales were not sufficient. This resulted in the Company implementing an aggressive plan to downsize its Levi’s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and ultimately to exit the business completely. The Company plans to close between 50 to 55 stores over the next 24 months, thereby reducing the sales base of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to less than 10% of the Company’s total sales. The Company expects that the remaining 30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stores will either be closed at the end of their respective lease terms or otherwise be divested in a sales transaction.</w:t>
      </w:r>
    </w:p>
    <w:p>
      <w:pPr>
        <w:spacing w:after="0" w:line="145"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Also in the second quarter of fiscal 2003, the Company decided to exit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by transferring the operations of seven of its twelve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to Candies, Inc. for a period of 12 to 18 months. After that time, Candies, Inc. will either purchase the seven stores from the Company or the stores will be closed. Four of the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not transferred to Candies, Inc., were converted to Casual Male and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The remaining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 was closed. In connection with its decision to exit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and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the Company recorded restructuring charges in fiscal 2003 totaling $41.3 million. This charge is discussed in full under “Restructuring and Impairment of Assets-Fiscal 2003.”</w:t>
      </w:r>
    </w:p>
    <w:p>
      <w:pPr>
        <w:spacing w:after="0" w:line="145" w:lineRule="exact"/>
        <w:rPr>
          <w:sz w:val="20"/>
          <w:szCs w:val="20"/>
          <w:color w:val="auto"/>
        </w:rPr>
      </w:pPr>
    </w:p>
    <w:p>
      <w:pPr>
        <w:jc w:val="both"/>
        <w:ind w:right="60"/>
        <w:spacing w:after="0" w:line="273" w:lineRule="auto"/>
        <w:rPr>
          <w:sz w:val="20"/>
          <w:szCs w:val="20"/>
          <w:color w:val="auto"/>
        </w:rPr>
      </w:pPr>
      <w:r>
        <w:rPr>
          <w:rFonts w:ascii="Arial" w:cs="Arial" w:eastAsia="Arial" w:hAnsi="Arial"/>
          <w:sz w:val="18"/>
          <w:szCs w:val="18"/>
          <w:color w:val="auto"/>
        </w:rPr>
        <w:t>In the first quarter of fiscal 2003, the Company entered into a joint venture with EcKo Complex, LLC (“EcKo”), a leading design-driven lifestyle brand targeting young men and women with worldwide annual sales exceeding $200 million. Under this joint venture agreement, the Company will exclusively open and operate 75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branded outlet stores throughout the United States over a six-year period.</w:t>
      </w:r>
    </w:p>
    <w:p>
      <w:pPr>
        <w:spacing w:after="0" w:line="38" w:lineRule="exact"/>
        <w:rPr>
          <w:sz w:val="20"/>
          <w:szCs w:val="20"/>
          <w:color w:val="auto"/>
        </w:rPr>
      </w:pPr>
    </w:p>
    <w:p>
      <w:pPr>
        <w:jc w:val="both"/>
        <w:ind w:right="100"/>
        <w:spacing w:after="0" w:line="285" w:lineRule="auto"/>
        <w:rPr>
          <w:sz w:val="20"/>
          <w:szCs w:val="20"/>
          <w:color w:val="auto"/>
        </w:rPr>
      </w:pPr>
      <w:r>
        <w:rPr>
          <w:rFonts w:ascii="Arial" w:cs="Arial" w:eastAsia="Arial" w:hAnsi="Arial"/>
          <w:sz w:val="16"/>
          <w:szCs w:val="16"/>
          <w:color w:val="auto"/>
        </w:rPr>
        <w:t>The decision to exit the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businesses enables the Company to focus its capital resources and energies on its more profitable and recently acquired Casual Male business. At May 3, 2003, the operating structure of the Company consisted of 474 Casual Male Big &amp; Tall stores, the Casual Male catalog and e-commerce business, its 82 remaining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and nine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of the Company’s results of operations include the results of Casual Male since May 14, 2002, the date of the Company’s acquisition of Casual Male. As a result of the Casual Male acquisition, the Company has refined its business into two reportable business segments: (i) the Casual Male business and (ii) the Other Branded</w:t>
      </w:r>
    </w:p>
    <w:p>
      <w:pPr>
        <w:sectPr>
          <w:pgSz w:w="11900" w:h="16838" w:orient="portrait"/>
          <w:cols w:equalWidth="0" w:num="1">
            <w:col w:w="11420"/>
          </w:cols>
          <w:pgMar w:left="240" w:top="274" w:right="239" w:bottom="1440" w:gutter="0" w:footer="0" w:header="0"/>
        </w:sectPr>
      </w:pPr>
    </w:p>
    <w:bookmarkStart w:id="13" w:name="page14"/>
    <w:bookmarkEnd w:id="13"/>
    <w:p>
      <w:pPr>
        <w:ind w:right="820"/>
        <w:spacing w:after="0" w:line="3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Apparel businesses. The Company’s Casual Male business includes its retail and outlet Casual Male Big &amp; Tall stores, and its catalog and e-commerce businesses. The Other Branded Apparel businesses includes the Company’s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and its EcKo Unltd.</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w:t>
      </w:r>
    </w:p>
    <w:p>
      <w:pPr>
        <w:spacing w:after="0" w:line="1"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The Casual Male business represented 73% of the Company’s sales for the first three months of fiscal 2004. Of the Company’s consolidated operating profit of $0.2 million, the Casual Male business contributed $2.4 million of operating profit. Because of the substantial materiality of the Casual Male business to the Company’s consolidated results of operations for the first quarter of fiscal 2004, the following discussion of operating results includes the historical results of Casual Male, on a pro forma basis, assuming that the Company had acquired Casual Male on February 3, 2002. Management believes that this information is necessary in order to provide a complete and balanced discussion of the results of operations for the first quarter of fiscal 2004 as compared with the first quarter of fiscal 2003. The pro forma results are the historical results in accordance with generally accepted accounting principles as reported by Casual Male Corp., and the Company has not made any adjustments. Such historical results are only included in the discussion below and are not included in the following tables.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Total sales from continuing operations, by segment, for the first quarter of fiscal 2004 and the corresponding first quarter of fiscal 2003 were as follows:</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May 3, 2003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7"/>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 to</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7"/>
              </w:rPr>
              <w:t>Sales</w:t>
            </w:r>
          </w:p>
        </w:tc>
        <w:tc>
          <w:tcPr>
            <w:tcW w:w="260" w:type="dxa"/>
            <w:vAlign w:val="bottom"/>
          </w:tcPr>
          <w:p>
            <w:pPr>
              <w:spacing w:after="0"/>
              <w:rPr>
                <w:sz w:val="15"/>
                <w:szCs w:val="15"/>
                <w:color w:val="auto"/>
              </w:rPr>
            </w:pPr>
          </w:p>
        </w:tc>
        <w:tc>
          <w:tcPr>
            <w:tcW w:w="9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5"/>
                <w:szCs w:val="15"/>
                <w:color w:val="auto"/>
              </w:rPr>
            </w:pPr>
          </w:p>
        </w:tc>
        <w:tc>
          <w:tcPr>
            <w:tcW w:w="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Sales</w:t>
            </w:r>
          </w:p>
        </w:tc>
        <w:tc>
          <w:tcPr>
            <w:tcW w:w="28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6"/>
          </w:tcPr>
          <w:p>
            <w:pPr>
              <w:ind w:left="300"/>
              <w:spacing w:after="0"/>
              <w:rPr>
                <w:sz w:val="20"/>
                <w:szCs w:val="20"/>
                <w:color w:val="auto"/>
              </w:rPr>
            </w:pPr>
            <w:r>
              <w:rPr>
                <w:rFonts w:ascii="Arial" w:cs="Arial" w:eastAsia="Arial" w:hAnsi="Arial"/>
                <w:sz w:val="14"/>
                <w:szCs w:val="14"/>
                <w:b w:val="1"/>
                <w:bCs w:val="1"/>
                <w:i w:val="1"/>
                <w:iCs w:val="1"/>
                <w:color w:val="auto"/>
              </w:rPr>
              <w:t>(dollars in thousands)</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business</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73.0%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Other Branded Apparel businesses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26.9</w:t>
            </w:r>
          </w:p>
        </w:tc>
        <w:tc>
          <w:tcPr>
            <w:tcW w:w="1240" w:type="dxa"/>
            <w:vAlign w:val="bottom"/>
            <w:gridSpan w:val="4"/>
          </w:tcPr>
          <w:p>
            <w:pPr>
              <w:jc w:val="right"/>
              <w:ind w:right="440"/>
              <w:spacing w:after="0"/>
              <w:rPr>
                <w:sz w:val="20"/>
                <w:szCs w:val="20"/>
                <w:color w:val="auto"/>
              </w:rPr>
            </w:pPr>
            <w:r>
              <w:rPr>
                <w:rFonts w:ascii="Arial" w:cs="Arial" w:eastAsia="Arial" w:hAnsi="Arial"/>
                <w:sz w:val="18"/>
                <w:szCs w:val="18"/>
                <w:color w:val="auto"/>
              </w:rPr>
              <w:t>27.0%</w:t>
            </w:r>
          </w:p>
        </w:tc>
        <w:tc>
          <w:tcPr>
            <w:tcW w:w="8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$32.3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Consolidated Sales</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840" w:type="dxa"/>
            <w:vAlign w:val="bottom"/>
            <w:gridSpan w:val="3"/>
            <w:shd w:val="clear" w:color="auto" w:fill="CCEEFF"/>
          </w:tcPr>
          <w:p>
            <w:pPr>
              <w:jc w:val="center"/>
              <w:ind w:left="352"/>
              <w:spacing w:after="0"/>
              <w:rPr>
                <w:sz w:val="20"/>
                <w:szCs w:val="20"/>
                <w:color w:val="auto"/>
              </w:rPr>
            </w:pPr>
            <w:r>
              <w:rPr>
                <w:rFonts w:ascii="Arial" w:cs="Arial" w:eastAsia="Arial" w:hAnsi="Arial"/>
                <w:sz w:val="18"/>
                <w:szCs w:val="18"/>
                <w:color w:val="auto"/>
                <w:w w:val="88"/>
              </w:rPr>
              <w:t>$32.3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-29210</wp:posOffset>
            </wp:positionV>
            <wp:extent cx="26162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6162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For the first quarter of fiscal 2004, the Casual Male business had sales of $72.8 million, compared to sales for the first quarter of fiscal 2003, on a pro forma basis, of $78.4 million, or a decrease of 7.1%. Comparable store sales for the Casual Male business decreased 5.1% when compared to sales on a pro forma basis for the corresponding period of the prior year. Although this decrease in sales was partially due to the unseasonably cool and wet weather experienced in the Northeastern United States and by a generally poor retail environment, it was also a result of merchandise issues within the Company. Since acquiring the Casual Male business almost a year ago, the Company has identified several merchandising issues, which it believes have been impeding sales. The Company has instituted initiatives to improve merchandise assortments, enhance sizes of merchandise, and improve merchandising processes to better serve its customer base.</w:t>
      </w:r>
    </w:p>
    <w:p>
      <w:pPr>
        <w:spacing w:after="0" w:line="91"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The Company’s Other Branded Apparel businesses, exclusive of stores closed as described below under “Discontinued Operations”, experienced a 16.7% decrease in sales for the first quarter of fiscal 2004 as compared to the first quarter of fiscal 2003. This decrease, which primarily relates to the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continues to be primarily due to the erosion of the Levi Strauss &amp; Co. brands. The Company’s exit strategy for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is also having a negative impact on sales. For fiscal 2004, this segment includes sales of approximately $2.0 million from the Company’s nine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Below are the gross margin percentages by segment for the three months ended May 3, 2003 and May 4, 2002, respectively. These percentages, which include occupancy costs, were calculated based on each segment’s respective sales base.</w:t>
      </w:r>
    </w:p>
    <w:p>
      <w:pPr>
        <w:spacing w:after="0" w:line="11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1880" w:type="dxa"/>
            <w:vAlign w:val="bottom"/>
          </w:tcPr>
          <w:p>
            <w:pPr>
              <w:spacing w:after="0"/>
              <w:rPr>
                <w:sz w:val="15"/>
                <w:szCs w:val="15"/>
                <w:color w:val="auto"/>
              </w:rPr>
            </w:pPr>
          </w:p>
        </w:tc>
        <w:tc>
          <w:tcPr>
            <w:tcW w:w="18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May 3, 2003</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4"/>
          </w:tcPr>
          <w:p>
            <w:pPr>
              <w:ind w:left="12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4"/>
              </w:rPr>
              <w:t>Dollars</w:t>
            </w:r>
          </w:p>
        </w:tc>
        <w:tc>
          <w:tcPr>
            <w:tcW w:w="20" w:type="dxa"/>
            <w:vAlign w:val="bottom"/>
          </w:tcPr>
          <w:p>
            <w:pPr>
              <w:spacing w:after="0"/>
              <w:rPr>
                <w:sz w:val="22"/>
                <w:szCs w:val="22"/>
                <w:color w:val="auto"/>
              </w:rPr>
            </w:pPr>
          </w:p>
        </w:tc>
        <w:tc>
          <w:tcPr>
            <w:tcW w:w="1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440" w:type="dxa"/>
            <w:vAlign w:val="bottom"/>
          </w:tcPr>
          <w:p>
            <w:pPr>
              <w:spacing w:after="0"/>
              <w:rPr>
                <w:sz w:val="22"/>
                <w:szCs w:val="22"/>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Dollars</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2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(dollars in thousands)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business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$ 30.3</w:t>
            </w:r>
          </w:p>
        </w:tc>
        <w:tc>
          <w:tcPr>
            <w:tcW w:w="136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41.6%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 Branded Apparel business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360" w:type="dxa"/>
            <w:vAlign w:val="bottom"/>
            <w:gridSpan w:val="5"/>
          </w:tcPr>
          <w:p>
            <w:pPr>
              <w:jc w:val="right"/>
              <w:ind w:right="440"/>
              <w:spacing w:after="0"/>
              <w:rPr>
                <w:sz w:val="20"/>
                <w:szCs w:val="20"/>
                <w:color w:val="auto"/>
              </w:rPr>
            </w:pPr>
            <w:r>
              <w:rPr>
                <w:rFonts w:ascii="Arial" w:cs="Arial" w:eastAsia="Arial" w:hAnsi="Arial"/>
                <w:sz w:val="18"/>
                <w:szCs w:val="18"/>
                <w:color w:val="auto"/>
              </w:rPr>
              <w:t>19.0%</w:t>
            </w: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w w:val="87"/>
              </w:rPr>
              <w:t>7.3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Gross Margin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$ 35.4</w:t>
            </w:r>
          </w:p>
        </w:tc>
        <w:tc>
          <w:tcPr>
            <w:tcW w:w="136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35.5%</w:t>
            </w:r>
          </w:p>
        </w:tc>
        <w:tc>
          <w:tcPr>
            <w:tcW w:w="6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7.3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4" w:name="page15"/>
    <w:bookmarkEnd w:id="1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first quarter of fiscal 2004, the gross margin rate for the Casual Male business of 41.6% decreased 0.8 percentage points, on a pro forma basis, when compared to a gross margin rate of 42.4% for the first quarter of fiscal 2003. This decrease was solely attributable to a 1.5 percentage point increase in occupancy costs as a percent of sales. Since occupancy costs are generally fixed costs, decreases in sales cause occupancy costs as a percentage of sales to increase. This increase in occupancy costs as a percentage of sales was partially offset by a 0.6 percentage point increase in merchandise margins from improved initial margin as a result of favorable costs on merchandise receipts, which are expected to continue throughout fiscal 2004.</w:t>
      </w:r>
    </w:p>
    <w:p>
      <w:pPr>
        <w:spacing w:after="0" w:line="10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gross margin rate for the Company’s Other Branded Apparel businesses was 19.0% for the first quarter of fiscal 2004 as compared to 22.5% for the first quarter of the prior year. The 3.5 percentage point decrease was due to an increase in occupancy costs of approximately 4.4 percentage points, as a result of the segment’s 16.7% sales decrease from the corresponding quarter of the prior year. This decrease was slightly offset by an increase in merchandise margins. Even with the Company’s plan to exit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the Company expects that it will be able to maintain this improved merchandise margin throughout the remainder of fiscal 2004.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7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Selling, general and administrative (“SG&amp;A”) expenses as a percentage of sales for the three months ended May 3, 2003 were 33.2% of sales as compared to 25.1% for the three months ended May 4, 2002. Below are SG&amp;A expenses by segment for the three months ended May 3, 2003 and May 4, 2002, respectively. The corresponding percentages were calculated based on each segment’s respective sales base.</w:t>
      </w:r>
    </w:p>
    <w:p>
      <w:pPr>
        <w:spacing w:after="0" w:line="89"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1200" w:type="dxa"/>
            <w:vAlign w:val="bottom"/>
          </w:tcPr>
          <w:p>
            <w:pPr>
              <w:spacing w:after="0"/>
              <w:rPr>
                <w:sz w:val="15"/>
                <w:szCs w:val="15"/>
                <w:color w:val="auto"/>
              </w:rPr>
            </w:pPr>
          </w:p>
        </w:tc>
        <w:tc>
          <w:tcPr>
            <w:tcW w:w="18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May 3, 2003</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4"/>
          </w:tcPr>
          <w:p>
            <w:pPr>
              <w:ind w:left="12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4"/>
              </w:rPr>
              <w:t>Dollars</w:t>
            </w:r>
          </w:p>
        </w:tc>
        <w:tc>
          <w:tcPr>
            <w:tcW w:w="20" w:type="dxa"/>
            <w:vAlign w:val="bottom"/>
          </w:tcPr>
          <w:p>
            <w:pPr>
              <w:spacing w:after="0"/>
              <w:rPr>
                <w:sz w:val="22"/>
                <w:szCs w:val="22"/>
                <w:color w:val="auto"/>
              </w:rPr>
            </w:pPr>
          </w:p>
        </w:tc>
        <w:tc>
          <w:tcPr>
            <w:tcW w:w="1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440" w:type="dxa"/>
            <w:vAlign w:val="bottom"/>
          </w:tcPr>
          <w:p>
            <w:pPr>
              <w:spacing w:after="0"/>
              <w:rPr>
                <w:sz w:val="22"/>
                <w:szCs w:val="22"/>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Dollars</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2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(dollars in thousands)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business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$ 26.3</w:t>
            </w:r>
          </w:p>
        </w:tc>
        <w:tc>
          <w:tcPr>
            <w:tcW w:w="136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36.1%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Other Branded Apparel businesses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360" w:type="dxa"/>
            <w:vAlign w:val="bottom"/>
            <w:gridSpan w:val="5"/>
          </w:tcPr>
          <w:p>
            <w:pPr>
              <w:jc w:val="right"/>
              <w:ind w:right="440"/>
              <w:spacing w:after="0"/>
              <w:rPr>
                <w:sz w:val="20"/>
                <w:szCs w:val="20"/>
                <w:color w:val="auto"/>
              </w:rPr>
            </w:pPr>
            <w:r>
              <w:rPr>
                <w:rFonts w:ascii="Arial" w:cs="Arial" w:eastAsia="Arial" w:hAnsi="Arial"/>
                <w:sz w:val="18"/>
                <w:szCs w:val="18"/>
                <w:color w:val="auto"/>
              </w:rPr>
              <w:t>25.3%</w:t>
            </w: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w w:val="87"/>
              </w:rPr>
              <w:t>8.1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$ 33.1</w:t>
            </w:r>
          </w:p>
        </w:tc>
        <w:tc>
          <w:tcPr>
            <w:tcW w:w="136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33.2%</w:t>
            </w:r>
          </w:p>
        </w:tc>
        <w:tc>
          <w:tcPr>
            <w:tcW w:w="6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8.1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increase in SG&amp;A expenses as a percentage of sales for the three months ended May 3, 2003 was due principally to the addition of the Casual Male cost structure to the Company’s existing low cost base. For the three months ended May 3, 2003, SG&amp;A expenses for the Casual Male business were approximately 36.1% of sales as compared to 39.9% on a pro forma basis for the corresponding period of the prior year. This improvement of 3.8 percentage points, or $5.0 million, is due to the Company’s cost reduction initiatives implemented last year. As a result of these initiatives, the Company has been able to reduce operating expenses by approximately $20 million on an annualized basis. Within the next 12 months, as planned systems enhancements are completed, the Company expects to achieve $25 million in annualized cost savings.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color w:val="auto"/>
        </w:rPr>
        <w:t>Depreciation and amortization expense for the three months ended May 3, 2003 increased $0.8 million to $2.1 million as compared to $1.3 million for the three months ended May 4, 2002. The increase over the prior year was due to the addition of approximately $52.9 million in assets acquired in connection with the Casual Male acquisition. The increase was offset partially by the $14.4 million in impaired assets which the Company wrote off in connection with the restructuring charges recorded in fiscal 2003 related to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Net interest expense was $2.9 million for the three months ended May 3, 2003 as compared to $0.4 for the corresponding period in the prior year. The increase in interest expense was due to the increased debt levels of the Company as a result of the Casual Male acquisition. The Company issued approximately $50 million of long-term debt and borrowed approximately $30.2 million under the Credit Facility in connection with the acquisition. The Company also assumed a $12.2 million mortgage as part of the acquisition. The average annual interest rate of this additional debt is approximately 8.3% on an annualized basis.</w:t>
      </w:r>
    </w:p>
    <w:p>
      <w:pPr>
        <w:sectPr>
          <w:pgSz w:w="11900" w:h="16838" w:orient="portrait"/>
          <w:cols w:equalWidth="0" w:num="1">
            <w:col w:w="11380"/>
          </w:cols>
          <w:pgMar w:left="240" w:top="280"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Discontinued Operations</w:t>
      </w:r>
    </w:p>
    <w:p>
      <w:pPr>
        <w:spacing w:after="0" w:line="7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 xml:space="preserve">In accordance with the provisions of SFAS 144, </w:t>
      </w:r>
      <w:r>
        <w:rPr>
          <w:rFonts w:ascii="Arial" w:cs="Arial" w:eastAsia="Arial" w:hAnsi="Arial"/>
          <w:sz w:val="17"/>
          <w:szCs w:val="17"/>
          <w:i w:val="1"/>
          <w:iCs w:val="1"/>
          <w:color w:val="auto"/>
        </w:rPr>
        <w:t>Accounting for the Impairment or Disposal of Long-Lived Assets</w:t>
      </w:r>
      <w:r>
        <w:rPr>
          <w:rFonts w:ascii="Arial" w:cs="Arial" w:eastAsia="Arial" w:hAnsi="Arial"/>
          <w:sz w:val="17"/>
          <w:szCs w:val="17"/>
          <w:color w:val="auto"/>
        </w:rPr>
        <w:t>, the Company’s discontinued operations reflect the operating results for stores which have been closed as part of the Company’s plan to exit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businesses. The results for the quarter which ended May 4, 2002 have been reclassified to show the results of operations for the Company’s 21 closed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and the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 business as discontinued operations. Due to the consolidated tax position of the Company, no tax benefit or provision was realized on discontinued operations for the first quarters of fiscal 2004 and fiscal 2003. Below is a summary of the results of operations for these closed stores for the three months ended May 3, 2003 and May 4, 2002:</w:t>
      </w:r>
    </w:p>
    <w:p>
      <w:pPr>
        <w:spacing w:after="0" w:line="13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May 3, 2003</w:t>
            </w: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w w:val="95"/>
              </w:rPr>
              <w:t>May 4, 2002</w:t>
            </w:r>
          </w:p>
        </w:tc>
      </w:tr>
      <w:tr>
        <w:trPr>
          <w:trHeight w:val="95"/>
        </w:trPr>
        <w:tc>
          <w:tcPr>
            <w:tcW w:w="218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1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4"/>
          </w:tcPr>
          <w:p>
            <w:pPr>
              <w:ind w:left="400"/>
              <w:spacing w:after="0"/>
              <w:rPr>
                <w:sz w:val="20"/>
                <w:szCs w:val="20"/>
                <w:color w:val="auto"/>
              </w:rPr>
            </w:pPr>
            <w:r>
              <w:rPr>
                <w:rFonts w:ascii="Arial" w:cs="Arial" w:eastAsia="Arial" w:hAnsi="Arial"/>
                <w:sz w:val="14"/>
                <w:szCs w:val="14"/>
                <w:b w:val="1"/>
                <w:bCs w:val="1"/>
                <w:i w:val="1"/>
                <w:iCs w:val="1"/>
                <w:color w:val="auto"/>
                <w:w w:val="93"/>
              </w:rPr>
              <w:t>(in thousands)</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4,124</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Gross profit, net of occupancy costs</w:t>
            </w:r>
          </w:p>
        </w:tc>
        <w:tc>
          <w:tcPr>
            <w:tcW w:w="24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60" w:type="dxa"/>
            <w:vAlign w:val="bottom"/>
          </w:tcPr>
          <w:p>
            <w:pPr>
              <w:spacing w:after="0"/>
              <w:rPr>
                <w:sz w:val="18"/>
                <w:szCs w:val="18"/>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w:t>
            </w:r>
          </w:p>
        </w:tc>
        <w:tc>
          <w:tcPr>
            <w:tcW w:w="60" w:type="dxa"/>
            <w:vAlign w:val="bottom"/>
            <w:shd w:val="clear" w:color="auto" w:fill="CCEEFF"/>
          </w:tcPr>
          <w:p>
            <w:pPr>
              <w:spacing w:after="0"/>
              <w:rPr>
                <w:sz w:val="18"/>
                <w:szCs w:val="18"/>
                <w:color w:val="auto"/>
              </w:rPr>
            </w:pP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9"/>
                <w:szCs w:val="19"/>
                <w:color w:val="auto"/>
              </w:rPr>
            </w:pPr>
          </w:p>
        </w:tc>
      </w:tr>
      <w:tr>
        <w:trPr>
          <w:trHeight w:val="102"/>
        </w:trPr>
        <w:tc>
          <w:tcPr>
            <w:tcW w:w="21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1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9"/>
                <w:szCs w:val="19"/>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21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1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(101)</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r>
      <w:tr>
        <w:trPr>
          <w:trHeight w:val="132"/>
        </w:trPr>
        <w:tc>
          <w:tcPr>
            <w:tcW w:w="21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fiscal 2003, as a result of the net loss incurred by the Company and the potential that its remaining net deferred tax assets may not be realizable, the Company recorded an additional charge of approximately $8.0 million, fully reserving the Company’s deferred tax assets at February 1, 2003.</w:t>
      </w:r>
    </w:p>
    <w:p>
      <w:pPr>
        <w:spacing w:after="0" w:line="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 xml:space="preserve">In accordance with the provisions of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for the three months ended May 3, 2003, the Company has fully reserved its first quarter tax benefit of approximately $992,000 until the Company is able to demonstrate its ability to fully utilize its deferred tax assets through profits.</w:t>
      </w:r>
    </w:p>
    <w:p>
      <w:pPr>
        <w:spacing w:after="0" w:line="7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At May 3, 2003, the Company has gross deferred tax assets of approximately $35.4 million, which relate principally to federal net operating loss carryforwards that expire from 2017 through 2023. The ability to reduce the Company’s corresponding valuation allowance of $35.4 million in the future is dependent upon the Company’s ability to achieve sustained taxable income, which would allow for the utilization of the deferred tax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three months ended May 3, 2003, the Company reported a net loss of $2.8 million, or $(0.08) per diluted share, as compared to a net loss of $1.8 million, or $(0.12) per diluted share for the corresponding three months of the prior year.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Impairment of Assets—Fiscal 2003</w:t>
      </w:r>
    </w:p>
    <w:p>
      <w:pPr>
        <w:spacing w:after="0" w:line="77"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During the second and fourth quarters of fiscal 2003, the Company recorded charges totaling $41.3 million related to the Company’s decision to downsize, with the intent of eventually exiting, its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business, the Company’s transfer of its Candies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business to Candies, Inc. and integration costs associated with the combination of the Casual Male and Designs businesses. Of the total $41.3 million in restructuring charges: (i) $7.8 million related to the Company’s fiscal 2003 discontinued operations which included the closing of 20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stores and the exiting of its Candies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which were both completed in fiscal 2003; (ii) $21.9 million related to the future closing of the remaining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stores; (iii) $3.6 million related to the integration plan to combine the operations of Casual Male with the Company; and (iv) $8.0 million related to the impairment of certain tax assets. Through the end of the first quarter of fiscal 2004, the Company had closed 21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stores and had completely transferred its Candies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business to Candies, Inc.</w:t>
      </w:r>
    </w:p>
    <w:p>
      <w:pPr>
        <w:sectPr>
          <w:pgSz w:w="11900" w:h="16838" w:orient="portrait"/>
          <w:cols w:equalWidth="0" w:num="1">
            <w:col w:w="11360"/>
          </w:cols>
          <w:pgMar w:left="240" w:top="280"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SEASONALITY</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Historically and consistent with the retail industry, the Company has experienced seasonal fluctuations in revenues and income, with increases traditionally occurring during the Company’s third and fourth quarters as a result of the “Fall” and “Holiday” seasons. The Company’s first quarter, which typically represents approximately 20 to 22 percent of its full year revenues, has historically been the Company’s lowest sales volume and as a result has historically resulted in a net operating loss.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primary cash needs are for working capital (essentially inventory requirements) and capital expenditures. Specifically, the Company’s capital expenditure program includes projects for new store openings, downsizing or combining existing stores, and improvements and integration of its systems infrastructure. The Company expects that cash flow from operations, external borrowings and trade credit will enable it to finance its current working capital and expansion requirements.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three months of fiscal 2004, cash used for operations was $11.7 million as compared to $5.4 million for the corresponding period of the prior year. The increase in cash used for operations of $6.3 million was primarily due to the increased size of the Company since the Casual Male acquisition and the timing of payments for various working capital accounts.</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to cash flow from operations, the Company’s other primary source of working capital is its credit facility with Fleet Retail Finance, Inc. (the “Credit Facility”). The Credit Facility, which was amended May 14, 2002 in connection with the financing of the Casual Male acquisition, provides for a total commitment of $120.0 million with a $20.0 million carve-out for standby and documentary letters of credit. The Credit Facility expires May 14, 2005. The Company’s ability to borrow under the Credit Facility is determined using an availability formula based on eligible assets. The Company borrowed approximately $30.2 million under the Credit Facility in May 2002 to partially fund the Casual Male acquisition. At May 3, 2003, the Company had borrowings of approximately $68.5 million outstanding under the Credit Facility and had outstanding standby letters of credit totaling approximately $350,000 and outstanding documentary letters of credit of approximately $36,350, with unused availability of approximately $12.3 million. The Company anticipates that cash flow from operations and availability under the Credit Facility will be sufficient to meet all debt service requirements and operating needs of its business.</w:t>
      </w:r>
    </w:p>
    <w:p>
      <w:pPr>
        <w:spacing w:after="0" w:line="10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addition to approximately $30.2 million of financing from the Credit Facility, the Company financed the Casual Male acquisition through the issuance of $82.5 million of additional equity and approximately $50 million of new long-term debt with detachable warrants. The Company also assumed a mortgage note in the principal amount of approximately $12.2 million for Casual Male Corp.’s corporate headquarters and distribution center in Canton, Massachusetts. See Note 2 to the Notes to Consolidated Financial Statements for the three months ended May 3, 2003.</w:t>
      </w:r>
    </w:p>
    <w:p>
      <w:pPr>
        <w:spacing w:after="0" w:line="9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At May 3, 2003, total inventory equaled $104.0 million compared to $103.2 million at February 1, 2003. The Company continues to effectively manage its inventory levels despite its sales decreases during the first quarter. The Company continues to focus on reducing its inventory levels, and, on a comparative basis, the Company’s inventory levels are down over 10% from the prior year. Inventory at May 3, 2003 is net of approximately $10.2 million in inventory reserves related to the exiting of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w:t>
      </w:r>
    </w:p>
    <w:p>
      <w:pPr>
        <w:spacing w:after="0" w:line="4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Total cash outlays for capital expenditures for the first three months of fiscal 2004 were $2.0 million as compared to $0.5 million for the first three months of fiscal 2003. During the first three months of fiscal 2004, the Company opened three Casual Male Big &amp; Tall outlet stores, three Casual Male Big &amp; Tall retail stores and three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The Company also relocated two of its existing Casual Male retail stores to more favorable locations during the first quarter of fiscal 2004. The Company expects that its total capital expenditures for fiscal 2004 will be between $12.0 to $15.0 million, of which approximately $6.0 million will relate to store expansion. The remaining planned capital expenditures relate to the Company’s new systems infrastructure, which includes new merchandising and distribution systems.</w:t>
      </w:r>
    </w:p>
    <w:p>
      <w:pPr>
        <w:sectPr>
          <w:pgSz w:w="11900" w:h="16838" w:orient="portrait"/>
          <w:cols w:equalWidth="0" w:num="1">
            <w:col w:w="11400"/>
          </w:cols>
          <w:pgMar w:left="240" w:top="274" w:right="259" w:bottom="1440" w:gutter="0" w:footer="0" w:header="0"/>
        </w:sectPr>
      </w:pPr>
    </w:p>
    <w:bookmarkStart w:id="17" w:name="page18"/>
    <w:bookmarkEnd w:id="17"/>
    <w:p>
      <w:pPr>
        <w:ind w:right="200"/>
        <w:spacing w:after="0" w:line="33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expansion plans for the remainder of fiscal 2004 will focus on opening a total of seven Casual Male Big &amp; Tall retail stores, nine Casual Male Big &amp; Tall outlet stores and up to 17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The Company also plans to focus on expanding its catalog and e-commerce businesses.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September 17, 2002, which identifies certain risks and uncertainties that may have an impact on future earnings and the direction of the Company.</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ectPr>
          <w:pgSz w:w="11900" w:h="16838" w:orient="portrait"/>
          <w:cols w:equalWidth="0" w:num="1">
            <w:col w:w="11340"/>
          </w:cols>
          <w:pgMar w:left="240" w:top="280"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Quantitative and Qualitative Disclosures About Market Risk.</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effects of these and other potential exposures.</w:t>
      </w:r>
    </w:p>
    <w:p>
      <w:pPr>
        <w:spacing w:after="0" w:line="127"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The Company utilizes cash from operations and the Credit Facility to fund its working capital needs. The Credit Facility is not used for trading or speculative purposes. In addition, the Company has available letters of credit as sources of financing for its working capital requirements. Borrowings under the Credit Facility, which expires in May 2005, bear interest at variable rates based on FleetBoston, N.A.’s prime rate or the London Interbank Offering Rate (“LIBOR”). These interest rates at May 3, 2003 were 4.75% for prime based borrowings and included various LIBOR contracts with interest rates ranging from 3.99% to</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4.32%. Based upon sensitivity analysis as of May 3, 2003, a 50 basis point increase in interest rates would result in a potential annual increase in interest expense of approximately $318,000.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Within 90 days prior to the date of this quarterly report, the Company carried out an evaluation, under the supervision and with the participation of its management, including its Chief Executive Officer and Chief Financial Officer, of the effectiveness of the design and operation of its disclosure controls and procedures (as such term is defined in rules 13a-14(c) and 15d-14(c) under the Securities Exchange Act of 1934). Based on the foregoing, the Chief Executive Officer and Chief Financial Officer of the Company concluded that the Company’s disclosure controls and procedures were effective as of the evaluation date.</w:t>
      </w:r>
    </w:p>
    <w:p>
      <w:pPr>
        <w:spacing w:after="0" w:line="8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There have been no significant changes in the Company’s internal controls or in other factors that could significantly affect the Company’s internal controls subsequent to the date the Company completed its evaluation.</w:t>
      </w:r>
    </w:p>
    <w:p>
      <w:pPr>
        <w:sectPr>
          <w:pgSz w:w="11900" w:h="16838" w:orient="portrait"/>
          <w:cols w:equalWidth="0" w:num="1">
            <w:col w:w="11340"/>
          </w:cols>
          <w:pgMar w:left="240" w:top="274"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31" w:lineRule="exact"/>
        <w:rPr>
          <w:sz w:val="20"/>
          <w:szCs w:val="20"/>
          <w:color w:val="auto"/>
        </w:rPr>
      </w:pPr>
    </w:p>
    <w:p>
      <w:pPr>
        <w:ind w:left="820" w:right="420" w:hanging="678"/>
        <w:spacing w:after="0" w:line="268"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the Company, as amended (included as Exhibit 3.1 to Amendment No. 3 of the Company’s Registration Statement on Form S-1 (No. 33-13402), and incorporated herein by reference).*</w:t>
      </w:r>
    </w:p>
    <w:p>
      <w:pPr>
        <w:spacing w:after="0" w:line="37" w:lineRule="exact"/>
        <w:rPr>
          <w:sz w:val="20"/>
          <w:szCs w:val="20"/>
          <w:color w:val="auto"/>
        </w:rPr>
      </w:pPr>
    </w:p>
    <w:p>
      <w:pPr>
        <w:ind w:left="820" w:right="460" w:hanging="678"/>
        <w:spacing w:after="0" w:line="268" w:lineRule="auto"/>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to Restated Certificate of Incorporation, as amended, dated June 22, 1993 (included as Exhibit 3.2 to the Company’s Quarterly Report on Form 10-Q dated June 17, 1996, and incorporated herein by reference).*</w:t>
      </w:r>
    </w:p>
    <w:p>
      <w:pPr>
        <w:spacing w:after="0" w:line="37" w:lineRule="exact"/>
        <w:rPr>
          <w:sz w:val="20"/>
          <w:szCs w:val="20"/>
          <w:color w:val="auto"/>
        </w:rPr>
      </w:pPr>
    </w:p>
    <w:p>
      <w:pPr>
        <w:ind w:left="820" w:right="80" w:hanging="678"/>
        <w:spacing w:after="0" w:line="268" w:lineRule="auto"/>
        <w:tabs>
          <w:tab w:leader="none" w:pos="8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Amendment to Restated Certificate of Incorporation dated August 8, 2002 (included as Exhibit 3.3 to the Company’s Quarterly Report On Form 10-Q dated September 17, 2002, and incorporated herein by reference).*</w:t>
      </w:r>
    </w:p>
    <w:p>
      <w:pPr>
        <w:spacing w:after="0" w:line="37" w:lineRule="exact"/>
        <w:rPr>
          <w:sz w:val="20"/>
          <w:szCs w:val="20"/>
          <w:color w:val="auto"/>
        </w:rPr>
      </w:pPr>
    </w:p>
    <w:p>
      <w:pPr>
        <w:ind w:left="820" w:right="360" w:hanging="678"/>
        <w:spacing w:after="0" w:line="259" w:lineRule="auto"/>
        <w:tabs>
          <w:tab w:leader="none" w:pos="8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Certificate of Designations, Preferences and Rights of a Series of Preferred Stock of the Company establishing Series A Junior Participating Cumulative Preferred Stock dated May 1, 1995 (included as Exhibit 3.2 to the Company’s Annual Report on Form 10-K dated May 1, 1996, and incorporated herein by reference).*</w:t>
      </w:r>
    </w:p>
    <w:p>
      <w:pPr>
        <w:spacing w:after="0" w:line="46" w:lineRule="exact"/>
        <w:rPr>
          <w:sz w:val="20"/>
          <w:szCs w:val="20"/>
          <w:color w:val="auto"/>
        </w:rPr>
      </w:pPr>
    </w:p>
    <w:p>
      <w:pPr>
        <w:ind w:left="820" w:hanging="678"/>
        <w:spacing w:after="0" w:line="259" w:lineRule="auto"/>
        <w:tabs>
          <w:tab w:leader="none" w:pos="8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Certificate of Designations, Preferences and Relative, Participating, Optional and Other Special Rights and Qualifications, Limitations and Restrictions of Series B Convertible Preferred Stock dated May 14, 2002 (included as Exhibit 3.1 to the Company’s Form 8-K filed on May 23, 2002, and incorporated herein by reference).*</w:t>
      </w:r>
    </w:p>
    <w:p>
      <w:pPr>
        <w:spacing w:after="0" w:line="46" w:lineRule="exact"/>
        <w:rPr>
          <w:sz w:val="20"/>
          <w:szCs w:val="20"/>
          <w:color w:val="auto"/>
        </w:rPr>
      </w:pPr>
    </w:p>
    <w:p>
      <w:pPr>
        <w:ind w:left="820" w:right="320" w:hanging="678"/>
        <w:spacing w:after="0" w:line="268" w:lineRule="auto"/>
        <w:tabs>
          <w:tab w:leader="none" w:pos="8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By-Laws of the Company, as amended (included as Exhibit 3.4 to the Company’s Quarterly Report on Form 10-Q dated December 12, 2000, and incorporated herein by reference).*</w:t>
      </w:r>
    </w:p>
    <w:p>
      <w:pPr>
        <w:spacing w:after="0" w:line="37" w:lineRule="exact"/>
        <w:rPr>
          <w:sz w:val="20"/>
          <w:szCs w:val="20"/>
          <w:color w:val="auto"/>
        </w:rPr>
      </w:pPr>
    </w:p>
    <w:p>
      <w:pPr>
        <w:ind w:left="820" w:right="160" w:hanging="765"/>
        <w:spacing w:after="0" w:line="268"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1992 Stock Incentive Plan, as amended (included as Exhibit 10.1 to the Company’s Quarterly Report on Form 10-Q dated September 18, 2001, and incorporated herein by reference).*</w:t>
      </w:r>
    </w:p>
    <w:p>
      <w:pPr>
        <w:sectPr>
          <w:pgSz w:w="11900" w:h="16838" w:orient="portrait"/>
          <w:cols w:equalWidth="0" w:num="1">
            <w:col w:w="11340"/>
          </w:cols>
          <w:pgMar w:left="240" w:top="274" w:right="319" w:bottom="1440" w:gutter="0" w:footer="0" w:header="0"/>
        </w:sectPr>
      </w:pPr>
    </w:p>
    <w:bookmarkStart w:id="20" w:name="page21"/>
    <w:bookmarkEnd w:id="20"/>
    <w:p>
      <w:pPr>
        <w:ind w:right="220" w:hanging="765"/>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10.2</w:t>
      </w:r>
      <w:r>
        <w:rPr>
          <w:sz w:val="20"/>
          <w:szCs w:val="20"/>
          <w:color w:val="auto"/>
        </w:rPr>
        <w:t xml:space="preserve"> </w:t>
      </w:r>
      <w:r>
        <w:rPr>
          <w:rFonts w:ascii="Arial" w:cs="Arial" w:eastAsia="Arial" w:hAnsi="Arial"/>
          <w:sz w:val="18"/>
          <w:szCs w:val="18"/>
          <w:color w:val="auto"/>
        </w:rPr>
        <w:t>Third Amended and Restated Loan and Security Agreement dated as of May 14, 2002, by and among Fleet Retail Finance, Inc., as Administrative Agent and Collateral Agent, the Lenders identified therein, the Company, as Borrowers’ Representative, and the Company and Designs Apparel, Inc., as Borrowers (included as Exhibit 10.9 to the Company’s Current Report on Form 8-K/A filed on May 23, 2002, and incorporated herein by reference).*</w:t>
      </w:r>
    </w:p>
    <w:p>
      <w:pPr>
        <w:spacing w:after="0" w:line="49" w:lineRule="exact"/>
        <w:rPr>
          <w:sz w:val="20"/>
          <w:szCs w:val="20"/>
          <w:color w:val="auto"/>
        </w:rPr>
      </w:pPr>
    </w:p>
    <w:p>
      <w:pPr>
        <w:ind w:right="120" w:hanging="765"/>
        <w:spacing w:after="0" w:line="268" w:lineRule="auto"/>
        <w:rPr>
          <w:sz w:val="20"/>
          <w:szCs w:val="20"/>
          <w:color w:val="auto"/>
        </w:rPr>
      </w:pPr>
      <w:r>
        <w:rPr>
          <w:rFonts w:ascii="Arial" w:cs="Arial" w:eastAsia="Arial" w:hAnsi="Arial"/>
          <w:sz w:val="18"/>
          <w:szCs w:val="18"/>
          <w:color w:val="auto"/>
        </w:rPr>
        <w:t>10.3</w:t>
      </w:r>
      <w:r>
        <w:rPr>
          <w:sz w:val="20"/>
          <w:szCs w:val="20"/>
          <w:color w:val="auto"/>
        </w:rPr>
        <w:t xml:space="preserve"> </w:t>
      </w:r>
      <w:r>
        <w:rPr>
          <w:rFonts w:ascii="Arial" w:cs="Arial" w:eastAsia="Arial" w:hAnsi="Arial"/>
          <w:sz w:val="18"/>
          <w:szCs w:val="18"/>
          <w:color w:val="auto"/>
        </w:rPr>
        <w:t>Consulting Agreement dated as of December 15, 1999 between the Company and George T. Porter, Jr. (included as Exhibit 10.22 to the Company’s Annual Report Form 10-K dated April 28, 2000, and incorporated herein by reference).*</w:t>
      </w:r>
    </w:p>
    <w:p>
      <w:pPr>
        <w:spacing w:after="0" w:line="37" w:lineRule="exact"/>
        <w:rPr>
          <w:sz w:val="20"/>
          <w:szCs w:val="20"/>
          <w:color w:val="auto"/>
        </w:rPr>
      </w:pPr>
    </w:p>
    <w:p>
      <w:pPr>
        <w:ind w:right="600" w:hanging="765"/>
        <w:spacing w:after="0" w:line="268" w:lineRule="auto"/>
        <w:rPr>
          <w:sz w:val="20"/>
          <w:szCs w:val="20"/>
          <w:color w:val="auto"/>
        </w:rPr>
      </w:pPr>
      <w:r>
        <w:rPr>
          <w:rFonts w:ascii="Arial" w:cs="Arial" w:eastAsia="Arial" w:hAnsi="Arial"/>
          <w:sz w:val="18"/>
          <w:szCs w:val="18"/>
          <w:color w:val="auto"/>
        </w:rPr>
        <w:t>10.4</w:t>
      </w:r>
      <w:r>
        <w:rPr>
          <w:sz w:val="20"/>
          <w:szCs w:val="20"/>
          <w:color w:val="auto"/>
        </w:rPr>
        <w:t xml:space="preserve"> </w:t>
      </w:r>
      <w:r>
        <w:rPr>
          <w:rFonts w:ascii="Arial" w:cs="Arial" w:eastAsia="Arial" w:hAnsi="Arial"/>
          <w:sz w:val="18"/>
          <w:szCs w:val="18"/>
          <w:color w:val="auto"/>
        </w:rPr>
        <w:t>Consulting Agreement dated as of October 28, 1999 between the Company and Jewelcor Management, Inc. (included as Exhibit 10.20 to the Company’s Annual Report on Form 10-K dated April 28, 2000, and incorporated herein by Reference).*</w:t>
      </w:r>
    </w:p>
    <w:p>
      <w:pPr>
        <w:spacing w:after="0" w:line="37" w:lineRule="exact"/>
        <w:rPr>
          <w:sz w:val="20"/>
          <w:szCs w:val="20"/>
          <w:color w:val="auto"/>
        </w:rPr>
      </w:pPr>
    </w:p>
    <w:p>
      <w:pPr>
        <w:ind w:right="40" w:hanging="765"/>
        <w:spacing w:after="0" w:line="325" w:lineRule="auto"/>
        <w:rPr>
          <w:sz w:val="20"/>
          <w:szCs w:val="20"/>
          <w:color w:val="auto"/>
        </w:rPr>
      </w:pPr>
      <w:r>
        <w:rPr>
          <w:rFonts w:ascii="Arial" w:cs="Arial" w:eastAsia="Arial" w:hAnsi="Arial"/>
          <w:sz w:val="18"/>
          <w:szCs w:val="18"/>
          <w:color w:val="auto"/>
        </w:rPr>
        <w:t>10.5</w:t>
      </w:r>
      <w:r>
        <w:rPr>
          <w:sz w:val="20"/>
          <w:szCs w:val="20"/>
          <w:color w:val="auto"/>
        </w:rPr>
        <w:t xml:space="preserve"> </w:t>
      </w:r>
      <w:r>
        <w:rPr>
          <w:rFonts w:ascii="Arial" w:cs="Arial" w:eastAsia="Arial" w:hAnsi="Arial"/>
          <w:sz w:val="16"/>
          <w:szCs w:val="16"/>
          <w:color w:val="auto"/>
        </w:rPr>
        <w:t>Extension to Consulting Agreement, dated as of April 28, 2001, between the Company and Jewelcor Management, Inc. (included as Exhibit 10.15 to the Company’s Quarterly Report on Form 10-Q dated September 18, 2001, and incorporated herein by reference).*</w:t>
      </w:r>
    </w:p>
    <w:p>
      <w:pPr>
        <w:spacing w:after="0" w:line="1" w:lineRule="exact"/>
        <w:rPr>
          <w:sz w:val="20"/>
          <w:szCs w:val="20"/>
          <w:color w:val="auto"/>
        </w:rPr>
      </w:pPr>
    </w:p>
    <w:p>
      <w:pPr>
        <w:ind w:right="40" w:hanging="765"/>
        <w:spacing w:after="0" w:line="268" w:lineRule="auto"/>
        <w:rPr>
          <w:sz w:val="20"/>
          <w:szCs w:val="20"/>
          <w:color w:val="auto"/>
        </w:rPr>
      </w:pPr>
      <w:r>
        <w:rPr>
          <w:rFonts w:ascii="Arial" w:cs="Arial" w:eastAsia="Arial" w:hAnsi="Arial"/>
          <w:sz w:val="18"/>
          <w:szCs w:val="18"/>
          <w:color w:val="auto"/>
        </w:rPr>
        <w:t>10.6</w:t>
      </w:r>
      <w:r>
        <w:rPr>
          <w:sz w:val="20"/>
          <w:szCs w:val="20"/>
          <w:color w:val="auto"/>
        </w:rPr>
        <w:t xml:space="preserve"> </w:t>
      </w:r>
      <w:r>
        <w:rPr>
          <w:rFonts w:ascii="Arial" w:cs="Arial" w:eastAsia="Arial" w:hAnsi="Arial"/>
          <w:sz w:val="18"/>
          <w:szCs w:val="18"/>
          <w:color w:val="auto"/>
        </w:rPr>
        <w:t>Extension to Consulting Agreement, dated as of April 28, 2002, between the Company and Jewelcor Management, Inc. (included as Exhibit 10.30 to the Company’s Quarterly Report on Form 10-Q dated June 18, 2002, and incorporated herein by reference).*</w:t>
      </w:r>
    </w:p>
    <w:p>
      <w:pPr>
        <w:spacing w:after="0" w:line="37" w:lineRule="exact"/>
        <w:rPr>
          <w:sz w:val="20"/>
          <w:szCs w:val="20"/>
          <w:color w:val="auto"/>
        </w:rPr>
      </w:pPr>
    </w:p>
    <w:p>
      <w:pPr>
        <w:ind w:right="120" w:hanging="765"/>
        <w:spacing w:after="0" w:line="268" w:lineRule="auto"/>
        <w:rPr>
          <w:sz w:val="20"/>
          <w:szCs w:val="20"/>
          <w:color w:val="auto"/>
        </w:rPr>
      </w:pPr>
      <w:r>
        <w:rPr>
          <w:rFonts w:ascii="Arial" w:cs="Arial" w:eastAsia="Arial" w:hAnsi="Arial"/>
          <w:sz w:val="18"/>
          <w:szCs w:val="18"/>
          <w:color w:val="auto"/>
        </w:rPr>
        <w:t>10.7</w:t>
      </w:r>
      <w:r>
        <w:rPr>
          <w:sz w:val="20"/>
          <w:szCs w:val="20"/>
          <w:color w:val="auto"/>
        </w:rPr>
        <w:t xml:space="preserve"> </w:t>
      </w:r>
      <w:r>
        <w:rPr>
          <w:rFonts w:ascii="Arial" w:cs="Arial" w:eastAsia="Arial" w:hAnsi="Arial"/>
          <w:sz w:val="18"/>
          <w:szCs w:val="18"/>
          <w:color w:val="auto"/>
        </w:rPr>
        <w:t>Extension to Consulting Agreement, dated as of April 29, 2003, between the Company and Jewelcor Management, Inc. (included as Exhibit 10.7 to the Company’s Annual Report on Form 10-K dated May 5, 2003, and incorporated herein by reference).*</w:t>
      </w:r>
    </w:p>
    <w:p>
      <w:pPr>
        <w:spacing w:after="0" w:line="37" w:lineRule="exact"/>
        <w:rPr>
          <w:sz w:val="20"/>
          <w:szCs w:val="20"/>
          <w:color w:val="auto"/>
        </w:rPr>
      </w:pPr>
    </w:p>
    <w:p>
      <w:pPr>
        <w:ind w:hanging="765"/>
        <w:spacing w:after="0" w:line="268" w:lineRule="auto"/>
        <w:rPr>
          <w:sz w:val="20"/>
          <w:szCs w:val="20"/>
          <w:color w:val="auto"/>
        </w:rPr>
      </w:pPr>
      <w:r>
        <w:rPr>
          <w:rFonts w:ascii="Arial" w:cs="Arial" w:eastAsia="Arial" w:hAnsi="Arial"/>
          <w:sz w:val="18"/>
          <w:szCs w:val="18"/>
          <w:color w:val="auto"/>
        </w:rPr>
        <w:t>10.8</w:t>
      </w:r>
      <w:r>
        <w:rPr>
          <w:sz w:val="20"/>
          <w:szCs w:val="20"/>
          <w:color w:val="auto"/>
        </w:rPr>
        <w:t xml:space="preserve"> </w:t>
      </w:r>
      <w:r>
        <w:rPr>
          <w:rFonts w:ascii="Arial" w:cs="Arial" w:eastAsia="Arial" w:hAnsi="Arial"/>
          <w:sz w:val="18"/>
          <w:szCs w:val="18"/>
          <w:color w:val="auto"/>
        </w:rPr>
        <w:t>Employment Agreement dated as of March 31, 2000 between the Company and David A. Levin (included as Exhibit 10.27 to the Company’s Annual Report on Form 10-K dated April 28, 2000, and incorporated herein by reference).*</w:t>
      </w:r>
    </w:p>
    <w:p>
      <w:pPr>
        <w:spacing w:after="0" w:line="37" w:lineRule="exact"/>
        <w:rPr>
          <w:sz w:val="20"/>
          <w:szCs w:val="20"/>
          <w:color w:val="auto"/>
        </w:rPr>
      </w:pPr>
    </w:p>
    <w:p>
      <w:pPr>
        <w:ind w:right="420" w:hanging="765"/>
        <w:spacing w:after="0" w:line="268" w:lineRule="auto"/>
        <w:rPr>
          <w:sz w:val="20"/>
          <w:szCs w:val="20"/>
          <w:color w:val="auto"/>
        </w:rPr>
      </w:pPr>
      <w:r>
        <w:rPr>
          <w:rFonts w:ascii="Arial" w:cs="Arial" w:eastAsia="Arial" w:hAnsi="Arial"/>
          <w:sz w:val="18"/>
          <w:szCs w:val="18"/>
          <w:color w:val="auto"/>
        </w:rPr>
        <w:t>10.9</w:t>
      </w:r>
      <w:r>
        <w:rPr>
          <w:sz w:val="20"/>
          <w:szCs w:val="20"/>
          <w:color w:val="auto"/>
        </w:rPr>
        <w:t xml:space="preserve"> </w:t>
      </w:r>
      <w:r>
        <w:rPr>
          <w:rFonts w:ascii="Arial" w:cs="Arial" w:eastAsia="Arial" w:hAnsi="Arial"/>
          <w:sz w:val="18"/>
          <w:szCs w:val="18"/>
          <w:color w:val="auto"/>
        </w:rPr>
        <w:t>First Amendment to Employment Agreement dated April 10, 2001 between the Company and David A. Levin (included as Exhibit 10.19 to the Company’s Quarterly Report on Form 10-Q dated June 19, 2001, and incorporated herein by reference).*</w:t>
      </w:r>
    </w:p>
    <w:p>
      <w:pPr>
        <w:spacing w:after="0" w:line="37" w:lineRule="exact"/>
        <w:rPr>
          <w:sz w:val="20"/>
          <w:szCs w:val="20"/>
          <w:color w:val="auto"/>
        </w:rPr>
      </w:pPr>
    </w:p>
    <w:p>
      <w:pPr>
        <w:ind w:right="60" w:hanging="853"/>
        <w:spacing w:after="0" w:line="268" w:lineRule="auto"/>
        <w:rPr>
          <w:sz w:val="20"/>
          <w:szCs w:val="20"/>
          <w:color w:val="auto"/>
        </w:rPr>
      </w:pPr>
      <w:r>
        <w:rPr>
          <w:rFonts w:ascii="Arial" w:cs="Arial" w:eastAsia="Arial" w:hAnsi="Arial"/>
          <w:sz w:val="18"/>
          <w:szCs w:val="18"/>
          <w:color w:val="auto"/>
        </w:rPr>
        <w:t>10.10</w:t>
      </w:r>
      <w:r>
        <w:rPr>
          <w:sz w:val="20"/>
          <w:szCs w:val="20"/>
          <w:color w:val="auto"/>
        </w:rPr>
        <w:t xml:space="preserve"> </w:t>
      </w:r>
      <w:r>
        <w:rPr>
          <w:rFonts w:ascii="Arial" w:cs="Arial" w:eastAsia="Arial" w:hAnsi="Arial"/>
          <w:sz w:val="18"/>
          <w:szCs w:val="18"/>
          <w:color w:val="auto"/>
        </w:rPr>
        <w:t>Second Amendment to Employment Agreement dated as of January 10, 2003 between the Company and David A. Levin. (included as Exhibit 10.10 to the Company’s Annual Report on Form 10-K dated May 5, 2003, and incorporated herein by reference).*</w:t>
      </w:r>
    </w:p>
    <w:p>
      <w:pPr>
        <w:spacing w:after="0" w:line="37" w:lineRule="exact"/>
        <w:rPr>
          <w:sz w:val="20"/>
          <w:szCs w:val="20"/>
          <w:color w:val="auto"/>
        </w:rPr>
      </w:pPr>
    </w:p>
    <w:p>
      <w:pPr>
        <w:ind w:right="640" w:hanging="847"/>
        <w:spacing w:after="0" w:line="268" w:lineRule="auto"/>
        <w:rPr>
          <w:sz w:val="20"/>
          <w:szCs w:val="20"/>
          <w:color w:val="auto"/>
        </w:rPr>
      </w:pPr>
      <w:r>
        <w:rPr>
          <w:rFonts w:ascii="Arial" w:cs="Arial" w:eastAsia="Arial" w:hAnsi="Arial"/>
          <w:sz w:val="18"/>
          <w:szCs w:val="18"/>
          <w:color w:val="auto"/>
        </w:rPr>
        <w:t>10.11</w:t>
      </w:r>
      <w:r>
        <w:rPr>
          <w:sz w:val="20"/>
          <w:szCs w:val="20"/>
          <w:color w:val="auto"/>
        </w:rPr>
        <w:t xml:space="preserve"> </w:t>
      </w:r>
      <w:r>
        <w:rPr>
          <w:rFonts w:ascii="Arial" w:cs="Arial" w:eastAsia="Arial" w:hAnsi="Arial"/>
          <w:sz w:val="18"/>
          <w:szCs w:val="18"/>
          <w:color w:val="auto"/>
        </w:rPr>
        <w:t>Secured Promissory Note dated as of June 26, 2000 between the Company and David A. Levin (included as Exhibit 10.28 to the Company’s Quarterly Report on Form 10-Q dated September 12, 2000, and incorporated herein by reference).*</w:t>
      </w:r>
    </w:p>
    <w:p>
      <w:pPr>
        <w:spacing w:after="0" w:line="37" w:lineRule="exact"/>
        <w:rPr>
          <w:sz w:val="20"/>
          <w:szCs w:val="20"/>
          <w:color w:val="auto"/>
        </w:rPr>
      </w:pPr>
    </w:p>
    <w:p>
      <w:pPr>
        <w:ind w:right="580" w:hanging="853"/>
        <w:spacing w:after="0" w:line="268" w:lineRule="auto"/>
        <w:rPr>
          <w:sz w:val="20"/>
          <w:szCs w:val="20"/>
          <w:color w:val="auto"/>
        </w:rPr>
      </w:pPr>
      <w:r>
        <w:rPr>
          <w:rFonts w:ascii="Arial" w:cs="Arial" w:eastAsia="Arial" w:hAnsi="Arial"/>
          <w:sz w:val="18"/>
          <w:szCs w:val="18"/>
          <w:color w:val="auto"/>
        </w:rPr>
        <w:t>10.12</w:t>
      </w:r>
      <w:r>
        <w:rPr>
          <w:sz w:val="20"/>
          <w:szCs w:val="20"/>
          <w:color w:val="auto"/>
        </w:rPr>
        <w:t xml:space="preserve"> </w:t>
      </w:r>
      <w:r>
        <w:rPr>
          <w:rFonts w:ascii="Arial" w:cs="Arial" w:eastAsia="Arial" w:hAnsi="Arial"/>
          <w:sz w:val="18"/>
          <w:szCs w:val="18"/>
          <w:color w:val="auto"/>
        </w:rPr>
        <w:t>Pledge and Security Agreement dated June 26, 2000 between the Company and David A. Levin (included as Exhibit 10.29 to the Company’s Quarterly Report on Form 10-Q dated September 12, 2000, and incorporated herein by reference).*</w:t>
      </w:r>
    </w:p>
    <w:p>
      <w:pPr>
        <w:spacing w:after="0" w:line="37" w:lineRule="exact"/>
        <w:rPr>
          <w:sz w:val="20"/>
          <w:szCs w:val="20"/>
          <w:color w:val="auto"/>
        </w:rPr>
      </w:pPr>
    </w:p>
    <w:p>
      <w:pPr>
        <w:ind w:right="160" w:hanging="853"/>
        <w:spacing w:after="0" w:line="268" w:lineRule="auto"/>
        <w:rPr>
          <w:sz w:val="20"/>
          <w:szCs w:val="20"/>
          <w:color w:val="auto"/>
        </w:rPr>
      </w:pPr>
      <w:r>
        <w:rPr>
          <w:rFonts w:ascii="Arial" w:cs="Arial" w:eastAsia="Arial" w:hAnsi="Arial"/>
          <w:sz w:val="18"/>
          <w:szCs w:val="18"/>
          <w:color w:val="auto"/>
        </w:rPr>
        <w:t>10.13</w:t>
      </w:r>
      <w:r>
        <w:rPr>
          <w:sz w:val="20"/>
          <w:szCs w:val="20"/>
          <w:color w:val="auto"/>
        </w:rPr>
        <w:t xml:space="preserve"> </w:t>
      </w:r>
      <w:r>
        <w:rPr>
          <w:rFonts w:ascii="Arial" w:cs="Arial" w:eastAsia="Arial" w:hAnsi="Arial"/>
          <w:sz w:val="18"/>
          <w:szCs w:val="18"/>
          <w:color w:val="auto"/>
        </w:rPr>
        <w:t>Employment Agreement dated as of August 14, 2000 between the Company and Dennis R. Hernreich (included as Exhibit 10.30 to the Company’s Quarterly Report</w:t>
      </w:r>
    </w:p>
    <w:p>
      <w:pPr>
        <w:sectPr>
          <w:pgSz w:w="11900" w:h="16838" w:orient="portrait"/>
          <w:cols w:equalWidth="0" w:num="1">
            <w:col w:w="10500"/>
          </w:cols>
          <w:pgMar w:left="1160" w:top="347" w:right="239" w:bottom="1440" w:gutter="0" w:footer="0" w:header="0"/>
        </w:sectPr>
      </w:pPr>
    </w:p>
    <w:bookmarkStart w:id="21" w:name="page22"/>
    <w:bookmarkEnd w:id="21"/>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Form 10-Q dated September 12, 2000, and incorporated herein by reference).*</w:t>
      </w:r>
    </w:p>
    <w:p>
      <w:pPr>
        <w:spacing w:after="0" w:line="77" w:lineRule="exact"/>
        <w:rPr>
          <w:sz w:val="20"/>
          <w:szCs w:val="20"/>
          <w:color w:val="auto"/>
        </w:rPr>
      </w:pPr>
    </w:p>
    <w:p>
      <w:pPr>
        <w:ind w:left="840" w:right="40" w:hanging="853"/>
        <w:spacing w:after="0" w:line="268" w:lineRule="auto"/>
        <w:tabs>
          <w:tab w:leader="none" w:pos="8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First Amendment to Employment Agreement dated April 25, 2001 between the Company and Dennis R. Hernreich (included as Exhibit 10.23 to the Company’s Quarterly Report on Form 10-Q dated June 19, 2001, and incorporated herein by reference).*</w:t>
      </w:r>
    </w:p>
    <w:p>
      <w:pPr>
        <w:spacing w:after="0" w:line="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Second Amendment to Employment Agreement dated as of January 10, 2003 between the Company and Dennis R. Hernreich (included as Exhibit</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10.15 to the Company’s Annual Report on Form 10-K dated May 5, 2003, and incorporated herein by reference).*</w:t>
      </w:r>
    </w:p>
    <w:p>
      <w:pPr>
        <w:spacing w:after="0" w:line="70" w:lineRule="exact"/>
        <w:rPr>
          <w:sz w:val="20"/>
          <w:szCs w:val="20"/>
          <w:color w:val="auto"/>
        </w:rPr>
      </w:pPr>
    </w:p>
    <w:p>
      <w:pPr>
        <w:ind w:left="840" w:right="400" w:hanging="853"/>
        <w:spacing w:after="0" w:line="268" w:lineRule="auto"/>
        <w:tabs>
          <w:tab w:leader="none" w:pos="8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dated as of October 22, 2001 between the Company and Ronald N. Batts (included as Exhibit 10.25 to the Company’s Quarterly Report on Form 10-Q dated December 14, 2001, and incorporated herein by reference).*</w:t>
      </w:r>
    </w:p>
    <w:p>
      <w:pPr>
        <w:spacing w:after="0" w:line="37" w:lineRule="exact"/>
        <w:rPr>
          <w:sz w:val="20"/>
          <w:szCs w:val="20"/>
          <w:color w:val="auto"/>
        </w:rPr>
      </w:pPr>
    </w:p>
    <w:p>
      <w:pPr>
        <w:ind w:left="840" w:right="740" w:hanging="853"/>
        <w:spacing w:after="0" w:line="268" w:lineRule="auto"/>
        <w:tabs>
          <w:tab w:leader="none" w:pos="8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Agreement and General Release dated as of January 14, 2003 between the Company and Ronald N. Batts (included as Exhibit 10.17 to the Company’s Annual Report on Form 10-K dated May 5, 2003, and incorporated herein by reference).*</w:t>
      </w:r>
    </w:p>
    <w:p>
      <w:pPr>
        <w:spacing w:after="0" w:line="37" w:lineRule="exact"/>
        <w:rPr>
          <w:sz w:val="20"/>
          <w:szCs w:val="20"/>
          <w:color w:val="auto"/>
        </w:rPr>
      </w:pPr>
    </w:p>
    <w:p>
      <w:pPr>
        <w:ind w:left="840" w:right="520" w:hanging="853"/>
        <w:spacing w:after="0" w:line="268" w:lineRule="auto"/>
        <w:tabs>
          <w:tab w:leader="none" w:pos="8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Employment Agreement dated as of August 19, 2002 between the Company and Stephen Gatsik (included as Exhibit 10.13 to the Company’s Quarterly Report on Form 10-Q dated December 17, 2002, and incorporated herein by reference).*</w:t>
      </w:r>
    </w:p>
    <w:p>
      <w:pPr>
        <w:spacing w:after="0" w:line="37" w:lineRule="exact"/>
        <w:rPr>
          <w:sz w:val="20"/>
          <w:szCs w:val="20"/>
          <w:color w:val="auto"/>
        </w:rPr>
      </w:pPr>
    </w:p>
    <w:p>
      <w:pPr>
        <w:ind w:left="840" w:right="200" w:hanging="853"/>
        <w:spacing w:after="0" w:line="268" w:lineRule="auto"/>
        <w:tabs>
          <w:tab w:leader="none" w:pos="8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Retail Store License Agreement dated as of January 9, 2002 between the Company and Candies, Inc. (included as Exhibit 10.23 to the Company’s Annual Report on Form 10-K dated May 1, 2002, and incorporated herein by reference).**</w:t>
      </w:r>
    </w:p>
    <w:p>
      <w:pPr>
        <w:spacing w:after="0" w:line="37" w:lineRule="exact"/>
        <w:rPr>
          <w:sz w:val="20"/>
          <w:szCs w:val="20"/>
          <w:color w:val="auto"/>
        </w:rPr>
      </w:pPr>
    </w:p>
    <w:p>
      <w:pPr>
        <w:ind w:left="840" w:hanging="853"/>
        <w:spacing w:after="0" w:line="268" w:lineRule="auto"/>
        <w:tabs>
          <w:tab w:leader="none" w:pos="8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Retail Store License Agreement Amendment No. 1 dated January 15, 2002 between the Company and Candies, Inc. (included as Exhibit 10.24 to the Company’s Annual Report on Form 10-K dated May 1, 2002, and incorporated herein by reference).*</w:t>
      </w:r>
    </w:p>
    <w:p>
      <w:pPr>
        <w:spacing w:after="0" w:line="37" w:lineRule="exact"/>
        <w:rPr>
          <w:sz w:val="20"/>
          <w:szCs w:val="20"/>
          <w:color w:val="auto"/>
        </w:rPr>
      </w:pPr>
    </w:p>
    <w:p>
      <w:pPr>
        <w:ind w:left="840" w:right="60" w:hanging="853"/>
        <w:spacing w:after="0" w:line="325" w:lineRule="auto"/>
        <w:tabs>
          <w:tab w:leader="none" w:pos="8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Asset Purchase Agreement entered into as of May 2, 2002, by and among the Company and Casual Male Corp. and certain subsidiaries (included as Exhibit 10.1 to the Company’s Current Report on Form 8-K filed on May 23, 2002, and incorporated herein by reference).*</w:t>
      </w:r>
    </w:p>
    <w:p>
      <w:pPr>
        <w:spacing w:after="0" w:line="1" w:lineRule="exact"/>
        <w:rPr>
          <w:sz w:val="20"/>
          <w:szCs w:val="20"/>
          <w:color w:val="auto"/>
        </w:rPr>
      </w:pPr>
    </w:p>
    <w:p>
      <w:pPr>
        <w:ind w:left="840" w:right="140" w:hanging="853"/>
        <w:spacing w:after="0" w:line="259" w:lineRule="auto"/>
        <w:tabs>
          <w:tab w:leader="none" w:pos="8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Amended and Restated Note Agreement, dated as of April 26, 2002, and amended and restated as of May 14, 2002, among the Company, certain subsidiaries of the Company and the purchasers identified therein (included as Exhibit 10.2 to the Company’s Current Report on Form 8-K filed on May 23, 2002, and incorporated herein by reference).*</w:t>
      </w:r>
    </w:p>
    <w:p>
      <w:pPr>
        <w:spacing w:after="0" w:line="46" w:lineRule="exact"/>
        <w:rPr>
          <w:sz w:val="20"/>
          <w:szCs w:val="20"/>
          <w:color w:val="auto"/>
        </w:rPr>
      </w:pPr>
    </w:p>
    <w:p>
      <w:pPr>
        <w:ind w:left="840" w:right="160" w:hanging="853"/>
        <w:spacing w:after="0" w:line="268" w:lineRule="auto"/>
        <w:tabs>
          <w:tab w:leader="none" w:pos="8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Form of 12% Senior Subordinated Note due 2007 (included as Exhibit 10.3 to the Company’s Current Report on Form 8-K filed on May 23, 2002, and incorporated herein by reference).*</w:t>
      </w:r>
    </w:p>
    <w:p>
      <w:pPr>
        <w:spacing w:after="0" w:line="37" w:lineRule="exact"/>
        <w:rPr>
          <w:sz w:val="20"/>
          <w:szCs w:val="20"/>
          <w:color w:val="auto"/>
        </w:rPr>
      </w:pPr>
    </w:p>
    <w:p>
      <w:pPr>
        <w:ind w:left="840" w:right="80" w:hanging="853"/>
        <w:spacing w:after="0" w:line="268" w:lineRule="auto"/>
        <w:tabs>
          <w:tab w:leader="none" w:pos="8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5% Subordinated Note due April 26, 2007 (included as Exhibit 10.4 to the Company’s Current Report on Form 8-K filed on May 23, 2002, and incorporated herein by reference).*</w:t>
      </w:r>
    </w:p>
    <w:p>
      <w:pPr>
        <w:spacing w:after="0" w:line="37" w:lineRule="exact"/>
        <w:rPr>
          <w:sz w:val="20"/>
          <w:szCs w:val="20"/>
          <w:color w:val="auto"/>
        </w:rPr>
      </w:pPr>
    </w:p>
    <w:p>
      <w:pPr>
        <w:ind w:left="840" w:right="100" w:hanging="853"/>
        <w:spacing w:after="0" w:line="268" w:lineRule="auto"/>
        <w:tabs>
          <w:tab w:leader="none" w:pos="8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Warrant to Purchase Shares of Common Stock (aggregating 787,500 shares) (included as Exhibit 10.5 to the Company’s Current Report on Form 8-K filed on May 23, 2002, and incorporated herein by reference).*</w:t>
      </w:r>
    </w:p>
    <w:p>
      <w:pPr>
        <w:spacing w:after="0" w:line="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5"/>
          <w:szCs w:val="15"/>
          <w:color w:val="auto"/>
        </w:rPr>
        <w:t>Form of Warrant to Purchase Shares of Common Stock (aggregating 927,500 shares,</w:t>
      </w:r>
    </w:p>
    <w:p>
      <w:pPr>
        <w:sectPr>
          <w:pgSz w:w="11900" w:h="16838" w:orient="portrait"/>
          <w:cols w:equalWidth="0" w:num="1">
            <w:col w:w="11320"/>
          </w:cols>
          <w:pgMar w:left="320" w:top="347" w:right="259" w:bottom="1440" w:gutter="0" w:footer="0" w:header="0"/>
        </w:sectPr>
      </w:pPr>
    </w:p>
    <w:bookmarkStart w:id="22" w:name="page23"/>
    <w:bookmarkEnd w:id="22"/>
    <w:p>
      <w:pPr>
        <w:ind w:left="92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shareholder approval)(included as Exhibit 10.6 to the Company’s Current Report on Form 8-K filed on May 23, 2002, and incorporated herein by reference).*</w:t>
      </w:r>
    </w:p>
    <w:p>
      <w:pPr>
        <w:spacing w:after="0" w:line="37" w:lineRule="exact"/>
        <w:rPr>
          <w:sz w:val="20"/>
          <w:szCs w:val="20"/>
          <w:color w:val="auto"/>
        </w:rPr>
      </w:pPr>
    </w:p>
    <w:p>
      <w:pPr>
        <w:ind w:left="920" w:right="120" w:hanging="853"/>
        <w:spacing w:after="0" w:line="268"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Warrant to Purchase Shares of Common Stock (aggregating 1,176,471 shares, subject to shareholder approval)(included as Exhibit 10.7 to the Company’s Current Report on Form 8-K filed on May 23, 2002, and incorporated herein by reference).*</w:t>
      </w:r>
    </w:p>
    <w:p>
      <w:pPr>
        <w:spacing w:after="0" w:line="37" w:lineRule="exact"/>
        <w:rPr>
          <w:sz w:val="20"/>
          <w:szCs w:val="20"/>
          <w:color w:val="auto"/>
        </w:rPr>
      </w:pPr>
    </w:p>
    <w:p>
      <w:pPr>
        <w:ind w:left="920" w:right="480" w:hanging="853"/>
        <w:spacing w:after="0" w:line="325"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Registration Rights Agreement entered into as of April 26, 2002, by and between the Company and the persons identified therein (included as Exhibit 10.8 to the Company’s Current Report on Form 8-K filed on May 23, 2002, and incorporated herein by reference).*</w:t>
      </w:r>
    </w:p>
    <w:p>
      <w:pPr>
        <w:spacing w:after="0" w:line="1" w:lineRule="exact"/>
        <w:rPr>
          <w:sz w:val="20"/>
          <w:szCs w:val="20"/>
          <w:color w:val="auto"/>
        </w:rPr>
      </w:pPr>
    </w:p>
    <w:p>
      <w:pPr>
        <w:ind w:left="920" w:right="320" w:hanging="853"/>
        <w:spacing w:after="0" w:line="268"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Sourcing Agreement dated May 1, 2002, between the Company and Kellwood Company (included as Exhibit 10.29 to the Company’s Quarterly Report on Form 10-Q filed on June 18, 2002, and incorporated herein by reference).*</w:t>
      </w:r>
    </w:p>
    <w:p>
      <w:pPr>
        <w:spacing w:after="0" w:line="37" w:lineRule="exact"/>
        <w:rPr>
          <w:sz w:val="20"/>
          <w:szCs w:val="20"/>
          <w:color w:val="auto"/>
        </w:rPr>
      </w:pPr>
    </w:p>
    <w:p>
      <w:pPr>
        <w:ind w:left="920" w:right="80" w:hanging="853"/>
        <w:spacing w:after="0" w:line="268" w:lineRule="auto"/>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of Warrant to Purchase Shares of Common Stock (aggregating 500,000 shares) (included as Exhibit 10.31 to the Company’s Quarterly Report on Form 10-Q filed on September 17, 2002, and incorporated herein by reference).*</w:t>
      </w:r>
    </w:p>
    <w:p>
      <w:pPr>
        <w:spacing w:after="0" w:line="37" w:lineRule="exact"/>
        <w:rPr>
          <w:sz w:val="20"/>
          <w:szCs w:val="20"/>
          <w:color w:val="auto"/>
        </w:rPr>
      </w:pPr>
    </w:p>
    <w:p>
      <w:pPr>
        <w:ind w:left="920" w:right="280" w:hanging="765"/>
        <w:spacing w:after="0" w:line="268" w:lineRule="auto"/>
        <w:tabs>
          <w:tab w:leader="none" w:pos="90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Letter of Preferability from Ernst &amp; Young dated June 13, 2001 (included as Exhibit 18.1 to the Company’s Form 10-Q dated June 19, 2001, and incorporated herein by reference).*</w:t>
      </w:r>
    </w:p>
    <w:p>
      <w:pPr>
        <w:spacing w:after="0" w:line="37"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Certification of CEO pursuant to 18 U.S.C. Section 1350, as adopted pursuant to Section 906 of the Sarbanes-Oxley Act of 2002.</w:t>
      </w:r>
    </w:p>
    <w:p>
      <w:pPr>
        <w:spacing w:after="0" w:line="77"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Certification of CFO pursuant to 18 U.S.C. Section 1350, as adopted pursuant to Section 906 of the Sarbanes-Oxley Act of 2002.</w:t>
      </w:r>
    </w:p>
    <w:p>
      <w:pPr>
        <w:spacing w:after="0" w:line="77" w:lineRule="exact"/>
        <w:rPr>
          <w:sz w:val="20"/>
          <w:szCs w:val="20"/>
          <w:color w:val="auto"/>
        </w:rPr>
      </w:pPr>
    </w:p>
    <w:p>
      <w:pPr>
        <w:ind w:left="920" w:hanging="765"/>
        <w:spacing w:after="0" w:line="306" w:lineRule="auto"/>
        <w:tabs>
          <w:tab w:leader="none" w:pos="9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Certain cautionary statements of the Company to be taken into account in conjunction with consideration and review of the Company’s publicly-disseminated documents (including oral statements made by others on behalf of the Company) that include forward looking information (included as Exhibit 99.3 to the Company’s Current Report on Form 8-K filed on September 17, 2002,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000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w:t>
      </w:r>
    </w:p>
    <w:p>
      <w:pPr>
        <w:spacing w:after="0" w:line="15" w:lineRule="exact"/>
        <w:rPr>
          <w:sz w:val="20"/>
          <w:szCs w:val="20"/>
          <w:color w:val="auto"/>
        </w:rPr>
      </w:pPr>
    </w:p>
    <w:p>
      <w:pPr>
        <w:ind w:left="460" w:right="60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has been omitted from this exhibit pursuant to a request for confidential treatment. The omitted material has been filed separately with the Securities and Exchange Commission.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Reports on Form 8-K:</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Current Report on Form 8-K was filed by the Company on May 22, 2003 to file its press release dated May 22, 2003 announcing the Company’s First Quarter of Fiscal 2004 results of operations. The Company’s press release, in addition to containing results that are determined in accordance with accounting principles generally accepted in the United States of America, also contained pro forma information, as if the Company operated its Casual Male business for the first quarter of the prior year.</w:t>
      </w:r>
    </w:p>
    <w:p>
      <w:pPr>
        <w:sectPr>
          <w:pgSz w:w="11900" w:h="16838" w:orient="portrait"/>
          <w:cols w:equalWidth="0" w:num="1">
            <w:col w:w="11380"/>
          </w:cols>
          <w:pgMar w:left="240" w:top="347" w:right="279" w:bottom="1440" w:gutter="0" w:footer="0" w:header="0"/>
        </w:sectPr>
      </w:pPr>
    </w:p>
    <w:bookmarkStart w:id="23" w:name="page24"/>
    <w:bookmarkEnd w:id="23"/>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6140" w:val="left"/>
          <w:tab w:leader="none" w:pos="6620" w:val="left"/>
        </w:tabs>
        <w:rPr>
          <w:sz w:val="20"/>
          <w:szCs w:val="20"/>
          <w:color w:val="auto"/>
        </w:rPr>
      </w:pPr>
      <w:r>
        <w:rPr>
          <w:rFonts w:ascii="Arial" w:cs="Arial" w:eastAsia="Arial" w:hAnsi="Arial"/>
          <w:sz w:val="18"/>
          <w:szCs w:val="18"/>
          <w:color w:val="auto"/>
        </w:rPr>
        <w:t>Date: June 16,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0540"/>
          </w:cols>
          <w:pgMar w:left="240" w:top="280" w:right="11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Rule 13a-14 or 15d-14 of the Securities Exchange Act of 1934, 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Rules 13a-</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14 and 15d-14 under the Securities Exchange Act of 1934, as amended) for the registrant and we have:</w:t>
      </w:r>
    </w:p>
    <w:p>
      <w:pPr>
        <w:spacing w:after="0" w:line="70" w:lineRule="exact"/>
        <w:rPr>
          <w:rFonts w:ascii="Arial" w:cs="Arial" w:eastAsia="Arial" w:hAnsi="Arial"/>
          <w:sz w:val="16"/>
          <w:szCs w:val="16"/>
          <w:color w:val="auto"/>
        </w:rPr>
      </w:pPr>
    </w:p>
    <w:p>
      <w:pPr>
        <w:ind w:left="900" w:right="460" w:hanging="446"/>
        <w:spacing w:after="0" w:line="325"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6"/>
          <w:szCs w:val="16"/>
          <w:color w:val="auto"/>
        </w:rPr>
      </w:pPr>
    </w:p>
    <w:p>
      <w:pPr>
        <w:ind w:left="900" w:right="18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900" w:right="440" w:hanging="446"/>
        <w:spacing w:after="0" w:line="325"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99"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2003</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Dennis R. Hernreich, certify that:</w:t>
      </w:r>
    </w:p>
    <w:p>
      <w:pPr>
        <w:spacing w:after="0" w:line="7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Rules 13a-</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14 and 15d-14 under the Securities Exchange Act of 1934, as amended) for the registrant and we have:</w:t>
      </w:r>
    </w:p>
    <w:p>
      <w:pPr>
        <w:spacing w:after="0" w:line="70" w:lineRule="exact"/>
        <w:rPr>
          <w:rFonts w:ascii="Arial" w:cs="Arial" w:eastAsia="Arial" w:hAnsi="Arial"/>
          <w:sz w:val="16"/>
          <w:szCs w:val="16"/>
          <w:color w:val="auto"/>
        </w:rPr>
      </w:pPr>
    </w:p>
    <w:p>
      <w:pPr>
        <w:ind w:left="900" w:right="460" w:hanging="446"/>
        <w:spacing w:after="0" w:line="325"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6"/>
          <w:szCs w:val="16"/>
          <w:color w:val="auto"/>
        </w:rPr>
      </w:pPr>
    </w:p>
    <w:p>
      <w:pPr>
        <w:ind w:left="900" w:right="18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900" w:right="440" w:hanging="446"/>
        <w:spacing w:after="0" w:line="325"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99"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2003</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2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Quarterly Report of Casual Male Retail Group, Inc. (the “Company”) on Form 10-Q for the quarterly period ended May 3, 2003 as filed with the Securities and Exchange Commission on the date hereof (the “Report”), I, David A. Levin, Chief Executive Officer of the Company, certify to the best of my knowledge, pursuant to 18 U.S.C. § 1350, as adopted pursuant to § 906 of the Sarbanes-Oxley Act of 2002, that:</w:t>
      </w:r>
    </w:p>
    <w:p>
      <w:pPr>
        <w:spacing w:after="0" w:line="12" w:lineRule="exact"/>
        <w:rPr>
          <w:sz w:val="20"/>
          <w:szCs w:val="20"/>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2003</w:t>
      </w:r>
    </w:p>
    <w:p>
      <w:pPr>
        <w:spacing w:after="0" w:line="158"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80010</wp:posOffset>
            </wp:positionV>
            <wp:extent cx="17322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(Principal Executive Officer)</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p>
      <w:pPr>
        <w:sectPr>
          <w:pgSz w:w="11900" w:h="16838" w:orient="portrait"/>
          <w:cols w:equalWidth="0" w:num="1">
            <w:col w:w="11420"/>
          </w:cols>
          <w:pgMar w:left="240" w:top="1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In connection with the Quarterly Report of Casual Male Retail Group, Inc. (the “Company”) on Form 10-Q for the quarterly period ended May 3, 2003 as filed with the Securities and Exchange Commission on the date hereof (the “Report”), I, Dennis R. Hernreich, Chief Financial Officer of the Company, certify to the best of my knowledge, pursuant to 18 U.S.C. § 1350, as adopted pursuant to § 906 of the Sarbanes-Oxley Act of 2002, that:</w:t>
      </w:r>
    </w:p>
    <w:p>
      <w:pPr>
        <w:spacing w:after="0" w:line="12" w:lineRule="exact"/>
        <w:rPr>
          <w:sz w:val="20"/>
          <w:szCs w:val="20"/>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2003</w:t>
      </w:r>
    </w:p>
    <w:p>
      <w:pPr>
        <w:spacing w:after="0" w:line="15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and Accounting Officer)</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4"/>
    </w:lvl>
  </w:abstractNum>
  <w:abstractNum w:abstractNumId="2">
    <w:nsid w:val="507ED7AB"/>
    <w:multiLevelType w:val="hybridMultilevel"/>
    <w:lvl w:ilvl="0">
      <w:lvlJc w:val="left"/>
      <w:lvlText w:val="%1."/>
      <w:numFmt w:val="decimal"/>
      <w:start w:val="10"/>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2019-12-20T16:56:33Z</dcterms:created>
  <dcterms:modified xsi:type="dcterms:W3CDTF">2019-12-20T16:56:33Z</dcterms:modified>
</cp:coreProperties>
</file>