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May 19, 2005</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632"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632"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On May 19, 2005, Casual Male Retail Group, Inc. (the "Company") issued a press release announcing the Company's results of operations for the first quarter ended April 30, 2005. A copy of this press release is attached hereto as Exhibit 99.1.</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press release contains certain non-GAAP measures which the Company believes is important for investors to help gain a better understanding of the Company. The release includes a reconciliation of such non-GAAP measures.</w:t>
      </w: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 Exhibits</w:t>
      </w:r>
    </w:p>
    <w:p>
      <w:pPr>
        <w:ind w:left="1280"/>
        <w:spacing w:after="0" w:line="238" w:lineRule="auto"/>
        <w:rPr>
          <w:sz w:val="20"/>
          <w:szCs w:val="20"/>
          <w:color w:val="auto"/>
        </w:rPr>
      </w:pPr>
      <w:r>
        <w:rPr>
          <w:rFonts w:ascii="Courier New" w:cs="Courier New" w:eastAsia="Courier New" w:hAnsi="Courier New"/>
          <w:sz w:val="18"/>
          <w:szCs w:val="18"/>
          <w:color w:val="auto"/>
        </w:rPr>
        <w:t>Exhibit No. Description</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380"/>
        <w:spacing w:after="0"/>
        <w:tabs>
          <w:tab w:leader="none" w:pos="24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announcing results of operations for</w:t>
      </w:r>
    </w:p>
    <w:p>
      <w:pPr>
        <w:spacing w:after="0" w:line="5"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the first quarter of fiscal 2005 for Casual Male Retail</w:t>
      </w:r>
    </w:p>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Group, Inc.</w:t>
      </w:r>
    </w:p>
    <w:p>
      <w:pPr>
        <w:sectPr>
          <w:pgSz w:w="11900" w:h="16838" w:orient="portrait"/>
          <w:cols w:equalWidth="0" w:num="1">
            <w:col w:w="10219"/>
          </w:cols>
          <w:pgMar w:left="240" w:top="447" w:right="1440" w:bottom="632"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19, 2005</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w:t>
      </w:r>
    </w:p>
    <w:p>
      <w:pPr>
        <w:spacing w:after="0" w:line="238" w:lineRule="auto"/>
        <w:rPr>
          <w:sz w:val="20"/>
          <w:szCs w:val="20"/>
          <w:color w:val="auto"/>
        </w:rPr>
      </w:pPr>
      <w:r>
        <w:rPr>
          <w:rFonts w:ascii="Courier New" w:cs="Courier New" w:eastAsia="Courier New" w:hAnsi="Courier New"/>
          <w:sz w:val="18"/>
          <w:szCs w:val="18"/>
          <w:color w:val="auto"/>
        </w:rPr>
        <w:t>212-445-8368</w:t>
      </w:r>
    </w:p>
    <w:p>
      <w:pPr>
        <w:spacing w:after="0" w:line="200" w:lineRule="exact"/>
        <w:rPr>
          <w:sz w:val="20"/>
          <w:szCs w:val="20"/>
          <w:color w:val="auto"/>
        </w:rPr>
      </w:pPr>
    </w:p>
    <w:p>
      <w:pPr>
        <w:spacing w:after="0" w:line="210" w:lineRule="exact"/>
        <w:rPr>
          <w:sz w:val="20"/>
          <w:szCs w:val="20"/>
          <w:color w:val="auto"/>
        </w:rPr>
      </w:pPr>
    </w:p>
    <w:p>
      <w:pPr>
        <w:ind w:left="1700" w:right="2939" w:hanging="1263"/>
        <w:spacing w:after="0" w:line="235" w:lineRule="auto"/>
        <w:rPr>
          <w:sz w:val="20"/>
          <w:szCs w:val="20"/>
          <w:color w:val="auto"/>
        </w:rPr>
      </w:pPr>
      <w:r>
        <w:rPr>
          <w:rFonts w:ascii="Courier New" w:cs="Courier New" w:eastAsia="Courier New" w:hAnsi="Courier New"/>
          <w:sz w:val="18"/>
          <w:szCs w:val="18"/>
          <w:color w:val="auto"/>
        </w:rPr>
        <w:t>Casual Male Retail Group, Inc. Reports Improved Operating Results For the First Quarter of Fiscal 2005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CANTON, MA, May 19, 2005 -- Casual Male Retail Group, Inc. (NASDAQ/NMS:</w:t>
      </w:r>
    </w:p>
    <w:p>
      <w:pPr>
        <w:spacing w:after="0" w:line="238" w:lineRule="auto"/>
        <w:rPr>
          <w:sz w:val="20"/>
          <w:szCs w:val="20"/>
          <w:color w:val="auto"/>
        </w:rPr>
      </w:pPr>
      <w:r>
        <w:rPr>
          <w:rFonts w:ascii="Courier New" w:cs="Courier New" w:eastAsia="Courier New" w:hAnsi="Courier New"/>
          <w:sz w:val="18"/>
          <w:szCs w:val="18"/>
          <w:color w:val="auto"/>
        </w:rPr>
        <w:t>"CMRG"), retail brand operator of Casual Male Big &amp; Tall, Rochester Big</w:t>
      </w:r>
    </w:p>
    <w:p>
      <w:pPr>
        <w:spacing w:after="0" w:line="5" w:lineRule="exact"/>
        <w:rPr>
          <w:sz w:val="20"/>
          <w:szCs w:val="20"/>
          <w:color w:val="auto"/>
        </w:rPr>
      </w:pPr>
    </w:p>
    <w:p>
      <w:pPr>
        <w:ind w:right="283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Tall, and the exclusive distributor and retailer of George Foreman's clothing collection, today announced its operating results for the first quarter of fiscal 2005.</w:t>
      </w:r>
    </w:p>
    <w:p>
      <w:pPr>
        <w:spacing w:after="0" w:line="209"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For the first quarter of fiscal 2005, net loss was $(1.9) million, or $(0.05) per diluted share, compared to a net loss of $(5.1) million, or</w:t>
      </w:r>
    </w:p>
    <w:p>
      <w:pPr>
        <w:ind w:right="2739"/>
        <w:spacing w:after="0" w:line="237" w:lineRule="auto"/>
        <w:rPr>
          <w:sz w:val="20"/>
          <w:szCs w:val="20"/>
          <w:color w:val="auto"/>
        </w:rPr>
      </w:pPr>
      <w:r>
        <w:rPr>
          <w:rFonts w:ascii="Courier New" w:cs="Courier New" w:eastAsia="Courier New" w:hAnsi="Courier New"/>
          <w:sz w:val="18"/>
          <w:szCs w:val="18"/>
          <w:color w:val="auto"/>
        </w:rPr>
        <w:t>$(0.15) per diluted share, for the first quarter of fiscal 2004. Assuming a normalized tax rate of 37%, the net loss per share for the first quarter of fiscal 2005 was $(0.03) per diluted share compared to a net loss per diluted share of $(0.09) per diluted share for the first quarter of fiscal 2004.</w:t>
      </w:r>
    </w:p>
    <w:p>
      <w:pPr>
        <w:spacing w:after="0" w:line="209"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Results for the first quarter of fiscal 2005 include the operating results of the Company's Rochester Big &amp; Tall stores which were acquired by the Company in October 2004. Results from continuing operations for the first quarter of fiscal 2004 included sales of $6.1 million and an operating loss of $(0.3) million from the Ecko Unltd.(r) outlet stores, divested in July 2004.</w:t>
      </w:r>
    </w:p>
    <w:p>
      <w:pPr>
        <w:spacing w:after="0" w:line="210" w:lineRule="exact"/>
        <w:rPr>
          <w:sz w:val="20"/>
          <w:szCs w:val="20"/>
          <w:color w:val="auto"/>
        </w:rPr>
      </w:pPr>
    </w:p>
    <w:p>
      <w:pPr>
        <w:jc w:val="both"/>
        <w:ind w:right="2839"/>
        <w:spacing w:after="0" w:line="237" w:lineRule="auto"/>
        <w:rPr>
          <w:sz w:val="20"/>
          <w:szCs w:val="20"/>
          <w:color w:val="auto"/>
        </w:rPr>
      </w:pPr>
      <w:r>
        <w:rPr>
          <w:rFonts w:ascii="Courier New" w:cs="Courier New" w:eastAsia="Courier New" w:hAnsi="Courier New"/>
          <w:sz w:val="18"/>
          <w:szCs w:val="18"/>
          <w:color w:val="auto"/>
        </w:rPr>
        <w:t>"Our operating results were a substantial improvement over last year," said David Levin, President and Chief Executive Officer. "This is our first quarter where the Company's efforts were entirely focused on its core big &amp; tall businesses."</w:t>
      </w:r>
    </w:p>
    <w:p>
      <w:pPr>
        <w:spacing w:after="0" w:line="207" w:lineRule="exact"/>
        <w:rPr>
          <w:sz w:val="20"/>
          <w:szCs w:val="20"/>
          <w:color w:val="auto"/>
        </w:rPr>
      </w:pPr>
    </w:p>
    <w:p>
      <w:pPr>
        <w:ind w:right="2739"/>
        <w:spacing w:after="0" w:line="270" w:lineRule="auto"/>
        <w:rPr>
          <w:sz w:val="20"/>
          <w:szCs w:val="20"/>
          <w:color w:val="auto"/>
        </w:rPr>
      </w:pPr>
      <w:r>
        <w:rPr>
          <w:rFonts w:ascii="Courier New" w:cs="Courier New" w:eastAsia="Courier New" w:hAnsi="Courier New"/>
          <w:sz w:val="16"/>
          <w:szCs w:val="16"/>
          <w:color w:val="auto"/>
        </w:rPr>
        <w:t>In addition to the financial measures prepared in accordance with generally accepted accounting principles (GAAP), our above discussion refers to a normalized tax rate, which is a non-GAAP measure. Normalized tax basis reflects a 37% effective tax rate on pre-tax loss. The Company believes that the inclusion of this non-GAAP measure helps investors to gain a better understanding of the Company's performance, especially when comparing such results to previous periods or forecasts. However, this non-GAAP financial measure included in this press release is not meant to be considered superior to or as a substitute for results of operations prepared in accordance with GAAP. The following table shows the reconciliation of the net loss of $(0.05) per diluted share for the first quarter of fiscal 2005 as compared to net loss of $(0.15) per diluted share for the first quarter of fiscal 2004 on a GAAP basis effected for the adjustment for normalized taxes: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For the three months ended:</w:t>
            </w:r>
          </w:p>
        </w:tc>
        <w:tc>
          <w:tcPr>
            <w:tcW w:w="360" w:type="dxa"/>
            <w:vAlign w:val="bottom"/>
          </w:tcPr>
          <w:p>
            <w:pPr>
              <w:spacing w:after="0"/>
              <w:rPr>
                <w:sz w:val="17"/>
                <w:szCs w:val="17"/>
                <w:color w:val="auto"/>
              </w:rPr>
            </w:pPr>
          </w:p>
        </w:tc>
        <w:tc>
          <w:tcPr>
            <w:tcW w:w="232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April 30, 2005</w:t>
            </w:r>
          </w:p>
        </w:tc>
        <w:tc>
          <w:tcPr>
            <w:tcW w:w="520" w:type="dxa"/>
            <w:vAlign w:val="bottom"/>
          </w:tcPr>
          <w:p>
            <w:pPr>
              <w:spacing w:after="0"/>
              <w:rPr>
                <w:sz w:val="17"/>
                <w:szCs w:val="17"/>
                <w:color w:val="auto"/>
              </w:rPr>
            </w:pPr>
          </w:p>
        </w:tc>
        <w:tc>
          <w:tcPr>
            <w:tcW w:w="200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May 1, 2004</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 millions, except for per</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 amounts)</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Loss</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Net Loss</w:t>
            </w:r>
          </w:p>
        </w:tc>
      </w:tr>
      <w:tr>
        <w:trPr>
          <w:trHeight w:val="203"/>
        </w:trPr>
        <w:tc>
          <w:tcPr>
            <w:tcW w:w="3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 Share</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 Share</w:t>
            </w:r>
          </w:p>
        </w:tc>
      </w:tr>
      <w:tr>
        <w:trPr>
          <w:trHeight w:val="203"/>
        </w:trPr>
        <w:tc>
          <w:tcPr>
            <w:tcW w:w="3020" w:type="dxa"/>
            <w:vAlign w:val="bottom"/>
          </w:tcPr>
          <w:p>
            <w:pPr>
              <w:spacing w:after="0"/>
              <w:rPr>
                <w:sz w:val="17"/>
                <w:szCs w:val="17"/>
                <w:color w:val="auto"/>
              </w:rPr>
            </w:pPr>
          </w:p>
        </w:tc>
        <w:tc>
          <w:tcPr>
            <w:tcW w:w="26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25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as reported</w:t>
            </w:r>
          </w:p>
        </w:tc>
        <w:tc>
          <w:tcPr>
            <w:tcW w:w="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$(0.05)</w:t>
            </w:r>
          </w:p>
        </w:tc>
        <w:tc>
          <w:tcPr>
            <w:tcW w:w="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$(0.15)</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Income tax benefit, assuming</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normalized tax rate of 37%</w:t>
            </w:r>
          </w:p>
        </w:tc>
        <w:tc>
          <w:tcPr>
            <w:tcW w:w="3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0.7</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0.02</w:t>
            </w:r>
          </w:p>
        </w:tc>
        <w:tc>
          <w:tcPr>
            <w:tcW w:w="5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0.06</w:t>
            </w:r>
          </w:p>
        </w:tc>
      </w:tr>
      <w:tr>
        <w:trPr>
          <w:trHeight w:val="203"/>
        </w:trPr>
        <w:tc>
          <w:tcPr>
            <w:tcW w:w="3020" w:type="dxa"/>
            <w:vAlign w:val="bottom"/>
          </w:tcPr>
          <w:p>
            <w:pPr>
              <w:spacing w:after="0"/>
              <w:rPr>
                <w:sz w:val="17"/>
                <w:szCs w:val="17"/>
                <w:color w:val="auto"/>
              </w:rPr>
            </w:pPr>
          </w:p>
        </w:tc>
        <w:tc>
          <w:tcPr>
            <w:tcW w:w="26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25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Adjusted net loss, after</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normalized tax benefit</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$(0.03)</w:t>
            </w:r>
          </w:p>
        </w:tc>
        <w:tc>
          <w:tcPr>
            <w:tcW w:w="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$(0.09)</w:t>
            </w:r>
          </w:p>
        </w:tc>
      </w:tr>
      <w:tr>
        <w:trPr>
          <w:trHeight w:val="203"/>
        </w:trPr>
        <w:tc>
          <w:tcPr>
            <w:tcW w:w="3020" w:type="dxa"/>
            <w:vAlign w:val="bottom"/>
          </w:tcPr>
          <w:p>
            <w:pPr>
              <w:spacing w:after="0"/>
              <w:rPr>
                <w:sz w:val="17"/>
                <w:szCs w:val="17"/>
                <w:color w:val="auto"/>
              </w:rPr>
            </w:pPr>
          </w:p>
        </w:tc>
        <w:tc>
          <w:tcPr>
            <w:tcW w:w="26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25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Weighted average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c>
          <w:tcPr>
            <w:tcW w:w="23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outstanding - diluted</w:t>
            </w:r>
          </w:p>
        </w:tc>
        <w:tc>
          <w:tcPr>
            <w:tcW w:w="2380" w:type="dxa"/>
            <w:vAlign w:val="bottom"/>
          </w:tcPr>
          <w:p>
            <w:pPr>
              <w:jc w:val="right"/>
              <w:ind w:right="1452"/>
              <w:spacing w:after="0" w:line="203" w:lineRule="exact"/>
              <w:rPr>
                <w:sz w:val="20"/>
                <w:szCs w:val="20"/>
                <w:color w:val="auto"/>
              </w:rPr>
            </w:pPr>
            <w:r>
              <w:rPr>
                <w:rFonts w:ascii="Courier New" w:cs="Courier New" w:eastAsia="Courier New" w:hAnsi="Courier New"/>
                <w:sz w:val="18"/>
                <w:szCs w:val="18"/>
                <w:color w:val="auto"/>
              </w:rPr>
              <w:t>34.2</w:t>
            </w:r>
          </w:p>
        </w:tc>
        <w:tc>
          <w:tcPr>
            <w:tcW w:w="20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35.1</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Casual Male will</w:t>
            </w:r>
          </w:p>
        </w:tc>
        <w:tc>
          <w:tcPr>
            <w:tcW w:w="57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host a conference call with security analysts</w:t>
            </w:r>
          </w:p>
        </w:tc>
      </w:tr>
      <w:tr>
        <w:trPr>
          <w:trHeight w:val="203"/>
        </w:trPr>
        <w:tc>
          <w:tcPr>
            <w:tcW w:w="5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beginning at 11:00 a.m. ET today, Thursday, May 19,</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2005, to review the</w:t>
            </w:r>
          </w:p>
        </w:tc>
      </w:tr>
      <w:tr>
        <w:trPr>
          <w:trHeight w:val="203"/>
        </w:trPr>
        <w:tc>
          <w:tcPr>
            <w:tcW w:w="5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operating results for the first quarter ended April</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30, 2005. The call</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is being webcast</w:t>
            </w:r>
          </w:p>
        </w:tc>
        <w:tc>
          <w:tcPr>
            <w:tcW w:w="3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by CCBN and can be accessed at</w:t>
            </w:r>
          </w:p>
        </w:tc>
        <w:tc>
          <w:tcPr>
            <w:tcW w:w="2040" w:type="dxa"/>
            <w:vAlign w:val="bottom"/>
          </w:tcPr>
          <w:p>
            <w:pPr>
              <w:spacing w:after="0"/>
              <w:rPr>
                <w:sz w:val="17"/>
                <w:szCs w:val="17"/>
                <w:color w:val="auto"/>
              </w:rPr>
            </w:pP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www.casualmale.com/investor.</w:t>
            </w:r>
          </w:p>
        </w:tc>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During the conference</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call the Company</w:t>
            </w:r>
          </w:p>
        </w:tc>
      </w:tr>
      <w:tr>
        <w:trPr>
          <w:trHeight w:val="203"/>
        </w:trPr>
        <w:tc>
          <w:tcPr>
            <w:tcW w:w="7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may discuss and answer questions concerning business and financial</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developments and</w:t>
            </w:r>
          </w:p>
        </w:tc>
        <w:tc>
          <w:tcPr>
            <w:tcW w:w="3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trends. The Company's responses to</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questions, as well</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as other matters</w:t>
            </w:r>
          </w:p>
        </w:tc>
        <w:tc>
          <w:tcPr>
            <w:tcW w:w="57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discussed during the conference call, may contain or</w:t>
            </w:r>
          </w:p>
        </w:tc>
      </w:tr>
    </w:tbl>
    <w:p>
      <w:pPr>
        <w:spacing w:after="0" w:line="238" w:lineRule="auto"/>
        <w:rPr>
          <w:sz w:val="20"/>
          <w:szCs w:val="20"/>
          <w:color w:val="auto"/>
        </w:rPr>
      </w:pPr>
      <w:r>
        <w:rPr>
          <w:rFonts w:ascii="Courier New" w:cs="Courier New" w:eastAsia="Courier New" w:hAnsi="Courier New"/>
          <w:sz w:val="18"/>
          <w:szCs w:val="18"/>
          <w:color w:val="auto"/>
        </w:rPr>
        <w:t>constitute information that has not been disclosed previously.</w:t>
      </w:r>
    </w:p>
    <w:p>
      <w:pPr>
        <w:sectPr>
          <w:pgSz w:w="11900" w:h="16838" w:orient="portrait"/>
          <w:cols w:equalWidth="0" w:num="1">
            <w:col w:w="10219"/>
          </w:cols>
          <w:pgMar w:left="240" w:top="339" w:right="1440" w:bottom="0" w:gutter="0" w:footer="0" w:header="0"/>
        </w:sectPr>
      </w:pPr>
    </w:p>
    <w:bookmarkStart w:id="3" w:name="page4"/>
    <w:bookmarkEnd w:id="3"/>
    <w:p>
      <w:pPr>
        <w:ind w:right="2739"/>
        <w:spacing w:after="0" w:line="237" w:lineRule="auto"/>
        <w:rPr>
          <w:sz w:val="20"/>
          <w:szCs w:val="20"/>
          <w:color w:val="auto"/>
        </w:rPr>
      </w:pPr>
      <w:r>
        <w:rPr>
          <w:rFonts w:ascii="Courier New" w:cs="Courier New" w:eastAsia="Courier New" w:hAnsi="Courier New"/>
          <w:sz w:val="18"/>
          <w:szCs w:val="18"/>
          <w:color w:val="auto"/>
        </w:rPr>
        <w:t>Casual Male Retail Group, Inc., the largest retailer of big and tall men's apparel with retail operations throughout the United States, Canada and London, England, operates 495 Casual Male Big &amp; Tall stores, the Casual Male e-commerce site, Casual Male catalog business, 13 Casual Male at Sears-Canada stores and 22 Rochester Big &amp; Tall stores and a direct to consumer business. The Company is headquartered in Canton, Massachusetts and its common stock is listed on the Nasdaq National Market under the symbol "CMRG."</w:t>
      </w:r>
    </w:p>
    <w:p>
      <w:pPr>
        <w:spacing w:after="0" w:line="212" w:lineRule="exact"/>
        <w:rPr>
          <w:sz w:val="20"/>
          <w:szCs w:val="20"/>
          <w:color w:val="auto"/>
        </w:rPr>
      </w:pPr>
    </w:p>
    <w:p>
      <w:pPr>
        <w:ind w:right="2839"/>
        <w:spacing w:after="0" w:line="270"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Current Report Form 8-K filed on April 8, 2005, that set forth certain risks and uncertainties that may have an impact on future results and direction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CASUAL MALE RETAIL GROUP, INC.</w:t>
      </w:r>
    </w:p>
    <w:p>
      <w:pPr>
        <w:ind w:left="2000"/>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ind w:left="200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2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8"/>
              </w:rPr>
              <w:t>For the three months ended</w:t>
            </w:r>
          </w:p>
        </w:tc>
      </w:tr>
      <w:tr>
        <w:trPr>
          <w:trHeight w:val="203"/>
        </w:trPr>
        <w:tc>
          <w:tcPr>
            <w:tcW w:w="4480" w:type="dxa"/>
            <w:vAlign w:val="bottom"/>
          </w:tcPr>
          <w:p>
            <w:pPr>
              <w:spacing w:after="0"/>
              <w:rPr>
                <w:sz w:val="17"/>
                <w:szCs w:val="17"/>
                <w:color w:val="auto"/>
              </w:rPr>
            </w:pPr>
          </w:p>
        </w:tc>
        <w:tc>
          <w:tcPr>
            <w:tcW w:w="20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April 30, 2005</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May 1, 2004</w:t>
            </w:r>
          </w:p>
        </w:tc>
      </w:tr>
      <w:tr>
        <w:trPr>
          <w:trHeight w:val="203"/>
        </w:trPr>
        <w:tc>
          <w:tcPr>
            <w:tcW w:w="4480" w:type="dxa"/>
            <w:vAlign w:val="bottom"/>
          </w:tcPr>
          <w:p>
            <w:pPr>
              <w:spacing w:after="0"/>
              <w:rPr>
                <w:sz w:val="17"/>
                <w:szCs w:val="17"/>
                <w:color w:val="auto"/>
              </w:rPr>
            </w:pPr>
          </w:p>
        </w:tc>
        <w:tc>
          <w:tcPr>
            <w:tcW w:w="20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97,298</w:t>
            </w:r>
          </w:p>
        </w:tc>
        <w:tc>
          <w:tcPr>
            <w:tcW w:w="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84,175</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Cost of goods sold including occupancy</w:t>
            </w:r>
          </w:p>
        </w:tc>
        <w:tc>
          <w:tcPr>
            <w:tcW w:w="420" w:type="dxa"/>
            <w:vAlign w:val="bottom"/>
          </w:tcPr>
          <w:p>
            <w:pPr>
              <w:spacing w:after="0"/>
              <w:rPr>
                <w:sz w:val="24"/>
                <w:szCs w:val="24"/>
                <w:color w:val="auto"/>
              </w:rPr>
            </w:pPr>
          </w:p>
        </w:tc>
        <w:tc>
          <w:tcPr>
            <w:tcW w:w="1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57,059</w:t>
            </w:r>
          </w:p>
        </w:tc>
        <w:tc>
          <w:tcPr>
            <w:tcW w:w="74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50,449</w:t>
            </w:r>
          </w:p>
        </w:tc>
      </w:tr>
      <w:tr>
        <w:trPr>
          <w:trHeight w:val="203"/>
        </w:trPr>
        <w:tc>
          <w:tcPr>
            <w:tcW w:w="448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420" w:type="dxa"/>
            <w:vAlign w:val="bottom"/>
          </w:tcPr>
          <w:p>
            <w:pPr>
              <w:spacing w:after="0"/>
              <w:rPr>
                <w:sz w:val="17"/>
                <w:szCs w:val="17"/>
                <w:color w:val="auto"/>
              </w:rPr>
            </w:pP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40,239</w:t>
            </w:r>
          </w:p>
        </w:tc>
        <w:tc>
          <w:tcPr>
            <w:tcW w:w="74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33,726</w:t>
            </w:r>
          </w:p>
        </w:tc>
      </w:tr>
      <w:tr>
        <w:trPr>
          <w:trHeight w:val="608"/>
        </w:trPr>
        <w:tc>
          <w:tcPr>
            <w:tcW w:w="448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420" w:type="dxa"/>
            <w:vAlign w:val="bottom"/>
          </w:tcPr>
          <w:p>
            <w:pPr>
              <w:spacing w:after="0"/>
              <w:rPr>
                <w:sz w:val="17"/>
                <w:szCs w:val="17"/>
                <w:color w:val="auto"/>
              </w:rPr>
            </w:pP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37,162</w:t>
            </w:r>
          </w:p>
        </w:tc>
        <w:tc>
          <w:tcPr>
            <w:tcW w:w="74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33,153</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20" w:type="dxa"/>
            <w:vAlign w:val="bottom"/>
          </w:tcPr>
          <w:p>
            <w:pPr>
              <w:spacing w:after="0"/>
              <w:rPr>
                <w:sz w:val="17"/>
                <w:szCs w:val="17"/>
                <w:color w:val="auto"/>
              </w:rPr>
            </w:pP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2,978</w:t>
            </w:r>
          </w:p>
        </w:tc>
        <w:tc>
          <w:tcPr>
            <w:tcW w:w="74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2,221</w:t>
            </w:r>
          </w:p>
        </w:tc>
      </w:tr>
      <w:tr>
        <w:trPr>
          <w:trHeight w:val="203"/>
        </w:trPr>
        <w:tc>
          <w:tcPr>
            <w:tcW w:w="448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420" w:type="dxa"/>
            <w:vAlign w:val="bottom"/>
          </w:tcPr>
          <w:p>
            <w:pPr>
              <w:spacing w:after="0"/>
              <w:rPr>
                <w:sz w:val="17"/>
                <w:szCs w:val="17"/>
                <w:color w:val="auto"/>
              </w:rPr>
            </w:pP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40,140</w:t>
            </w:r>
          </w:p>
        </w:tc>
        <w:tc>
          <w:tcPr>
            <w:tcW w:w="74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35,374</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Operating income (loss)</w:t>
            </w:r>
          </w:p>
        </w:tc>
        <w:tc>
          <w:tcPr>
            <w:tcW w:w="420" w:type="dxa"/>
            <w:vAlign w:val="bottom"/>
          </w:tcPr>
          <w:p>
            <w:pPr>
              <w:spacing w:after="0"/>
              <w:rPr>
                <w:sz w:val="24"/>
                <w:szCs w:val="24"/>
                <w:color w:val="auto"/>
              </w:rPr>
            </w:pPr>
          </w:p>
        </w:tc>
        <w:tc>
          <w:tcPr>
            <w:tcW w:w="1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99</w:t>
            </w:r>
          </w:p>
        </w:tc>
        <w:tc>
          <w:tcPr>
            <w:tcW w:w="7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(1,648)</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Interest expense, net</w:t>
            </w:r>
          </w:p>
        </w:tc>
        <w:tc>
          <w:tcPr>
            <w:tcW w:w="420" w:type="dxa"/>
            <w:vAlign w:val="bottom"/>
          </w:tcPr>
          <w:p>
            <w:pPr>
              <w:spacing w:after="0"/>
              <w:rPr>
                <w:sz w:val="24"/>
                <w:szCs w:val="24"/>
                <w:color w:val="auto"/>
              </w:rPr>
            </w:pPr>
          </w:p>
        </w:tc>
        <w:tc>
          <w:tcPr>
            <w:tcW w:w="15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(1,980)</w:t>
            </w:r>
          </w:p>
        </w:tc>
        <w:tc>
          <w:tcPr>
            <w:tcW w:w="7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(2,179)</w:t>
            </w:r>
          </w:p>
        </w:tc>
      </w:tr>
      <w:tr>
        <w:trPr>
          <w:trHeight w:val="203"/>
        </w:trPr>
        <w:tc>
          <w:tcPr>
            <w:tcW w:w="448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continuing operations</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before minority interest and income taxes</w:t>
            </w:r>
          </w:p>
        </w:tc>
        <w:tc>
          <w:tcPr>
            <w:tcW w:w="420" w:type="dxa"/>
            <w:vAlign w:val="bottom"/>
          </w:tcPr>
          <w:p>
            <w:pPr>
              <w:spacing w:after="0"/>
              <w:rPr>
                <w:sz w:val="17"/>
                <w:szCs w:val="17"/>
                <w:color w:val="auto"/>
              </w:rPr>
            </w:pP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(1,881)</w:t>
            </w:r>
          </w:p>
        </w:tc>
        <w:tc>
          <w:tcPr>
            <w:tcW w:w="7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(3,827)</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Minority interest</w:t>
            </w:r>
          </w:p>
        </w:tc>
        <w:tc>
          <w:tcPr>
            <w:tcW w:w="420" w:type="dxa"/>
            <w:vAlign w:val="bottom"/>
          </w:tcPr>
          <w:p>
            <w:pPr>
              <w:spacing w:after="0"/>
              <w:rPr>
                <w:sz w:val="24"/>
                <w:szCs w:val="24"/>
                <w:color w:val="auto"/>
              </w:rPr>
            </w:pPr>
          </w:p>
        </w:tc>
        <w:tc>
          <w:tcPr>
            <w:tcW w:w="158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(347)</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Income taxes</w:t>
            </w:r>
          </w:p>
        </w:tc>
        <w:tc>
          <w:tcPr>
            <w:tcW w:w="420" w:type="dxa"/>
            <w:vAlign w:val="bottom"/>
          </w:tcPr>
          <w:p>
            <w:pPr>
              <w:spacing w:after="0"/>
              <w:rPr>
                <w:sz w:val="24"/>
                <w:szCs w:val="24"/>
                <w:color w:val="auto"/>
              </w:rPr>
            </w:pPr>
          </w:p>
        </w:tc>
        <w:tc>
          <w:tcPr>
            <w:tcW w:w="158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4"/>
                <w:szCs w:val="24"/>
                <w:color w:val="auto"/>
              </w:rPr>
            </w:pP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20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continuing operations</w:t>
            </w:r>
          </w:p>
        </w:tc>
        <w:tc>
          <w:tcPr>
            <w:tcW w:w="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(1,881)</w:t>
            </w:r>
          </w:p>
        </w:tc>
        <w:tc>
          <w:tcPr>
            <w:tcW w:w="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(3,480)</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Loss from discontinued operations</w:t>
            </w:r>
          </w:p>
        </w:tc>
        <w:tc>
          <w:tcPr>
            <w:tcW w:w="420" w:type="dxa"/>
            <w:vAlign w:val="bottom"/>
          </w:tcPr>
          <w:p>
            <w:pPr>
              <w:spacing w:after="0"/>
              <w:rPr>
                <w:sz w:val="24"/>
                <w:szCs w:val="24"/>
                <w:color w:val="auto"/>
              </w:rPr>
            </w:pPr>
          </w:p>
        </w:tc>
        <w:tc>
          <w:tcPr>
            <w:tcW w:w="158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(1,614)</w:t>
            </w:r>
          </w:p>
        </w:tc>
      </w:tr>
      <w:tr>
        <w:trPr>
          <w:trHeight w:val="203"/>
        </w:trPr>
        <w:tc>
          <w:tcPr>
            <w:tcW w:w="4480" w:type="dxa"/>
            <w:vAlign w:val="bottom"/>
          </w:tcPr>
          <w:p>
            <w:pPr>
              <w:spacing w:after="0"/>
              <w:rPr>
                <w:sz w:val="17"/>
                <w:szCs w:val="17"/>
                <w:color w:val="auto"/>
              </w:rPr>
            </w:pPr>
          </w:p>
        </w:tc>
        <w:tc>
          <w:tcPr>
            <w:tcW w:w="20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(1,881)</w:t>
            </w:r>
          </w:p>
        </w:tc>
        <w:tc>
          <w:tcPr>
            <w:tcW w:w="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(5,094)</w:t>
            </w:r>
          </w:p>
        </w:tc>
      </w:tr>
      <w:tr>
        <w:trPr>
          <w:trHeight w:val="608"/>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loss per share - basic and diluted</w:t>
            </w: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Loss from continuing operations</w:t>
            </w:r>
          </w:p>
        </w:tc>
        <w:tc>
          <w:tcPr>
            <w:tcW w:w="42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($0.05)</w:t>
            </w:r>
          </w:p>
        </w:tc>
        <w:tc>
          <w:tcPr>
            <w:tcW w:w="7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($0.10)</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Loss from discontinued operations</w:t>
            </w:r>
          </w:p>
        </w:tc>
        <w:tc>
          <w:tcPr>
            <w:tcW w:w="420" w:type="dxa"/>
            <w:vAlign w:val="bottom"/>
          </w:tcPr>
          <w:p>
            <w:pPr>
              <w:spacing w:after="0"/>
              <w:rPr>
                <w:sz w:val="17"/>
                <w:szCs w:val="17"/>
                <w:color w:val="auto"/>
              </w:rPr>
            </w:pP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$0.00</w:t>
            </w:r>
          </w:p>
        </w:tc>
        <w:tc>
          <w:tcPr>
            <w:tcW w:w="7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($0.05)</w:t>
            </w:r>
          </w:p>
        </w:tc>
      </w:tr>
      <w:tr>
        <w:trPr>
          <w:trHeight w:val="203"/>
        </w:trPr>
        <w:tc>
          <w:tcPr>
            <w:tcW w:w="4480" w:type="dxa"/>
            <w:vAlign w:val="bottom"/>
          </w:tcPr>
          <w:p>
            <w:pPr>
              <w:spacing w:after="0"/>
              <w:rPr>
                <w:sz w:val="17"/>
                <w:szCs w:val="17"/>
                <w:color w:val="auto"/>
              </w:rPr>
            </w:pPr>
          </w:p>
        </w:tc>
        <w:tc>
          <w:tcPr>
            <w:tcW w:w="20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42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($0.05)</w:t>
            </w:r>
          </w:p>
        </w:tc>
        <w:tc>
          <w:tcPr>
            <w:tcW w:w="7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($0.15)</w:t>
            </w:r>
          </w:p>
        </w:tc>
      </w:tr>
      <w:tr>
        <w:trPr>
          <w:trHeight w:val="405"/>
        </w:trPr>
        <w:tc>
          <w:tcPr>
            <w:tcW w:w="6480" w:type="dxa"/>
            <w:vAlign w:val="bottom"/>
            <w:gridSpan w:val="3"/>
          </w:tcPr>
          <w:p>
            <w:pPr>
              <w:spacing w:after="0"/>
              <w:rPr>
                <w:sz w:val="20"/>
                <w:szCs w:val="20"/>
                <w:color w:val="auto"/>
              </w:rPr>
            </w:pPr>
            <w:r>
              <w:rPr>
                <w:rFonts w:ascii="Courier New" w:cs="Courier New" w:eastAsia="Courier New" w:hAnsi="Courier New"/>
                <w:sz w:val="18"/>
                <w:szCs w:val="18"/>
                <w:color w:val="auto"/>
              </w:rPr>
              <w:t>Weighted-average number of common shares outstanding:</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Basic and diluted</w:t>
            </w:r>
          </w:p>
        </w:tc>
        <w:tc>
          <w:tcPr>
            <w:tcW w:w="420" w:type="dxa"/>
            <w:vAlign w:val="bottom"/>
          </w:tcPr>
          <w:p>
            <w:pPr>
              <w:spacing w:after="0"/>
              <w:rPr>
                <w:sz w:val="17"/>
                <w:szCs w:val="17"/>
                <w:color w:val="auto"/>
              </w:rPr>
            </w:pP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34,234</w:t>
            </w:r>
          </w:p>
        </w:tc>
        <w:tc>
          <w:tcPr>
            <w:tcW w:w="74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35,126</w:t>
            </w:r>
          </w:p>
        </w:tc>
      </w:tr>
    </w:tbl>
    <w:p>
      <w:pPr>
        <w:sectPr>
          <w:pgSz w:w="11900" w:h="16838" w:orient="portrait"/>
          <w:cols w:equalWidth="0" w:num="1">
            <w:col w:w="10219"/>
          </w:cols>
          <w:pgMar w:left="240" w:top="344" w:right="1440" w:bottom="0" w:gutter="0" w:footer="0" w:header="0"/>
        </w:sectPr>
      </w:pPr>
    </w:p>
    <w:bookmarkStart w:id="4" w:name="page5"/>
    <w:bookmarkEnd w:id="4"/>
    <w:p>
      <w:pPr>
        <w:spacing w:after="0" w:line="317"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2320"/>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2719"/>
        <w:spacing w:after="0"/>
        <w:rPr>
          <w:sz w:val="20"/>
          <w:szCs w:val="20"/>
          <w:color w:val="auto"/>
        </w:rPr>
      </w:pPr>
      <w:r>
        <w:rPr>
          <w:rFonts w:ascii="Courier New" w:cs="Courier New" w:eastAsia="Courier New" w:hAnsi="Courier New"/>
          <w:sz w:val="18"/>
          <w:szCs w:val="18"/>
          <w:color w:val="auto"/>
        </w:rPr>
        <w:t>April 30, 2005 and January 29, 2005</w:t>
      </w:r>
    </w:p>
    <w:p>
      <w:pPr>
        <w:jc w:val="center"/>
        <w:ind w:right="2819"/>
        <w:spacing w:after="0" w:line="237"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17"/>
                <w:szCs w:val="17"/>
                <w:color w:val="auto"/>
              </w:rPr>
            </w:pPr>
          </w:p>
        </w:tc>
        <w:tc>
          <w:tcPr>
            <w:tcW w:w="16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April 30, 2005</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January 29, 2005</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Cash and investments</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5,816</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5,731</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42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92,160</w:t>
            </w:r>
          </w:p>
        </w:tc>
        <w:tc>
          <w:tcPr>
            <w:tcW w:w="6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79,858</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42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7,097</w:t>
            </w:r>
          </w:p>
        </w:tc>
        <w:tc>
          <w:tcPr>
            <w:tcW w:w="6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9,178</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42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73,716</w:t>
            </w:r>
          </w:p>
        </w:tc>
        <w:tc>
          <w:tcPr>
            <w:tcW w:w="6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74,651</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and other intangibles</w:t>
            </w:r>
          </w:p>
        </w:tc>
        <w:tc>
          <w:tcPr>
            <w:tcW w:w="42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89,217</w:t>
            </w:r>
          </w:p>
        </w:tc>
        <w:tc>
          <w:tcPr>
            <w:tcW w:w="6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89,349</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42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9,037</w:t>
            </w:r>
          </w:p>
        </w:tc>
        <w:tc>
          <w:tcPr>
            <w:tcW w:w="6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9,021</w:t>
            </w:r>
          </w:p>
        </w:tc>
      </w:tr>
      <w:tr>
        <w:trPr>
          <w:trHeight w:val="203"/>
        </w:trPr>
        <w:tc>
          <w:tcPr>
            <w:tcW w:w="4600" w:type="dxa"/>
            <w:vAlign w:val="bottom"/>
          </w:tcPr>
          <w:p>
            <w:pPr>
              <w:spacing w:after="0"/>
              <w:rPr>
                <w:sz w:val="17"/>
                <w:szCs w:val="17"/>
                <w:color w:val="auto"/>
              </w:rPr>
            </w:pPr>
          </w:p>
        </w:tc>
        <w:tc>
          <w:tcPr>
            <w:tcW w:w="16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assets</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277,043</w:t>
            </w: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$ 267,788</w:t>
            </w:r>
          </w:p>
        </w:tc>
      </w:tr>
      <w:tr>
        <w:trPr>
          <w:trHeight w:val="608"/>
        </w:trPr>
        <w:tc>
          <w:tcPr>
            <w:tcW w:w="460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Accounts payable, accrued expenses</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other liabilities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57,561</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53,729</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42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27,401</w:t>
            </w:r>
          </w:p>
        </w:tc>
        <w:tc>
          <w:tcPr>
            <w:tcW w:w="6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19,311</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net of current portion</w:t>
            </w:r>
          </w:p>
        </w:tc>
        <w:tc>
          <w:tcPr>
            <w:tcW w:w="42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116,820</w:t>
            </w:r>
          </w:p>
        </w:tc>
        <w:tc>
          <w:tcPr>
            <w:tcW w:w="6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117,784</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42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75,261</w:t>
            </w:r>
          </w:p>
        </w:tc>
        <w:tc>
          <w:tcPr>
            <w:tcW w:w="6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76,964</w:t>
            </w:r>
          </w:p>
        </w:tc>
      </w:tr>
      <w:tr>
        <w:trPr>
          <w:trHeight w:val="203"/>
        </w:trPr>
        <w:tc>
          <w:tcPr>
            <w:tcW w:w="4600" w:type="dxa"/>
            <w:vAlign w:val="bottom"/>
          </w:tcPr>
          <w:p>
            <w:pPr>
              <w:spacing w:after="0"/>
              <w:rPr>
                <w:sz w:val="17"/>
                <w:szCs w:val="17"/>
                <w:color w:val="auto"/>
              </w:rPr>
            </w:pPr>
          </w:p>
        </w:tc>
        <w:tc>
          <w:tcPr>
            <w:tcW w:w="16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Total liabilities and stockholders' equity</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277,043</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267,788</w:t>
            </w:r>
          </w:p>
        </w:tc>
      </w:tr>
    </w:tbl>
    <w:p>
      <w:pPr>
        <w:spacing w:after="0" w:line="1" w:lineRule="exact"/>
        <w:rPr>
          <w:sz w:val="20"/>
          <w:szCs w:val="20"/>
          <w:color w:val="auto"/>
        </w:rPr>
      </w:pP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78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2019-12-11T21:29:17Z</dcterms:created>
  <dcterms:modified xsi:type="dcterms:W3CDTF">2019-12-11T21:29:17Z</dcterms:modified>
</cp:coreProperties>
</file>