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159385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940" w:type="dxa"/>
            <w:vAlign w:val="bottom"/>
          </w:tcPr>
          <w:p>
            <w:pPr>
              <w:jc w:val="center"/>
              <w:ind w:right="261"/>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4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9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700" w:type="dxa"/>
            <w:vAlign w:val="bottom"/>
          </w:tcPr>
          <w:p>
            <w:pPr>
              <w:jc w:val="center"/>
              <w:ind w:left="3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261"/>
              <w:spacing w:after="0"/>
              <w:rPr>
                <w:sz w:val="20"/>
                <w:szCs w:val="20"/>
                <w:color w:val="auto"/>
              </w:rPr>
            </w:pPr>
            <w:r>
              <w:rPr>
                <w:rFonts w:ascii="Arial" w:cs="Arial" w:eastAsia="Arial" w:hAnsi="Arial"/>
                <w:sz w:val="14"/>
                <w:szCs w:val="14"/>
                <w:b w:val="1"/>
                <w:bCs w:val="1"/>
                <w:color w:val="auto"/>
                <w:w w:val="94"/>
              </w:rPr>
              <w:t>incorporation or organization)</w:t>
            </w:r>
          </w:p>
        </w:tc>
        <w:tc>
          <w:tcPr>
            <w:tcW w:w="4700" w:type="dxa"/>
            <w:vAlign w:val="bottom"/>
          </w:tcPr>
          <w:p>
            <w:pPr>
              <w:jc w:val="center"/>
              <w:ind w:left="3501"/>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2940" w:type="dxa"/>
            <w:vAlign w:val="bottom"/>
          </w:tcPr>
          <w:p>
            <w:pPr>
              <w:jc w:val="center"/>
              <w:ind w:right="281"/>
              <w:spacing w:after="0"/>
              <w:rPr>
                <w:sz w:val="20"/>
                <w:szCs w:val="20"/>
                <w:color w:val="auto"/>
              </w:rPr>
            </w:pPr>
            <w:r>
              <w:rPr>
                <w:rFonts w:ascii="Arial" w:cs="Arial" w:eastAsia="Arial" w:hAnsi="Arial"/>
                <w:sz w:val="18"/>
                <w:szCs w:val="18"/>
                <w:b w:val="1"/>
                <w:bCs w:val="1"/>
                <w:color w:val="auto"/>
                <w:w w:val="93"/>
              </w:rPr>
              <w:t>555 Turnpike Street, Canton, MA</w:t>
            </w:r>
          </w:p>
        </w:tc>
        <w:tc>
          <w:tcPr>
            <w:tcW w:w="470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2940" w:type="dxa"/>
            <w:vAlign w:val="bottom"/>
          </w:tcPr>
          <w:p>
            <w:pPr>
              <w:jc w:val="center"/>
              <w:ind w:right="2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00" w:type="dxa"/>
            <w:vAlign w:val="bottom"/>
          </w:tcPr>
          <w:p>
            <w:pPr>
              <w:jc w:val="center"/>
              <w:ind w:left="35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940" w:type="dxa"/>
            <w:vAlign w:val="bottom"/>
          </w:tcPr>
          <w:p>
            <w:pPr>
              <w:spacing w:after="0"/>
              <w:rPr>
                <w:sz w:val="24"/>
                <w:szCs w:val="24"/>
                <w:color w:val="auto"/>
              </w:rPr>
            </w:pPr>
          </w:p>
        </w:tc>
        <w:tc>
          <w:tcPr>
            <w:tcW w:w="4700" w:type="dxa"/>
            <w:vAlign w:val="bottom"/>
          </w:tcPr>
          <w:p>
            <w:pPr>
              <w:jc w:val="center"/>
              <w:ind w:right="2101"/>
              <w:spacing w:after="0"/>
              <w:rPr>
                <w:sz w:val="20"/>
                <w:szCs w:val="20"/>
                <w:color w:val="auto"/>
              </w:rPr>
            </w:pPr>
            <w:r>
              <w:rPr>
                <w:rFonts w:ascii="Arial" w:cs="Arial" w:eastAsia="Arial" w:hAnsi="Arial"/>
                <w:sz w:val="18"/>
                <w:szCs w:val="18"/>
                <w:b w:val="1"/>
                <w:bCs w:val="1"/>
                <w:color w:val="auto"/>
                <w:w w:val="90"/>
              </w:rPr>
              <w:t>(781) 828-9300</w:t>
            </w:r>
          </w:p>
        </w:tc>
      </w:tr>
      <w:tr>
        <w:trPr>
          <w:trHeight w:val="149"/>
        </w:trPr>
        <w:tc>
          <w:tcPr>
            <w:tcW w:w="2940" w:type="dxa"/>
            <w:vAlign w:val="bottom"/>
          </w:tcPr>
          <w:p>
            <w:pPr>
              <w:spacing w:after="0"/>
              <w:rPr>
                <w:sz w:val="12"/>
                <w:szCs w:val="12"/>
                <w:color w:val="auto"/>
              </w:rPr>
            </w:pPr>
          </w:p>
        </w:tc>
        <w:tc>
          <w:tcPr>
            <w:tcW w:w="4700" w:type="dxa"/>
            <w:vAlign w:val="bottom"/>
          </w:tcPr>
          <w:p>
            <w:pPr>
              <w:jc w:val="center"/>
              <w:ind w:right="2121"/>
              <w:spacing w:after="0" w:line="149" w:lineRule="exact"/>
              <w:rPr>
                <w:sz w:val="20"/>
                <w:szCs w:val="20"/>
                <w:color w:val="auto"/>
              </w:rPr>
            </w:pPr>
            <w:r>
              <w:rPr>
                <w:rFonts w:ascii="Arial" w:cs="Arial" w:eastAsia="Arial" w:hAnsi="Arial"/>
                <w:sz w:val="14"/>
                <w:szCs w:val="14"/>
                <w:b w:val="1"/>
                <w:bCs w:val="1"/>
                <w:color w:val="auto"/>
                <w:w w:val="91"/>
              </w:rPr>
              <w:t>(Registrant’s telephone</w:t>
            </w:r>
          </w:p>
        </w:tc>
      </w:tr>
      <w:tr>
        <w:trPr>
          <w:trHeight w:val="186"/>
        </w:trPr>
        <w:tc>
          <w:tcPr>
            <w:tcW w:w="2940" w:type="dxa"/>
            <w:vAlign w:val="bottom"/>
          </w:tcPr>
          <w:p>
            <w:pPr>
              <w:spacing w:after="0"/>
              <w:rPr>
                <w:sz w:val="16"/>
                <w:szCs w:val="16"/>
                <w:color w:val="auto"/>
              </w:rPr>
            </w:pPr>
          </w:p>
        </w:tc>
        <w:tc>
          <w:tcPr>
            <w:tcW w:w="4700" w:type="dxa"/>
            <w:vAlign w:val="bottom"/>
          </w:tcPr>
          <w:p>
            <w:pPr>
              <w:jc w:val="center"/>
              <w:ind w:right="2121"/>
              <w:spacing w:after="0"/>
              <w:rPr>
                <w:sz w:val="20"/>
                <w:szCs w:val="20"/>
                <w:color w:val="auto"/>
              </w:rPr>
            </w:pPr>
            <w:r>
              <w:rPr>
                <w:rFonts w:ascii="Arial" w:cs="Arial" w:eastAsia="Arial" w:hAnsi="Arial"/>
                <w:sz w:val="14"/>
                <w:szCs w:val="14"/>
                <w:b w:val="1"/>
                <w:bCs w:val="1"/>
                <w:color w:val="auto"/>
                <w:w w:val="91"/>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03"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820" w:space="720"/>
            <w:col w:w="4840" w:space="720"/>
            <w:col w:w="2340" w:space="720"/>
            <w:col w:w="260"/>
          </w:cols>
          <w:pgMar w:left="240" w:top="50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820" w:space="720"/>
            <w:col w:w="160" w:space="80"/>
            <w:col w:w="4600" w:space="720"/>
            <w:col w:w="2340" w:space="720"/>
            <w:col w:w="260"/>
          </w:cols>
          <w:pgMar w:left="240" w:top="503"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60"/>
          </w:cols>
          <w:pgMar w:left="240" w:top="503"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19, 2016 was 50,862,299.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color w:val="auto"/>
              </w:rPr>
              <w:t>July 30,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Property and equipment, net of accumulated depreciation and amortization</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274,026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7,524</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w w:val="97"/>
              </w:rPr>
              <w:t>Preferred stock, $0.01 par value, 1,000,000 shares authorized, none issued</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Common stock, $0.01 par value, 100,000,000 shares authorized, 61,739,738 and</w:t>
            </w:r>
          </w:p>
        </w:tc>
        <w:tc>
          <w:tcPr>
            <w:tcW w:w="196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w w:val="88"/>
              </w:rPr>
              <w:t>61,692,285 shares</w:t>
            </w: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issued at July 30, 2016 and January 30, 2016, respectively</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303,838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Treasury stock at cost, 10,877,439 shares at July 30, 2016 and January 30, 2016</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(87,977)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(119,898)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(120,311)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274,026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6"/>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4"/>
                <w:szCs w:val="14"/>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rPr>
              <w:t>July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August 1, 2015</w:t>
            </w:r>
          </w:p>
        </w:tc>
        <w:tc>
          <w:tcPr>
            <w:tcW w:w="20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July 30, 2016</w:t>
            </w:r>
          </w:p>
        </w:tc>
        <w:tc>
          <w:tcPr>
            <w:tcW w:w="18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August 1, 2015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2015)</w:t>
            </w:r>
          </w:p>
        </w:tc>
        <w:tc>
          <w:tcPr>
            <w:tcW w:w="200" w:type="dxa"/>
            <w:vAlign w:val="bottom"/>
          </w:tcPr>
          <w:p>
            <w:pPr>
              <w:spacing w:after="0"/>
              <w:rPr>
                <w:sz w:val="14"/>
                <w:szCs w:val="14"/>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color w:val="auto"/>
              </w:rPr>
              <w:t>(Fiscal 2016)</w:t>
            </w: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117,875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87,668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3"/>
                <w:szCs w:val="2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ind w:left="30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5"/>
                <w:szCs w:val="15"/>
                <w:color w:val="auto"/>
              </w:rPr>
            </w:pPr>
          </w:p>
        </w:tc>
        <w:tc>
          <w:tcPr>
            <w:tcW w:w="2540" w:type="dxa"/>
            <w:vAlign w:val="bottom"/>
            <w:gridSpan w:val="6"/>
          </w:tcPr>
          <w:p>
            <w:pPr>
              <w:ind w:left="3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July 30, 2016</w:t>
            </w: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August 1, 2015</w:t>
            </w:r>
          </w:p>
        </w:tc>
        <w:tc>
          <w:tcPr>
            <w:tcW w:w="14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July 30, 2016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August 1, 2015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w w:val="98"/>
              </w:rPr>
              <w:t>(Fiscal 2016)</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(Fiscal 2015)</w:t>
            </w:r>
          </w:p>
        </w:tc>
        <w:tc>
          <w:tcPr>
            <w:tcW w:w="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w w:val="98"/>
              </w:rPr>
              <w:t>(Fiscal 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(Fiscal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Additional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Paid-in</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Stock</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Accumulated</w:t>
            </w:r>
          </w:p>
        </w:tc>
        <w:tc>
          <w:tcPr>
            <w:tcW w:w="112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Comprehensive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Amounts</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Capital</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Amounts</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30, 2016</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61,692</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617</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$ 302,727</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 (87,977)</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(120,311)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$ 88,404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Pension plan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30, 2016</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$ 303,838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(87,977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(119,898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$ 90,259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5"/>
          </w:tcPr>
          <w:p>
            <w:pPr>
              <w:jc w:val="right"/>
              <w:ind w:right="10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2"/>
        </w:trPr>
        <w:tc>
          <w:tcPr>
            <w:tcW w:w="6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July 30, 2016</w:t>
            </w:r>
          </w:p>
        </w:tc>
        <w:tc>
          <w:tcPr>
            <w:tcW w:w="20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color w:val="auto"/>
              </w:rPr>
              <w:t>August 1, 2015</w:t>
            </w:r>
          </w:p>
        </w:tc>
        <w:tc>
          <w:tcPr>
            <w:tcW w:w="0" w:type="dxa"/>
            <w:vAlign w:val="bottom"/>
          </w:tcPr>
          <w:p>
            <w:pPr>
              <w:spacing w:after="0"/>
              <w:rPr>
                <w:sz w:val="1"/>
                <w:szCs w:val="1"/>
                <w:color w:val="auto"/>
              </w:rPr>
            </w:pPr>
          </w:p>
        </w:tc>
      </w:tr>
      <w:tr>
        <w:trPr>
          <w:trHeight w:val="167"/>
        </w:trPr>
        <w:tc>
          <w:tcPr>
            <w:tcW w:w="6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2016)</w:t>
            </w:r>
          </w:p>
        </w:tc>
        <w:tc>
          <w:tcPr>
            <w:tcW w:w="2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413</w:t>
            </w:r>
          </w:p>
        </w:tc>
        <w:tc>
          <w:tcPr>
            <w:tcW w:w="2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(733)</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8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Board of Directors stock compensation</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(2,392)</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(8,348)</w:t>
            </w: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(402)</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(114)</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(5,696)</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(3,163)</w:t>
            </w: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19,145</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(13,841)</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(16,979)</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(13,841)</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(16,979)</w:t>
            </w:r>
          </w:p>
        </w:tc>
        <w:tc>
          <w:tcPr>
            <w:tcW w:w="0" w:type="dxa"/>
            <w:vAlign w:val="bottom"/>
          </w:tcPr>
          <w:p>
            <w:pPr>
              <w:spacing w:after="0"/>
              <w:rPr>
                <w:sz w:val="1"/>
                <w:szCs w:val="1"/>
                <w:color w:val="auto"/>
              </w:rPr>
            </w:pPr>
          </w:p>
        </w:tc>
      </w:tr>
      <w:tr>
        <w:trPr>
          <w:trHeight w:val="213"/>
        </w:trPr>
        <w:tc>
          <w:tcPr>
            <w:tcW w:w="6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Proceeds from the exercise of stock options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(3,840)</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13"/>
        </w:trPr>
        <w:tc>
          <w:tcPr>
            <w:tcW w:w="6880" w:type="dxa"/>
            <w:vAlign w:val="bottom"/>
          </w:tcPr>
          <w:p>
            <w:pPr>
              <w:ind w:left="500"/>
              <w:spacing w:after="0"/>
              <w:rPr>
                <w:sz w:val="20"/>
                <w:szCs w:val="20"/>
                <w:color w:val="auto"/>
              </w:rPr>
            </w:pPr>
            <w:r>
              <w:rPr>
                <w:rFonts w:ascii="Arial" w:cs="Arial" w:eastAsia="Arial" w:hAnsi="Arial"/>
                <w:sz w:val="16"/>
                <w:szCs w:val="16"/>
                <w:color w:val="auto"/>
              </w:rPr>
              <w:t>Costs associated with debt issuances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borrowings (repayments) under credit facility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(870)</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260"/>
              <w:spacing w:after="0"/>
              <w:rPr>
                <w:sz w:val="20"/>
                <w:szCs w:val="20"/>
                <w:color w:val="auto"/>
              </w:rPr>
            </w:pPr>
            <w:r>
              <w:rPr>
                <w:rFonts w:ascii="Arial" w:cs="Arial" w:eastAsia="Arial" w:hAnsi="Arial"/>
                <w:sz w:val="16"/>
                <w:szCs w:val="16"/>
                <w:color w:val="auto"/>
              </w:rPr>
              <w:t>Net cash provided by (used for) financing activities</w:t>
            </w: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(4,710)</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Beginning of period</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260"/>
              <w:spacing w:after="0"/>
              <w:rPr>
                <w:sz w:val="20"/>
                <w:szCs w:val="20"/>
                <w:color w:val="auto"/>
              </w:rPr>
            </w:pPr>
            <w:r>
              <w:rPr>
                <w:rFonts w:ascii="Arial" w:cs="Arial" w:eastAsia="Arial" w:hAnsi="Arial"/>
                <w:sz w:val="16"/>
                <w:szCs w:val="16"/>
                <w:color w:val="auto"/>
              </w:rPr>
              <w:t>End of period</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5,764</w:t>
            </w:r>
          </w:p>
        </w:tc>
        <w:tc>
          <w:tcPr>
            <w:tcW w:w="2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5,798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2016 included in the Company’s Annual Report on Form 10-K, which was filed with the Securities and Exchange Commission on March 18, 2016.</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2016 and fiscal 2015 are 52-week periods ending January 28, 2017 and January 30,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At July 30, 2016, the “Casual Male” trademark had a carrying value of $0.8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six months ended July 30, 2016,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38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July 30, 2016, the fair value approximates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six months ended July 30, 2016 and August 1, 2015,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30, 2016</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color w:val="auto"/>
                <w:w w:val="93"/>
              </w:rPr>
              <w:t>August 1, 2015</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540"/>
              <w:spacing w:after="0" w:line="151"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six months ended: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30, 2016</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color w:val="auto"/>
                <w:w w:val="93"/>
              </w:rPr>
              <w:t>August 1, 2015</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540"/>
              <w:spacing w:after="0" w:line="151"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fiscal year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spacing w:after="0"/>
              <w:rPr>
                <w:sz w:val="19"/>
                <w:szCs w:val="19"/>
                <w:color w:val="auto"/>
              </w:rPr>
            </w:pPr>
          </w:p>
        </w:tc>
        <w:tc>
          <w:tcPr>
            <w:tcW w:w="220" w:type="dxa"/>
            <w:vAlign w:val="bottom"/>
            <w:gridSpan w:val="2"/>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(5,639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(6,321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(7,282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(7,663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0</wp:posOffset>
            </wp:positionV>
            <wp:extent cx="514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0</wp:posOffset>
            </wp:positionV>
            <wp:extent cx="506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5" w:lineRule="exact"/>
        <w:rPr>
          <w:sz w:val="20"/>
          <w:szCs w:val="20"/>
          <w:color w:val="auto"/>
        </w:rPr>
      </w:pPr>
    </w:p>
    <w:p>
      <w:pPr>
        <w:ind w:left="1040" w:right="40" w:hanging="519"/>
        <w:spacing w:after="0" w:line="279"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$200,000 and $184,000 for the three months ended July 30, 2016 and August 1, 2015, respectively, and $352,000 and $323,000 for the six months ended July 30, 2016 and August 1, 2015, respectively. There was no tax benefit for any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-575945</wp:posOffset>
            </wp:positionV>
            <wp:extent cx="38074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from the Company’s retail business is recorded upon purchase of merchandise by customers, net of an allowance for sales returns. Revenue from the Company’s direct business is recognized at the time a customer order is delivered, net of an allowance for sales returns. Revenue is recognized by the operating segment that fulfills a customer’s order.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is currently evaluating the impact of the adoption of ASU No. 2014-09 on its Consolidated Financial Statements.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and should be applied prospectively with early adoption permitted at the beginning of an interim or annual reporting period. The Company is currently evaluating the impact this pronouncement will have on its Consolidated Financial Statements but does not expect that there will be any material impact on its Consolidated Financial Statements.</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8"/>
          <w:szCs w:val="18"/>
          <w:color w:val="212121"/>
        </w:rPr>
        <w:t>In the financial statements in which the ASU is first applied, leases shall be measured and</w:t>
      </w:r>
      <w:r>
        <w:rPr>
          <w:rFonts w:ascii="Arial" w:cs="Arial" w:eastAsia="Arial" w:hAnsi="Arial"/>
          <w:sz w:val="18"/>
          <w:szCs w:val="18"/>
          <w:color w:val="auto"/>
        </w:rPr>
        <w:t xml:space="preserve"> </w:t>
      </w:r>
      <w:r>
        <w:rPr>
          <w:rFonts w:ascii="Arial" w:cs="Arial" w:eastAsia="Arial" w:hAnsi="Arial"/>
          <w:sz w:val="18"/>
          <w:szCs w:val="18"/>
          <w:color w:val="212121"/>
        </w:rPr>
        <w:t>recognized at the beginning of the earliest comparative period presented with an adjustment to equity. The Company is currently evaluating the impact this pronouncement will have on its Consolidated Financial Statements.</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2016, the FASB issued ASU 2016-09, “</w:t>
      </w:r>
      <w:r>
        <w:rPr>
          <w:rFonts w:ascii="Arial" w:cs="Arial" w:eastAsia="Arial" w:hAnsi="Arial"/>
          <w:sz w:val="18"/>
          <w:szCs w:val="18"/>
          <w:i w:val="1"/>
          <w:iCs w:val="1"/>
          <w:color w:val="auto"/>
        </w:rPr>
        <w:t>Compensation - Stock Compensation (Topic 718) -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simplifies several aspects of the accounting for share-based payment transactions, including the income tax consequences,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awards, and classification on the statement of cash flows. The standard is effective for fiscal years beginning after December 15, 2016, including interim periods within those fiscal years. The Company does not expect that the adoption of this pronouncement will have a material impact on its </w:t>
      </w:r>
      <w:r>
        <w:rPr>
          <w:rFonts w:ascii="Arial" w:cs="Arial" w:eastAsia="Arial" w:hAnsi="Arial"/>
          <w:sz w:val="18"/>
          <w:szCs w:val="18"/>
          <w:color w:val="212121"/>
        </w:rPr>
        <w:t>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w:t>
      </w:r>
      <w:r>
        <w:rPr>
          <w:rFonts w:ascii="Arial" w:cs="Arial" w:eastAsia="Arial" w:hAnsi="Arial"/>
          <w:sz w:val="18"/>
          <w:szCs w:val="18"/>
          <w:color w:val="000000"/>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six months of fiscal 2016, have had or are expected to have a significant impact on the Company’s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July 30, 2016, the Company had outstanding borrowings under the Credit Facility of $41.6 million, before unamortized debt issuance costs of $0.4 million. Outstanding standby letters of credit were $2.3 million and outstanding documentary letters of credit were $0.5 million. Unused excess availability at July 30, 2016 was $66.0 million. Average monthly borrowings outstanding under the Credit Facility during the first six months of fiscal 2016 were $50.6 million, resulting in an average unused excess availability of approximately $59.0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July 30, 2016, the Company’s prime-based interest rate was 4.0%. At July 30, 2016, the Company had approximately $38.0 million of its outstanding borrowings in LIBOR-based contracts with an interest rate of 1.94%. The LIBOR-based contracts expired between July 31, 2016 and August 3, 2016.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July 30, 2016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560" w:type="dxa"/>
        <w:tblCellMar>
          <w:top w:w="0" w:type="dxa"/>
          <w:left w:w="0" w:type="dxa"/>
          <w:bottom w:w="0" w:type="dxa"/>
          <w:right w:w="0" w:type="dxa"/>
        </w:tblCellMar>
      </w:tblPr>
      <w:tr>
        <w:trPr>
          <w:trHeight w:val="167"/>
        </w:trPr>
        <w:tc>
          <w:tcPr>
            <w:tcW w:w="5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July 30, 2016</w:t>
            </w:r>
          </w:p>
        </w:tc>
        <w:tc>
          <w:tcPr>
            <w:tcW w:w="8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w w:val="96"/>
              </w:rPr>
              <w:t>January 30, 2016</w:t>
            </w:r>
          </w:p>
        </w:tc>
      </w:tr>
      <w:tr>
        <w:trPr>
          <w:trHeight w:val="223"/>
        </w:trPr>
        <w:tc>
          <w:tcPr>
            <w:tcW w:w="20" w:type="dxa"/>
            <w:vAlign w:val="bottom"/>
          </w:tcPr>
          <w:p>
            <w:pPr>
              <w:spacing w:after="0"/>
              <w:rPr>
                <w:sz w:val="19"/>
                <w:szCs w:val="19"/>
                <w:color w:val="auto"/>
              </w:rPr>
            </w:pPr>
          </w:p>
        </w:tc>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Term loan, due 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80" w:type="dxa"/>
            <w:vAlign w:val="bottom"/>
            <w:shd w:val="clear" w:color="auto" w:fill="CFF0FC"/>
          </w:tcPr>
          <w:p>
            <w:pPr>
              <w:spacing w:after="0"/>
              <w:rPr>
                <w:sz w:val="19"/>
                <w:szCs w:val="19"/>
                <w:color w:val="auto"/>
              </w:rPr>
            </w:pPr>
          </w:p>
        </w:tc>
      </w:tr>
      <w:tr>
        <w:trPr>
          <w:trHeight w:val="224"/>
        </w:trPr>
        <w:tc>
          <w:tcPr>
            <w:tcW w:w="55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19,003</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and 3.50%. Principal and interest are paid monthly, in arrears.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was subject to prepayment penalties through the second anniversary of each note. As of June 23, 2016, the Company is no longer subject to any prepayment penalties. The Master Agreement includes default provisions that are customary for financings of this type and are similar and no more restrictive than the Company’s existing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2% of the amount prepaid if the prepayment is before October 29, 2016 and 1% of the amount prepaid if the prepayment is after October 29, 2016 but prior to October 29, 2017. There is no prepayment penalty after October 29, 2017.</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Incentive Plans</w:t>
      </w:r>
    </w:p>
    <w:p>
      <w:pPr>
        <w:spacing w:after="0" w:line="12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following is a summary of the Company’s long-term incentive plans. All equity awards previously granted under these long-term incentive plans were issued from the Company’s 2006 Incentive Compensation Plan, which expired on July 31, 2016. As of August 4, 2016, any future grants of equity awards will be issued from the Company’s stockholder-approved 2016 Incentive Compensation Plan. See Note 4, Stock-Based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2013-2016 LTIP</w:t>
      </w:r>
    </w:p>
    <w:p>
      <w:pPr>
        <w:spacing w:after="0" w:line="14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2013-2016 Long-Term Incentive Plan (“2013-2016 LTIP”) was approved in the second quarter of fiscal 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having vested at the end of fiscal 2014, 40% having vested at the end of fiscal 2015 and the remaining 40% vesting at the end of fiscal 2016.</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July 30, 2016, would be approximately $19.6 million. Approximately half of the compensation expense relates to the time-vested awards, which is being expensed over forty-four months, based on the respective vesting dates. As the performance targets were not deemed probable at July 30, 2016, no expense for the performance-based awards has been recognized through July 30,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2016 Long-Term Incentive Wrap-Around Plan (the “Wrap-Around Plan”), which was approved in the fourth quarter of fiscal 2014,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81"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payout in restricted shares will be increased by 20% and if the stock price is $7.25 or higher, the payout in restricted shares will be increased by 30%, with a pro-rata payout between $6.75 and $7.25. The portion of the award payable in cash is not affected by the stock price. All awards granted pursuant to the Wrap-Around Plan will not vest until the last day of the second quarter of fiscal 2017.</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Assuming that the Company achieves the performance target at target levels under the Wrap-Around Plan, and further assuming that the Company’s stock price is greater than $7.25, at the time the Company’s earnings are publicly released, the compensation expense associated with this Wrap-Around Plan is estimated to be approximately $8.8 million. Through the end of the second quarter of fiscal 2016, the Company has accrued approximately $1.9 million in compensation expense related to the potential payout of performance awards under the Wrap-Around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2016-2017 Long-Term Incentive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(the “new LTIP”).</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established two performance targets for the 2016-2017 Performance Period under the new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awards granted under the 2016-2017 LTIP will be in restricted stock units (RSUs). Assuming that the Company achieves the performance target at target levels and all time-vested awards vest, the compensation expense associated with the 2016-2017 LTIP is estimated to be approximately $4.4 million. Approximately half of the compensation expense, or $2.2 million,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second quarter of fiscal 2016, the Company has accrued approximately $0.3 million in compensation expense related to the potential payout of performance awards under the 2016-2017 LTIP.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stockholder-approved plan.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2006 Plan expired on July 31, 2016. Subsequent to the end of the second quarter of fiscal 2016, at the Company’s 2016 Annual Meeting of Stockholders held August 4, 2016, the Company’s stockholders approved the adoption of the 2016 Incentive Compensation Plan (the “2016 Plan”). See “2016 Plan” below for a summary of the new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2006 Incentive Compensation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stock option activity and share activity under the 2006 Plan for the first six months of fiscal 2016:</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0"/>
              </w:rPr>
              <w:t>Weighted-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86"/>
              </w:rPr>
              <w:t>average</w:t>
            </w:r>
          </w:p>
        </w:tc>
        <w:tc>
          <w:tcPr>
            <w:tcW w:w="220" w:type="dxa"/>
            <w:vAlign w:val="bottom"/>
          </w:tcPr>
          <w:p>
            <w:pPr>
              <w:spacing w:after="0"/>
              <w:rPr>
                <w:sz w:val="17"/>
                <w:szCs w:val="17"/>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Weighted-average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Number of</w:t>
            </w:r>
          </w:p>
        </w:tc>
        <w:tc>
          <w:tcPr>
            <w:tcW w:w="20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7"/>
                <w:szCs w:val="17"/>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3"/>
              </w:rPr>
              <w:t>remaining</w:t>
            </w:r>
          </w:p>
        </w:tc>
        <w:tc>
          <w:tcPr>
            <w:tcW w:w="140" w:type="dxa"/>
            <w:vAlign w:val="bottom"/>
          </w:tcPr>
          <w:p>
            <w:pPr>
              <w:spacing w:after="0"/>
              <w:rPr>
                <w:sz w:val="17"/>
                <w:szCs w:val="17"/>
                <w:color w:val="auto"/>
              </w:rPr>
            </w:pPr>
          </w:p>
        </w:tc>
        <w:tc>
          <w:tcPr>
            <w:tcW w:w="1020" w:type="dxa"/>
            <w:vAlign w:val="bottom"/>
            <w:gridSpan w:val="5"/>
          </w:tcPr>
          <w:p>
            <w:pPr>
              <w:jc w:val="center"/>
              <w:ind w:right="220"/>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2"/>
              </w:rPr>
              <w:t>per option</w:t>
            </w:r>
          </w:p>
        </w:tc>
        <w:tc>
          <w:tcPr>
            <w:tcW w:w="220" w:type="dxa"/>
            <w:vAlign w:val="bottom"/>
          </w:tcPr>
          <w:p>
            <w:pPr>
              <w:spacing w:after="0"/>
              <w:rPr>
                <w:sz w:val="18"/>
                <w:szCs w:val="18"/>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contractual term</w:t>
            </w:r>
          </w:p>
        </w:tc>
        <w:tc>
          <w:tcPr>
            <w:tcW w:w="1160" w:type="dxa"/>
            <w:vAlign w:val="bottom"/>
            <w:gridSpan w:val="6"/>
          </w:tcPr>
          <w:p>
            <w:pPr>
              <w:jc w:val="center"/>
              <w:ind w:right="80"/>
              <w:spacing w:after="0"/>
              <w:rPr>
                <w:sz w:val="20"/>
                <w:szCs w:val="20"/>
                <w:color w:val="auto"/>
              </w:rPr>
            </w:pPr>
            <w:r>
              <w:rPr>
                <w:rFonts w:ascii="Arial" w:cs="Arial" w:eastAsia="Arial" w:hAnsi="Arial"/>
                <w:sz w:val="16"/>
                <w:szCs w:val="16"/>
                <w:color w:val="auto"/>
                <w:w w:val="94"/>
              </w:rPr>
              <w:t>intrinsic value</w:t>
            </w:r>
          </w:p>
        </w:tc>
        <w:tc>
          <w:tcPr>
            <w:tcW w:w="0" w:type="dxa"/>
            <w:vAlign w:val="bottom"/>
          </w:tcPr>
          <w:p>
            <w:pPr>
              <w:spacing w:after="0"/>
              <w:rPr>
                <w:sz w:val="1"/>
                <w:szCs w:val="1"/>
                <w:color w:val="auto"/>
              </w:rPr>
            </w:pPr>
          </w:p>
        </w:tc>
      </w:tr>
      <w:tr>
        <w:trPr>
          <w:trHeight w:val="213"/>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8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6"/>
                <w:szCs w:val="16"/>
                <w:color w:val="auto"/>
              </w:rPr>
              <w:t>Outstanding options at beginning of year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6"/>
                <w:szCs w:val="16"/>
                <w:color w:val="auto"/>
              </w:rPr>
              <w:t>2,728,621</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granted</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6"/>
                <w:szCs w:val="16"/>
                <w:color w:val="auto"/>
              </w:rPr>
              <w:t>Options canceled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FF0FC"/>
          </w:tcPr>
          <w:p>
            <w:pPr>
              <w:spacing w:after="0"/>
              <w:rPr>
                <w:sz w:val="18"/>
                <w:szCs w:val="18"/>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exercised</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6"/>
                <w:szCs w:val="16"/>
                <w:color w:val="auto"/>
              </w:rPr>
              <w:t>Outstanding options at end of quarter</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6"/>
                <w:szCs w:val="16"/>
                <w:color w:val="auto"/>
              </w:rPr>
              <w:t>2,728,621</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91"/>
              </w:rPr>
              <w:t>6.5 years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637,298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shd w:val="clear" w:color="auto" w:fill="CFF0FC"/>
          </w:tcPr>
          <w:p>
            <w:pPr>
              <w:spacing w:after="0"/>
              <w:rPr>
                <w:sz w:val="20"/>
                <w:szCs w:val="20"/>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exercisable at end of quarter</w:t>
            </w: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1,057,084</w:t>
            </w:r>
          </w:p>
        </w:tc>
        <w:tc>
          <w:tcPr>
            <w:tcW w:w="74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1"/>
              </w:rPr>
              <w:t>5.8 years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454,935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6"/>
                <w:szCs w:val="16"/>
                <w:color w:val="auto"/>
                <w:w w:val="91"/>
              </w:rPr>
              <w:t>Restricted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5"/>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vMerge w:val="restart"/>
          </w:tcPr>
          <w:p>
            <w:pPr>
              <w:jc w:val="center"/>
              <w:ind w:right="200"/>
              <w:spacing w:after="0"/>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w w:val="97"/>
              </w:rPr>
              <w:t>Restricted</w:t>
            </w:r>
          </w:p>
        </w:tc>
        <w:tc>
          <w:tcPr>
            <w:tcW w:w="60" w:type="dxa"/>
            <w:vAlign w:val="bottom"/>
          </w:tcPr>
          <w:p>
            <w:pPr>
              <w:spacing w:after="0"/>
              <w:rPr>
                <w:sz w:val="4"/>
                <w:szCs w:val="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6"/>
                <w:szCs w:val="16"/>
                <w:color w:val="auto"/>
                <w:w w:val="89"/>
              </w:rPr>
              <w:t>Stock</w:t>
            </w:r>
          </w:p>
        </w:tc>
        <w:tc>
          <w:tcPr>
            <w:tcW w:w="7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w w:val="93"/>
              </w:rPr>
              <w:t>Deferred</w:t>
            </w:r>
          </w:p>
        </w:tc>
        <w:tc>
          <w:tcPr>
            <w:tcW w:w="1200" w:type="dxa"/>
            <w:vAlign w:val="bottom"/>
            <w:gridSpan w:val="5"/>
            <w:vMerge w:val="restart"/>
          </w:tcPr>
          <w:p>
            <w:pPr>
              <w:jc w:val="right"/>
              <w:ind w:right="200"/>
              <w:spacing w:after="0"/>
              <w:rPr>
                <w:sz w:val="20"/>
                <w:szCs w:val="20"/>
                <w:color w:val="auto"/>
              </w:rPr>
            </w:pPr>
            <w:r>
              <w:rPr>
                <w:rFonts w:ascii="Arial" w:cs="Arial" w:eastAsia="Arial" w:hAnsi="Arial"/>
                <w:sz w:val="16"/>
                <w:szCs w:val="16"/>
                <w:color w:val="auto"/>
              </w:rPr>
              <w:t>Fully-vested</w:t>
            </w: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1"/>
              </w:rPr>
              <w:t>number of</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restart"/>
          </w:tcPr>
          <w:p>
            <w:pPr>
              <w:jc w:val="center"/>
              <w:ind w:right="200"/>
              <w:spacing w:after="0"/>
              <w:rPr>
                <w:sz w:val="20"/>
                <w:szCs w:val="20"/>
                <w:color w:val="auto"/>
              </w:rPr>
            </w:pPr>
            <w:r>
              <w:rPr>
                <w:rFonts w:ascii="Arial" w:cs="Arial" w:eastAsia="Arial" w:hAnsi="Arial"/>
                <w:sz w:val="16"/>
                <w:szCs w:val="16"/>
                <w:color w:val="auto"/>
                <w:w w:val="95"/>
              </w:rPr>
              <w:t>fair value</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4"/>
                <w:szCs w:val="4"/>
                <w:color w:val="auto"/>
              </w:rPr>
            </w:pPr>
          </w:p>
        </w:tc>
        <w:tc>
          <w:tcPr>
            <w:tcW w:w="1000" w:type="dxa"/>
            <w:vAlign w:val="bottom"/>
            <w:gridSpan w:val="3"/>
            <w:vMerge w:val="restart"/>
          </w:tcPr>
          <w:p>
            <w:pPr>
              <w:jc w:val="center"/>
              <w:ind w:right="280"/>
              <w:spacing w:after="0" w:line="216" w:lineRule="exact"/>
              <w:rPr>
                <w:sz w:val="20"/>
                <w:szCs w:val="20"/>
                <w:color w:val="auto"/>
              </w:rPr>
            </w:pPr>
            <w:r>
              <w:rPr>
                <w:rFonts w:ascii="Arial" w:cs="Arial" w:eastAsia="Arial" w:hAnsi="Arial"/>
                <w:sz w:val="15"/>
                <w:szCs w:val="15"/>
                <w:color w:val="auto"/>
                <w:w w:val="95"/>
              </w:rPr>
              <w:t xml:space="preserve">Units </w:t>
            </w:r>
            <w:r>
              <w:rPr>
                <w:rFonts w:ascii="Arial" w:cs="Arial" w:eastAsia="Arial" w:hAnsi="Arial"/>
                <w:sz w:val="25"/>
                <w:szCs w:val="25"/>
                <w:color w:val="auto"/>
                <w:w w:val="95"/>
                <w:vertAlign w:val="superscript"/>
              </w:rPr>
              <w:t>(1)</w:t>
            </w:r>
          </w:p>
        </w:tc>
        <w:tc>
          <w:tcPr>
            <w:tcW w:w="740" w:type="dxa"/>
            <w:vAlign w:val="bottom"/>
            <w:gridSpan w:val="2"/>
            <w:vMerge w:val="restart"/>
          </w:tcPr>
          <w:p>
            <w:pPr>
              <w:jc w:val="right"/>
              <w:ind w:right="39"/>
              <w:spacing w:after="0" w:line="216" w:lineRule="exact"/>
              <w:rPr>
                <w:sz w:val="20"/>
                <w:szCs w:val="20"/>
                <w:color w:val="auto"/>
              </w:rPr>
            </w:pPr>
            <w:r>
              <w:rPr>
                <w:rFonts w:ascii="Arial" w:cs="Arial" w:eastAsia="Arial" w:hAnsi="Arial"/>
                <w:sz w:val="15"/>
                <w:szCs w:val="15"/>
                <w:color w:val="auto"/>
                <w:w w:val="86"/>
              </w:rPr>
              <w:t xml:space="preserve">shares </w:t>
            </w:r>
            <w:r>
              <w:rPr>
                <w:rFonts w:ascii="Arial" w:cs="Arial" w:eastAsia="Arial" w:hAnsi="Arial"/>
                <w:sz w:val="25"/>
                <w:szCs w:val="25"/>
                <w:color w:val="auto"/>
                <w:w w:val="86"/>
                <w:vertAlign w:val="superscript"/>
              </w:rPr>
              <w:t>(2)</w:t>
            </w:r>
          </w:p>
        </w:tc>
        <w:tc>
          <w:tcPr>
            <w:tcW w:w="180" w:type="dxa"/>
            <w:vAlign w:val="bottom"/>
          </w:tcPr>
          <w:p>
            <w:pPr>
              <w:spacing w:after="0"/>
              <w:rPr>
                <w:sz w:val="4"/>
                <w:szCs w:val="4"/>
                <w:color w:val="auto"/>
              </w:rPr>
            </w:pPr>
          </w:p>
        </w:tc>
        <w:tc>
          <w:tcPr>
            <w:tcW w:w="1020" w:type="dxa"/>
            <w:vAlign w:val="bottom"/>
            <w:gridSpan w:val="4"/>
            <w:vMerge w:val="restart"/>
          </w:tcPr>
          <w:p>
            <w:pPr>
              <w:jc w:val="right"/>
              <w:ind w:right="30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3"/>
              </w:rPr>
              <w:t>shares</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60"/>
              <w:spacing w:after="0"/>
              <w:rPr>
                <w:sz w:val="20"/>
                <w:szCs w:val="20"/>
                <w:color w:val="auto"/>
              </w:rPr>
            </w:pPr>
            <w:r>
              <w:rPr>
                <w:rFonts w:ascii="Arial" w:cs="Arial" w:eastAsia="Arial" w:hAnsi="Arial"/>
                <w:sz w:val="14"/>
                <w:szCs w:val="14"/>
                <w:color w:val="auto"/>
                <w:w w:val="93"/>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8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Shares</w:t>
            </w: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beginning of year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1,320,143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31,587</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1,351,730</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6"/>
                <w:szCs w:val="16"/>
                <w:color w:val="auto"/>
              </w:rPr>
              <w:t>Shares granted</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427,874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23,323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3"/>
              </w:rPr>
              <w:t>37,950</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489,147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 vested/issued</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(4,999)</w:t>
            </w:r>
          </w:p>
        </w:tc>
        <w:tc>
          <w:tcPr>
            <w:tcW w:w="6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5"/>
            <w:shd w:val="clear" w:color="auto" w:fill="CFF0FC"/>
          </w:tcPr>
          <w:p>
            <w:pPr>
              <w:jc w:val="right"/>
              <w:ind w:right="140"/>
              <w:spacing w:after="0"/>
              <w:rPr>
                <w:sz w:val="20"/>
                <w:szCs w:val="20"/>
                <w:color w:val="auto"/>
              </w:rPr>
            </w:pPr>
            <w:r>
              <w:rPr>
                <w:rFonts w:ascii="Arial" w:cs="Arial" w:eastAsia="Arial" w:hAnsi="Arial"/>
                <w:sz w:val="16"/>
                <w:szCs w:val="16"/>
                <w:color w:val="auto"/>
              </w:rPr>
              <w:t>(37,950)</w:t>
            </w:r>
          </w:p>
        </w:tc>
        <w:tc>
          <w:tcPr>
            <w:tcW w:w="980" w:type="dxa"/>
            <w:vAlign w:val="bottom"/>
            <w:gridSpan w:val="3"/>
            <w:shd w:val="clear" w:color="auto" w:fill="CFF0FC"/>
          </w:tcPr>
          <w:p>
            <w:pPr>
              <w:jc w:val="right"/>
              <w:ind w:right="2"/>
              <w:spacing w:after="0"/>
              <w:rPr>
                <w:sz w:val="20"/>
                <w:szCs w:val="20"/>
                <w:color w:val="auto"/>
              </w:rPr>
            </w:pPr>
            <w:r>
              <w:rPr>
                <w:rFonts w:ascii="Arial" w:cs="Arial" w:eastAsia="Arial" w:hAnsi="Arial"/>
                <w:sz w:val="16"/>
                <w:szCs w:val="16"/>
                <w:color w:val="auto"/>
              </w:rPr>
              <w:t>(42,949)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Shares canceled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end of quarter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1,315,144</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427,874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54,910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1,797,928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right="220" w:hanging="519"/>
        <w:spacing w:after="0" w:line="308"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first six months of fiscal 2016, the Company granted 427,874 RSUs in connection with the 2016-2017 LTIP. The RSUs are time-vested awards that will vest over three years with the first 50% vesting on April 1, 2018 and the remaining 50% on April 1, 2019.</w:t>
      </w:r>
    </w:p>
    <w:p>
      <w:pPr>
        <w:spacing w:after="0" w:line="38" w:lineRule="exact"/>
        <w:rPr>
          <w:rFonts w:ascii="Arial" w:cs="Arial" w:eastAsia="Arial" w:hAnsi="Arial"/>
          <w:sz w:val="17"/>
          <w:szCs w:val="17"/>
          <w:color w:val="auto"/>
        </w:rPr>
      </w:pPr>
    </w:p>
    <w:p>
      <w:pPr>
        <w:ind w:left="1040" w:hanging="519"/>
        <w:spacing w:after="0" w:line="286"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first six months of fiscal 2016, the Company granted 23,323 shares of deferred stock, with a fair value of approximately $117,622 to certain directors as compensation in lieu of cash, in accordance with their irrevocable elections. The shares of deferred stock will vest three years from the date of grant or at separation of service, based on the irrevocable election of each director.</w:t>
      </w:r>
    </w:p>
    <w:p>
      <w:pPr>
        <w:spacing w:after="0" w:line="57" w:lineRule="exact"/>
        <w:rPr>
          <w:rFonts w:ascii="Arial" w:cs="Arial" w:eastAsia="Arial" w:hAnsi="Arial"/>
          <w:sz w:val="17"/>
          <w:szCs w:val="17"/>
          <w:color w:val="auto"/>
        </w:rPr>
      </w:pPr>
    </w:p>
    <w:p>
      <w:pPr>
        <w:ind w:left="1040" w:right="120" w:hanging="519"/>
        <w:spacing w:after="0" w:line="279"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first six months of fiscal 2016, the Company granted 37,950 shares of stock, with a fair value of approximately $191,673 to certain directors as compensation in lieu of cash, in accordance with their irrevocable elections. Directors are required to elect 50% of their quarterly retainer in equity. All shares paid to directors to satisfy this election were issued from the Company’s 2006 Plan. Any shares in excess of the minimum required election are issued from the Company’s Non-Employee Director Stock Purchase Plan.</w:t>
      </w:r>
    </w:p>
    <w:p>
      <w:pPr>
        <w:spacing w:after="0" w:line="63"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Availability Under the 2006 Plan</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July 30, 2016, the Company had 525,538 shares remaining available under the 2006 Plan, which expired on July 31, 2016. In accordance with the terms of the 2016 Plan, on August 4, 2016, all 525,538 shares were added to the 5.2 million shares available under the 2016 Plan. See “</w:t>
      </w:r>
      <w:r>
        <w:rPr>
          <w:rFonts w:ascii="Arial" w:cs="Arial" w:eastAsia="Arial" w:hAnsi="Arial"/>
          <w:sz w:val="18"/>
          <w:szCs w:val="18"/>
          <w:i w:val="1"/>
          <w:iCs w:val="1"/>
          <w:color w:val="auto"/>
        </w:rPr>
        <w:t>2016 Plan</w:t>
      </w:r>
      <w:r>
        <w:rPr>
          <w:rFonts w:ascii="Arial" w:cs="Arial" w:eastAsia="Arial" w:hAnsi="Arial"/>
          <w:sz w:val="18"/>
          <w:szCs w:val="18"/>
          <w:color w:val="auto"/>
        </w:rPr>
        <w:t>” for a discussion of the share reserve.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granted 9,503 shares of common stock, with a fair value of approximately $47,691, to certain of its non-employee directors as compensation in lieu of cash in the first six months of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There were no grants of stock options during the first six months of fiscal 2016 and fiscal 2015. For the first six months of fiscal 2016, the Company granted 427,874 RSUs and 23,323 shares of deferred stock. For the first six months of fiscal 2015, the Company granted 10,342 shares of deferred stock and 10,000 shares of restricted stock. Unless otherwise specified by the Compensation Committee, RSUs, restricted stock and deferred stock are valued using the closing price of the Company’s common stock on the day immediately preceding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For the first six months of fiscal 2016 and fiscal 2015, the Company recognized total stock-based compensation expense of $0.8 million and $1.1 million, respectively. The total compensation cost related to time-vested stock options, restricted stock and RSU awards not yet recognized as of July 30, 2016 is approximately $2.3 million, net of estimated forfeitures, which will be expensed over a weighted average remaining life of 23 months. At July 30, 2016, the Company had $7.2 million of unrecognized stock-based compensation expense, net of estimated forfeitures, related to its performance-based stock options and restricted stock under its 2013-2016 LTIP. As discussed above, the Company will begin recognizing compensation if, and when, achievement of the performance targets under the 2013-2016 LTIP becomes probable.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mentioned above, subsequent to the end of the second quarter, the stockholders of the Company approved the 2016 Plan, effective August 4, 2016. The share reserve under this plan is 5,200,000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addition to the initial share reserve of 5,200,000 shares, the 525,538 shares remaining available under our 2006 Plan were added and became available for issuance under the 2016 Plan on August 4, 2016. Shares subject to outstanding awards granted under the 2006 Plan that terminate, expire or are canceled for any reason without having been exercised or paid after the effective date of the 2016 Plan will also be added back and become available for issuance under the 2016 Plan, with options and stock appreciation rights being added back on a 1:1 basis and full-value awards being added back on a 1:1.9 basis.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2016 Plan is administered by the Compensation Committee, all of the members of which are non-employee directors who qualify as independent under the listing standards of the Nasdaq Global Select Market.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760" w:type="dxa"/>
            <w:vAlign w:val="bottom"/>
            <w:gridSpan w:val="4"/>
          </w:tcPr>
          <w:p>
            <w:pPr>
              <w:ind w:left="460"/>
              <w:spacing w:after="0"/>
              <w:rPr>
                <w:sz w:val="20"/>
                <w:szCs w:val="20"/>
                <w:color w:val="auto"/>
              </w:rPr>
            </w:pPr>
            <w:r>
              <w:rPr>
                <w:rFonts w:ascii="Arial" w:cs="Arial" w:eastAsia="Arial" w:hAnsi="Arial"/>
                <w:sz w:val="14"/>
                <w:szCs w:val="14"/>
                <w:color w:val="auto"/>
              </w:rPr>
              <w:t>For the three months ended</w:t>
            </w:r>
          </w:p>
        </w:tc>
        <w:tc>
          <w:tcPr>
            <w:tcW w:w="2660" w:type="dxa"/>
            <w:vAlign w:val="bottom"/>
            <w:gridSpan w:val="4"/>
          </w:tcPr>
          <w:p>
            <w:pPr>
              <w:ind w:left="54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59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July 30, 2016</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August 1, 2015</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July 30, 2016</w:t>
            </w:r>
          </w:p>
        </w:tc>
        <w:tc>
          <w:tcPr>
            <w:tcW w:w="1280" w:type="dxa"/>
            <w:vAlign w:val="bottom"/>
            <w:gridSpan w:val="2"/>
          </w:tcPr>
          <w:p>
            <w:pPr>
              <w:ind w:left="140"/>
              <w:spacing w:after="0"/>
              <w:rPr>
                <w:sz w:val="20"/>
                <w:szCs w:val="20"/>
                <w:color w:val="auto"/>
              </w:rPr>
            </w:pPr>
            <w:r>
              <w:rPr>
                <w:rFonts w:ascii="Arial" w:cs="Arial" w:eastAsia="Arial" w:hAnsi="Arial"/>
                <w:sz w:val="14"/>
                <w:szCs w:val="14"/>
                <w:color w:val="auto"/>
              </w:rPr>
              <w:t>August 1, 2015</w:t>
            </w:r>
          </w:p>
        </w:tc>
        <w:tc>
          <w:tcPr>
            <w:tcW w:w="0" w:type="dxa"/>
            <w:vAlign w:val="bottom"/>
          </w:tcPr>
          <w:p>
            <w:pPr>
              <w:spacing w:after="0"/>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49,531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49,081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49,522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equivalents – stock options and restricted stock </w:t>
            </w:r>
            <w:r>
              <w:rPr>
                <w:rFonts w:ascii="Arial" w:cs="Arial" w:eastAsia="Arial" w:hAnsi="Arial"/>
                <w:sz w:val="15"/>
                <w:szCs w:val="15"/>
                <w:color w:val="auto"/>
              </w:rPr>
              <w:t>(1)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49,953</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49,081</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49,902</w:t>
            </w:r>
          </w:p>
        </w:tc>
        <w:tc>
          <w:tcPr>
            <w:tcW w:w="2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040" w:right="6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equivalents of 483 and 508 shares for the second quarter and first six months ended August 1, 2015, respectively, were excluded due to a net loss.</w:t>
      </w:r>
    </w:p>
    <w:p>
      <w:pPr>
        <w:spacing w:after="0" w:line="19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040" w:type="dxa"/>
            <w:vAlign w:val="bottom"/>
            <w:gridSpan w:val="4"/>
          </w:tcPr>
          <w:p>
            <w:pPr>
              <w:ind w:left="620"/>
              <w:spacing w:after="0"/>
              <w:rPr>
                <w:sz w:val="20"/>
                <w:szCs w:val="20"/>
                <w:color w:val="auto"/>
              </w:rPr>
            </w:pPr>
            <w:r>
              <w:rPr>
                <w:rFonts w:ascii="Arial" w:cs="Arial" w:eastAsia="Arial" w:hAnsi="Arial"/>
                <w:sz w:val="14"/>
                <w:szCs w:val="14"/>
                <w:color w:val="auto"/>
              </w:rPr>
              <w:t>For the three months ended</w:t>
            </w:r>
          </w:p>
        </w:tc>
        <w:tc>
          <w:tcPr>
            <w:tcW w:w="2900" w:type="dxa"/>
            <w:vAlign w:val="bottom"/>
            <w:gridSpan w:val="4"/>
          </w:tcPr>
          <w:p>
            <w:pPr>
              <w:ind w:left="6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July 30, 2016</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August 1, 2015</w:t>
            </w: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July 30, 2016</w:t>
            </w:r>
          </w:p>
        </w:tc>
        <w:tc>
          <w:tcPr>
            <w:tcW w:w="1480" w:type="dxa"/>
            <w:vAlign w:val="bottom"/>
            <w:gridSpan w:val="2"/>
          </w:tcPr>
          <w:p>
            <w:pPr>
              <w:ind w:left="240"/>
              <w:spacing w:after="0"/>
              <w:rPr>
                <w:sz w:val="20"/>
                <w:szCs w:val="20"/>
                <w:color w:val="auto"/>
              </w:rPr>
            </w:pPr>
            <w:r>
              <w:rPr>
                <w:rFonts w:ascii="Arial" w:cs="Arial" w:eastAsia="Arial" w:hAnsi="Arial"/>
                <w:sz w:val="14"/>
                <w:szCs w:val="14"/>
                <w:color w:val="auto"/>
              </w:rPr>
              <w:t>August 1, 2015</w:t>
            </w:r>
          </w:p>
        </w:tc>
        <w:tc>
          <w:tcPr>
            <w:tcW w:w="0" w:type="dxa"/>
            <w:vAlign w:val="bottom"/>
          </w:tcPr>
          <w:p>
            <w:pPr>
              <w:spacing w:after="0"/>
              <w:rPr>
                <w:sz w:val="1"/>
                <w:szCs w:val="1"/>
                <w:color w:val="auto"/>
              </w:rPr>
            </w:pPr>
          </w:p>
        </w:tc>
      </w:tr>
      <w:tr>
        <w:trPr>
          <w:trHeight w:val="156"/>
        </w:trPr>
        <w:tc>
          <w:tcPr>
            <w:tcW w:w="5480" w:type="dxa"/>
            <w:vAlign w:val="bottom"/>
            <w:vMerge w:val="continue"/>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Restricted Stock Units (time-vested)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Restricted and Deferred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$4.91 - $7.52</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$4.91 - $7.52</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$4.91 - $7.52</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$4.96 - $7.52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July 30, 2016, expire from October 22, 2017 to November 2, 2025.</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Excluded from the Company’s computation of basic and diluted earnings per share for the second quarter and first six months of fiscal 2016 were 941,082 shares of unvested performance-based restricted stock and 1,181,168 performance-based stock options. For the second quarter and first six months of fiscal 2015, 933,486 shares of unvested performance-based restricted stock and 1,162,047 performance-based stock options were excluded from the Company’s computation of basic and diluted earnings per share for both periods. Performance-based awards will be included in the computation of basic and diluted earnings per share if, and when, the respective performance targets are achieved. In addition, shares of unvested time-based restricted stock of 374,062 for the second quarter and first six months of fiscal 2016 and 729,581 shares for the second quarter and first six months of fiscal 2015 were excluded from the computation of basic earnings per share and will continue to be excluded until such shares vest. See Note 3, Long-Term Incentive Plans, for a discussion of the Company’s 2013-2016 LTIP and the respective performance targets.</w:t>
      </w:r>
    </w:p>
    <w:p>
      <w:pPr>
        <w:spacing w:after="0" w:line="17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1,315,144 shares of restricted stock outstanding at July 30, 2016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July 30, 2016, the Company had total deferred tax assets of approximately $81.5 million, total deferred tax liabilities of $18.8 million and a corresponding valuation allowance of $62.9 million.</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2016, the Company believes that a full allowance remains appropriate at this time.</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July 30, 2016, the Company had net operating loss carryforwards of $142.8 million for federal income tax purposes and $79.0 million for state income tax purposes that are available to offset future taxable income through fiscal year 2036. Additionally, the Company has alternative minimum tax credit carryforwards of $2.3 million, which are available to further reduce income taxes over an indefinite period. Additionally, the Company has $0.1 million and $2.4 million of net operating loss for tax purposes related to the Company’s operations in Hong Kong and Canada, respectively, though both are expected to expire largely unutilized. Included in the federal and state net operating loss carryforwards are stock compensation deductions of approximately $8.9 million and $3.7 million, respectively, the tax benefit from which, if realized, will be credited to additional paid-in capital.</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tax provision for the first six months of fiscal 2016 and fiscal 2015 represents an increase in our deferred tax liability for indefinite-lived intangibles as well as current state margin tax and foreign income tax.</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5" w:name="page16"/>
    <w:bookmarkEnd w:id="15"/>
    <w:p>
      <w:pPr>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The unrecognized tax benefit at July 30, 2016 was $3.0 million. This amount is directly associated with a prior year tax position related to exiting the European direct business.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marketing costs, store counts, capital expenditures, borrowings, sales and earnings expectations for fiscal 2016 and beyond, the expected impact of inventory management improvements on working capital in fiscal 2016 and the anticipated pace and number of store openings and closings in fiscal 2016.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30, 2016, included in our Annual Report on Form 10-K for the year ended January 30, 2016, as filed with the Securities and Exchange Commission on March 18, 2016 (our “Fiscal 2015 Annual Report”).</w:t>
      </w:r>
    </w:p>
    <w:p>
      <w:pPr>
        <w:spacing w:after="0" w:line="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Numerous factors could cause our actual results to differ materially from such forward-looking statements. We encourage readers to refer to the “Risk Factors” section in Part I, Item 1A of our Fiscal 2015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and compete successfully in our market.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7"/>
          <w:szCs w:val="17"/>
          <w:color w:val="auto"/>
        </w:rPr>
        <w:t>, DXL</w:t>
      </w:r>
      <w:r>
        <w:rPr>
          <w:rFonts w:ascii="Arial" w:cs="Arial" w:eastAsia="Arial" w:hAnsi="Arial"/>
          <w:sz w:val="25"/>
          <w:szCs w:val="25"/>
          <w:color w:val="auto"/>
          <w:vertAlign w:val="superscript"/>
        </w:rPr>
        <w:t>®</w:t>
      </w:r>
      <w:r>
        <w:rPr>
          <w:rFonts w:ascii="Arial" w:cs="Arial" w:eastAsia="Arial" w:hAnsi="Arial"/>
          <w:sz w:val="17"/>
          <w:szCs w:val="17"/>
          <w:color w:val="auto"/>
        </w:rPr>
        <w:t>, DXL Outlets, Casual Male XL</w:t>
      </w:r>
      <w:r>
        <w:rPr>
          <w:rFonts w:ascii="Arial" w:cs="Arial" w:eastAsia="Arial" w:hAnsi="Arial"/>
          <w:sz w:val="25"/>
          <w:szCs w:val="25"/>
          <w:color w:val="auto"/>
          <w:vertAlign w:val="superscript"/>
        </w:rPr>
        <w:t>®</w:t>
      </w:r>
      <w:r>
        <w:rPr>
          <w:rFonts w:ascii="Arial" w:cs="Arial" w:eastAsia="Arial" w:hAnsi="Arial"/>
          <w:sz w:val="17"/>
          <w:szCs w:val="17"/>
          <w:color w:val="auto"/>
        </w:rPr>
        <w:t>, Casual Male XL Outlets, Rochester Clothing, ShoesXL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LivingXL</w:t>
      </w:r>
      <w:r>
        <w:rPr>
          <w:rFonts w:ascii="Arial" w:cs="Arial" w:eastAsia="Arial" w:hAnsi="Arial"/>
          <w:sz w:val="25"/>
          <w:szCs w:val="25"/>
          <w:color w:val="auto"/>
          <w:vertAlign w:val="superscript"/>
        </w:rPr>
        <w:t>®</w:t>
      </w:r>
      <w:r>
        <w:rPr>
          <w:rFonts w:ascii="Arial" w:cs="Arial" w:eastAsia="Arial" w:hAnsi="Arial"/>
          <w:sz w:val="17"/>
          <w:szCs w:val="17"/>
          <w:color w:val="auto"/>
        </w:rPr>
        <w:t>. At July 30, 2016, we operated 176 Destination XL stores, 117 Casual Male XL retail stores, 11 DXL outlet stores, 39 Casual Male XL outlet stores and 5 Rochester Clothing stores. Our direct business includes our DestinationXL.com and bigandtall.com e-commerce sites which support our stores, brands and product extensions.</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January 28, 2017 and January 30, 2016 as “fiscal 2016” and “fiscal 2015,” respectively. Both fiscal years are 52-week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As part of our omni-channel initiatives, the majority of our retail stores have the capability of fulfilling online orders if merchandise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ind w:right="160"/>
        <w:spacing w:after="0" w:line="255" w:lineRule="auto"/>
        <w:rPr>
          <w:sz w:val="20"/>
          <w:szCs w:val="20"/>
          <w:color w:val="auto"/>
        </w:rPr>
      </w:pPr>
      <w:r>
        <w:rPr>
          <w:rFonts w:ascii="Arial" w:cs="Arial" w:eastAsia="Arial" w:hAnsi="Arial"/>
          <w:sz w:val="18"/>
          <w:szCs w:val="18"/>
          <w:color w:val="auto"/>
        </w:rPr>
        <w:t>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store.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results for the second quarter and first six months of fiscal 2016, including EBITDA, which is a non-GAAP measure. Please see “Non-GAAP Financial Measures” below for a reconciliation of Net Income to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5"/>
                <w:szCs w:val="15"/>
                <w:color w:val="auto"/>
              </w:rPr>
            </w:pPr>
          </w:p>
        </w:tc>
        <w:tc>
          <w:tcPr>
            <w:tcW w:w="276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July 30, 2016</w:t>
            </w:r>
          </w:p>
        </w:tc>
        <w:tc>
          <w:tcPr>
            <w:tcW w:w="120" w:type="dxa"/>
            <w:vAlign w:val="bottom"/>
          </w:tcPr>
          <w:p>
            <w:pPr>
              <w:spacing w:after="0"/>
              <w:rPr>
                <w:sz w:val="22"/>
                <w:szCs w:val="22"/>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August 1, 2015</w:t>
            </w:r>
          </w:p>
        </w:tc>
        <w:tc>
          <w:tcPr>
            <w:tcW w:w="14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July 30, 2016</w:t>
            </w:r>
          </w:p>
        </w:tc>
        <w:tc>
          <w:tcPr>
            <w:tcW w:w="14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August 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17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1740" w:type="dxa"/>
            <w:vAlign w:val="bottom"/>
            <w:tcBorders>
              <w:top w:val="single" w:sz="8" w:color="CFF0FC"/>
            </w:tcBorders>
          </w:tcPr>
          <w:p>
            <w:pPr>
              <w:spacing w:after="0"/>
              <w:rPr>
                <w:sz w:val="13"/>
                <w:szCs w:val="13"/>
                <w:color w:val="auto"/>
              </w:rPr>
            </w:pPr>
          </w:p>
        </w:tc>
        <w:tc>
          <w:tcPr>
            <w:tcW w:w="1880" w:type="dxa"/>
            <w:vAlign w:val="bottom"/>
            <w:tcBorders>
              <w:top w:val="single" w:sz="8" w:color="CFF0FC"/>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0.2</w:t>
            </w:r>
          </w:p>
        </w:tc>
        <w:tc>
          <w:tcPr>
            <w:tcW w:w="3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CFF0FC"/>
            </w:tcBorders>
            <w:gridSpan w:val="2"/>
          </w:tcPr>
          <w:p>
            <w:pPr>
              <w:jc w:val="right"/>
              <w:ind w:right="180"/>
              <w:spacing w:after="0" w:line="155" w:lineRule="exact"/>
              <w:rPr>
                <w:sz w:val="20"/>
                <w:szCs w:val="20"/>
                <w:color w:val="auto"/>
              </w:rPr>
            </w:pPr>
            <w:r>
              <w:rPr>
                <w:rFonts w:ascii="Arial" w:cs="Arial" w:eastAsia="Arial" w:hAnsi="Arial"/>
                <w:sz w:val="14"/>
                <w:szCs w:val="14"/>
                <w:color w:val="auto"/>
              </w:rPr>
              <w:t>(1.0)</w:t>
            </w:r>
          </w:p>
        </w:tc>
        <w:tc>
          <w:tcPr>
            <w:tcW w:w="140" w:type="dxa"/>
            <w:vAlign w:val="bottom"/>
            <w:tcBorders>
              <w:top w:val="single" w:sz="8" w:color="CFF0FC"/>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0.4</w:t>
            </w: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8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0"/>
              </w:rPr>
              <w:t>Diluted loss per share:</w:t>
            </w:r>
          </w:p>
        </w:tc>
        <w:tc>
          <w:tcPr>
            <w:tcW w:w="2460" w:type="dxa"/>
            <w:vAlign w:val="bottom"/>
            <w:tcBorders>
              <w:bottom w:val="single" w:sz="8" w:color="CFF0FC"/>
            </w:tcBorders>
            <w:gridSpan w:val="2"/>
            <w:shd w:val="clear" w:color="auto" w:fill="CFF0FC"/>
          </w:tcPr>
          <w:p>
            <w:pPr>
              <w:spacing w:after="0"/>
              <w:rPr>
                <w:sz w:val="12"/>
                <w:szCs w:val="12"/>
                <w:color w:val="auto"/>
              </w:rPr>
            </w:pPr>
          </w:p>
        </w:tc>
        <w:tc>
          <w:tcPr>
            <w:tcW w:w="17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0.00</w:t>
            </w:r>
          </w:p>
        </w:tc>
        <w:tc>
          <w:tcPr>
            <w:tcW w:w="30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(0.02)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the second quarter of fiscal 2016, net income was $0.2 million compared to a net loss of $(1.0) million for the second quarter of fiscal 2015. EBITDA increased $1.7 million over the prior year’s second quarter, driven by continued growth from our DXL stores. Our 151 comparable DXL stores performed well during the second quarter with a comparable increase of 4.6%, which was on top of year-over-year comparable increases of 11.9% and 11.3% in the second quarter of fiscal 2015 and fiscal 2014, respectively. Sales per square foot for our DXL retail stores continued to grow to $181, on a rolling 12-month basis, at the end of the second quarter as compared with $172 per square foot for the rolling 12-month period at the end of the second quarter last year.</w:t>
      </w:r>
    </w:p>
    <w:p>
      <w:pPr>
        <w:spacing w:after="0" w:line="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believe uncertainty in the current economic and political climate is affecting store traffic and consumer spending across the retail apparel industry. We are seeing the impact of these macroeconomic issues in our top-line growth which, while performing well in this environment, is below our expectations. As a result, we are lowering our sales guidance for fiscal 2016. However, with strong expense control and inventory management improvements in place, our guidance for earnings, EBITDA and liquidity remain unchanged. Our performance during the first six months of fiscal 2016 reflected the fundamental strength of our DXL concept, which drove growth in sales and profitability despite lower macro-levels of consumer retail spending.</w:t>
      </w:r>
    </w:p>
    <w:p>
      <w:pPr>
        <w:spacing w:after="0" w:line="5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From a liquidity perspective, our cash flow from operations improved by $12.5 million. This improvement, with a $3.1 million decrease in capital expenditures, resulted in a $15.6 million improvement in non-GAAP free cash flow. Fiscal 2016 is a pivotal year for our Company where capital expenditures for DXL stores will be fully funded from free cash flow and we begin to pay down our debt levels for the first time in four years. See “Non-GAAP Financial Measures” below for a reconciliation of free cash flow.</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first six months of fiscal 2016, we opened 10 DXL retail stores and 2 DXL outlet stores, while closing 8 Casual Male XL retail stores and 1 Casual Male XL outlet. For fiscal 2016, we plan to open a total of 28 DXL retail stores and 3 DXL outlet stores. In addition, we expect to close 26 Casual Male XL retail stores and 3 Casual Male XL outlet stores.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 Review</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At the beginning of fiscal 2016, we initiated a review of our inventory levels in our distribution center. We also launched a review of our inventory procurement and management functions. This review process has identified several improvements that we are implementing to streamline operations at our distribution center, including tighter controls over the number of merchandise weeks of supply and improvements in inventory receipt flow and procurement. As reflected in our “Fiscal 2016 Outlook”, we expect these changes to result in a more optimized inventory structure that will improve our working capital position in fiscal 2016. We do not believe these changes will jeopardize sales from out-of-stock positions in either our stores or in our direct 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Outlook</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After considering our year-to-date sales performance, together with the near term uncertainty affecting consumer spending and store traffic, we are revising our sales guidance for fiscal 2016. However, as a result of our controlled inventory and expense management, our guidance for EBITDA, net loss and liquidity for fiscal 2016 remains unchanged: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780" w:right="80" w:hanging="259"/>
        <w:spacing w:after="0" w:line="34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of approximately $457.0 to $463.0 million, with a total company comparable sales increase of approximately 2.0% to 4.0% (a decrease from previous guidance of $465.0 million to $472.0 million, with a total company comparable sales increase of approximately 4.8% to 5.5%).</w:t>
      </w:r>
    </w:p>
    <w:p>
      <w:pPr>
        <w:spacing w:after="0" w:line="15" w:lineRule="exact"/>
        <w:rPr>
          <w:rFonts w:ascii="Arial" w:cs="Arial" w:eastAsia="Arial" w:hAnsi="Arial"/>
          <w:sz w:val="16"/>
          <w:szCs w:val="16"/>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rate is expected to be at the low end of our guidance of 46.2% to 46.5%.</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of approximately $31.0 to $35.0 million (unchanged).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on a GAAP basis, of $(0.09) per diluted share to breakeven (unchanged).</w:t>
      </w:r>
    </w:p>
    <w:p>
      <w:pPr>
        <w:spacing w:after="0" w:line="117" w:lineRule="exact"/>
        <w:rPr>
          <w:rFonts w:ascii="Arial" w:cs="Arial" w:eastAsia="Arial" w:hAnsi="Arial"/>
          <w:sz w:val="18"/>
          <w:szCs w:val="18"/>
          <w:color w:val="auto"/>
        </w:rPr>
      </w:pPr>
    </w:p>
    <w:p>
      <w:pPr>
        <w:ind w:left="780" w:right="24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loss, on a non-GAAP basis, of $(0.05) per diluted share to breakeven (unchanged). Because we expect to continue providing a full valuation allowance against our deferred tax assets, we will not recognize any income tax benefit in fiscal 2016.</w:t>
      </w:r>
    </w:p>
    <w:p>
      <w:pPr>
        <w:spacing w:after="0" w:line="62" w:lineRule="exact"/>
        <w:rPr>
          <w:rFonts w:ascii="Arial" w:cs="Arial" w:eastAsia="Arial" w:hAnsi="Arial"/>
          <w:sz w:val="18"/>
          <w:szCs w:val="18"/>
          <w:color w:val="auto"/>
        </w:rPr>
      </w:pPr>
    </w:p>
    <w:p>
      <w:pPr>
        <w:ind w:left="780" w:right="2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the end of fiscal 2016, we expect to have total debt of approximately $59.0 to $64.0 million, consisting of $12.8 million outstanding from a term loan, $6.6 million outstanding from equipment financing notes with the balance from our credit facility (unchanged).</w:t>
      </w:r>
    </w:p>
    <w:p>
      <w:pPr>
        <w:spacing w:after="0" w:line="62" w:lineRule="exact"/>
        <w:rPr>
          <w:rFonts w:ascii="Arial" w:cs="Arial" w:eastAsia="Arial" w:hAnsi="Arial"/>
          <w:sz w:val="18"/>
          <w:szCs w:val="18"/>
          <w:color w:val="auto"/>
        </w:rPr>
      </w:pPr>
    </w:p>
    <w:p>
      <w:pPr>
        <w:ind w:left="780" w:right="80" w:hanging="259"/>
        <w:spacing w:after="0" w:line="264"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a liquidity perspective, we expect cash flow from operating activities of $35.0 to $40.0 million, including tenant allowances, resulting in positive free cash flow, before DXL capital expenditures, a non-GAAP measure, of approximately $25.6 million to $30.6 million. Free cash flow a non-GAAP measure will be approximately $5.0 to $10.0 million (unchanged).</w:t>
      </w:r>
    </w:p>
    <w:p>
      <w:pPr>
        <w:spacing w:after="0" w:line="73" w:lineRule="exact"/>
        <w:rPr>
          <w:rFonts w:ascii="Arial" w:cs="Arial" w:eastAsia="Arial" w:hAnsi="Arial"/>
          <w:sz w:val="18"/>
          <w:szCs w:val="18"/>
          <w:color w:val="auto"/>
        </w:rPr>
      </w:pPr>
    </w:p>
    <w:p>
      <w:pPr>
        <w:ind w:left="780" w:right="20" w:hanging="259"/>
        <w:spacing w:after="0" w:line="264"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are expected to remain unchanged at approximately $30.0 million, which are primarily related to opening our DXL stores, and will be partially offset by approximately $7.0 to $8.0 million in tenant allowances. We expect to fund our capital expenditures primarily from our operating cash flow (unchanged).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color w:val="auto"/>
              </w:rPr>
              <w:t>Second Quarter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First Six Months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i w:val="1"/>
                <w:iCs w:val="1"/>
                <w:color w:val="auto"/>
              </w:rPr>
              <w:t>(in millions)</w:t>
            </w:r>
          </w:p>
        </w:tc>
        <w:tc>
          <w:tcPr>
            <w:tcW w:w="1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the second quarter and first six months of fiscal 2015</w:t>
            </w:r>
          </w:p>
        </w:tc>
        <w:tc>
          <w:tcPr>
            <w:tcW w:w="1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114.1</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Less 2015 sales for stores that have closed /converted</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Sales for the second quarter and first six months of fiscal 2016</w:t>
            </w:r>
          </w:p>
        </w:tc>
        <w:tc>
          <w:tcPr>
            <w:tcW w:w="1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the second quarter of fiscal 2016, total sales were $117.9 million as compared to $114.1 million for the second quarter of fiscal 2015. The increase of $3.8 million in total sales was primarily due to a 2.4% increase in comparable sales of $2.5 million, an increase in non-comparable store sales of $7.7 million and an increase of $0.3 million of other revenue, partially offset by $6.7 million in lost sales from closed and converted stores.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second quarter of fiscal 2016 marks our thirteenth consecutive quarter of positive comparable sales. Our comparable sales increase for the second quarter of $2.5 million, was driven by our 151 comparable DXL retail stores which increased 4.6%, or $2.6 million, against a comparable increase of 11.9% for the second quarter of fiscal 2015. DXL comparable store growth was driven by an increase of 3.2% in the number of transactions over the prior year. Our end-of-rack customer grew to 44.1% of our bottoms business from 42.9% in the second quarter of fiscal 2015. Our end-of-rack customer, with a waist size of 46 inches or less, shops 41% more often than our customer with a waist size of 48 inches or more and, on an annual basis, spends twice as much. Our non-comparable DXL stores are outperforming plan and return on investment hurdles, which is also a strong indicator that our DXL brand awareness is growing and the performance of our store openings continue to get stronger.</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six months of fiscal 2016, total sales were $225.8 million as compared to $218.6 million for the first six months of fiscal 2015. The increase in sales of $7.2 million was due to a 2.2% increase in comparable sales of $4.4 million, an increase in non-comparable store sales of $16.1 million and an increase of $0.5 million in other revenue, partially offset by $13.8 million in lost sales from closed and converted stores. Comparable sales for our 151 DXL retail stores increased 5.2%, or $5.5 million for the first six months of fiscal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100"/>
        <w:spacing w:after="0" w:line="255" w:lineRule="auto"/>
        <w:rPr>
          <w:sz w:val="20"/>
          <w:szCs w:val="20"/>
          <w:color w:val="auto"/>
        </w:rPr>
      </w:pPr>
      <w:r>
        <w:rPr>
          <w:rFonts w:ascii="Arial" w:cs="Arial" w:eastAsia="Arial" w:hAnsi="Arial"/>
          <w:sz w:val="18"/>
          <w:szCs w:val="18"/>
          <w:color w:val="auto"/>
        </w:rPr>
        <w:t>For the second quarter of fiscal 2016, our gross margin rate, inclusive of occupancy costs, was 46.5% as compared to a gross margin rate of 47.2% for the second quarter of fiscal 2015. The 70 basis point decrease was due to a decrease of 110 basis points in merchandise margin partially offset by a decrease in occupancy costs of 40 basis points. The 70 basis point decrease in merchandise margin was primarily due to a shift in the timing of clearance markdowns in fiscal 2015 from the second quarter to the latter half of fiscal 2015. The improvement in occupancy costs was primarily due to the leveraging of a higher sales base against relatively fixed occupancy expense. On a dollar basis, occupancy costs for the second quarter of fiscal 2016 increased less than 1.0% over the prior year’s second quarter.</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2016, our gross margin rate, inclusive of occupancy costs, was 46.3% as compared to 46.7% for the first six months of fiscal 2015. This 40 basis point decrease was due to a decrease in merchandise margins of 50 basis points, due to the timing of clearance merchandise discussed above, offset by a decrease in occupancy costs of 10 basis points. On a dollar basis, occupancy costs for the first six months of fiscal 2016 increased 2.4% over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percentage of sales, SG&amp;A expenses for the second quarter of fiscal 2016 were 39.3% as compared to 41.3% for the second quarter of fiscal 2015. For the first six months of fiscal 2016, SG&amp;A expenses were 38.8% as compared to 40.5% for the first six months of fiscal 2015. On a dollar basis, SG&amp;A decreased by $0.8 million and $0.9 million for the second quarter and first six months of fiscal 2016, respectively, due to decreases in advertising expense and incentive accruals.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second quarter and first six months of fiscal 2016, pre-opening payroll, training and other incremental costs to support our DXL store openings were $0.8 million and $1.4 million, respectively, as compared to the $0.9 million and $2.0 million for the second quarter and first six months of fiscal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Depreciation and amortization for the second quarter of fiscal 2016 increased $0.6 million to $7.5 million as compared to $6.9 million for the second quarter of fiscal 2015. For the first six months of fiscal 2016, depreciation and amortization increased $1.4 million to $14.9 million, as compared to $13.5 million in the prior year period. The increase in depreciation and amortization is due to the continued store growth associated with our DXL retail and outlet stores.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for the second quarter and first six months of fiscal 2016 of $0.8 million and $1.6 million, respectively, were relatively flat as compared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$0.7 million and $1.5 million for the comparable periods of the prior year. As a result of our inventory initiatives undertaken to improve liquidity,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 interest costs for fiscal 2016 will be similar to fiscal 2015 levels. We expect that our total debt outstanding at the end of fiscal 2016 will be $59.0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$64.0 million, a decrease from $68.1 million at the end of fiscal 2015. See “Liquidity and Capital Resources” for more discussion regarding our current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long-term debt and future liquidity needs.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July 30, 2016, we had total deferred tax assets of $81.5 million, total deferred tax liabilities of $18.8 million and a corresponding valuation allowance of $62.9 million. The deferred tax assets include approximately $50.9 million of net operating loss carryforwards and approximately $5.5 million of deferred gain on our sale-leaseback and, to a lesser extent, other book/tax timing differences.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2016, we believe that a full valuation allowance remains appropriate at this time.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tax provision, for the first six months of fiscal 2016 and fiscal 2015, represents an increase in our deferred tax liability for indefinite-lived intangibles as well as current state margin tax and foreign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second quarter of fiscal 2016, we had net income of $0.2 million, or $0.00 per diluted share, compared with a net loss of $(1.0) million, or $(0.02) per diluted share, for the second quarter of fiscal 2015. On a non-GAAP basis, assuming a normalized tax rate for both periods, adjusted net income (loss) per share for the second quarter of fiscal 2016 was the same as GAAP at $0.00 per diluted share as compared to $(0.01) per diluted share for the second quarter of fiscal 2015.</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2016, net income was $0.4 million, or $0.01 per diluted share, compared with a net loss of $(1.6) million, or $(0.03) per diluted share, for the first six months of fiscal 2015. On a non-GAAP basis, assuming a normalized tax rate for both periods, adjusted net income (loss) per share for the first six months of fiscal 2016 was the same as GAAP at $0.01 per diluted share as compared to ($0.02) per diluted share for the first six months of fiscal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July 30, 2016, total inventory was $121.3 million compared to $125.0 million at January 30, 2016 and $123.6 million at August 1, 2015. The 1.8% decrease of $2.3 million from August 1, 2015 is due to inventory initiatives implemented in fiscal 2016 to improve timing of receipts and reduce weeks of supply on hand. Clearance merchandise represented 7.7% of inventory at the end of the second quarter of fiscal 2016 as compared to 7.2% at the end of the second quarter of fiscal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Our current cash needs are primarily for working capital (essentially inventory requirements), capital expenditures and growth initiatives. As discussed below, our capital expenditures for fiscal 2016 are expected to be $30.0 million, primarily related to the planned opening of approximately 28 DXL retail stores and 3 DXL outlet stores and information technology projects. However, we expect to receive approximately $7.0 to $8.0 million in tenant allowances to offset these capital expenditures.</w:t>
      </w:r>
    </w:p>
    <w:p>
      <w:pPr>
        <w:spacing w:after="0" w:line="46"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expect to fund our store growth in fiscal 2016 primarily through earnings and borrowings from our credit facility. We currently believe that our existing cash generated by operations together with our credit facility will be sufficient within current forecasts for us to meet our foreseeable liquidity requirements.</w:t>
      </w:r>
    </w:p>
    <w:p>
      <w:pPr>
        <w:spacing w:after="0" w:line="1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fiscal 2016, we expect to generate free cash flow before DXL capital expenditures of $25.6 million to $30.6 million. We will reinvest that cash to fund our DXL store growth in fiscal 2016. After DXL capital expenditures, we expect positive free cash flow of $5.0 to $10.0 million. We expect that our total debt at the end of fiscal 2016 will be approximately $59.0 to $64.0 million, a decrease from $68.1 million at the end of fiscal 2015.</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six months of fiscal 2016, free cash flow improved by $15.6 million to $5.3 million from $(10.3) million for the first six months of fiscal 2015. This improvement in free cash flow was primarily due to the improvement in operating results and lower capital expenditures as compared to fiscal 2015. See “Non-GAAP Financial Measures” below regarding non-GAAP free cash flow.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July 30, 2016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9,497</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64,387</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63,571</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of the Notes to the Consolidated Financial Statements included in this Quarterly Report.</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had outstanding borrowings of $41.6 million under the Credit Facility at July 30, 2016. At July 30, 2016, outstanding standby letters of credit were $2.3 million and outstanding documentary letters of credit were $0.5 million. The average monthly borrowing outstanding under the Credit Facility during the first six months ended July 30, 2016 was approximately $50.6 million, resulting in an average unused excess availability of approximately $59.0 million. Unused excess availability at July 30, 2016 was $66.0 million.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The Company was subject to prepayment penalties through the second anniversary of each note. As of June 23, 2016, the Company is no longer subject to any prepayment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2% of the amount prepaid if the prepayment is before October 29, 2016 and 1% of the amount prepaid if the prepayment is after October 29, 2016 but prior to October 29, 2017. There is no prepayment penalty after October 29, 2017.</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July 30, 2016 and August 1, 2015,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6"/>
          </w:tcPr>
          <w:p>
            <w:pPr>
              <w:ind w:left="40"/>
              <w:spacing w:after="0"/>
              <w:rPr>
                <w:sz w:val="20"/>
                <w:szCs w:val="20"/>
                <w:color w:val="auto"/>
              </w:rPr>
            </w:pPr>
            <w:r>
              <w:rPr>
                <w:rFonts w:ascii="Arial" w:cs="Arial" w:eastAsia="Arial" w:hAnsi="Arial"/>
                <w:sz w:val="14"/>
                <w:szCs w:val="14"/>
                <w:color w:val="auto"/>
              </w:rPr>
              <w:t>July 30, 2016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ind w:left="320"/>
              <w:spacing w:after="0"/>
              <w:rPr>
                <w:sz w:val="20"/>
                <w:szCs w:val="20"/>
                <w:color w:val="auto"/>
              </w:rPr>
            </w:pPr>
            <w:r>
              <w:rPr>
                <w:rFonts w:ascii="Arial" w:cs="Arial" w:eastAsia="Arial" w:hAnsi="Arial"/>
                <w:sz w:val="14"/>
                <w:szCs w:val="14"/>
                <w:color w:val="auto"/>
                <w:w w:val="93"/>
              </w:rPr>
              <w:t>August 1, 2015</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84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8"/>
              </w:rPr>
              <w:t>Square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7"/>
          </w:tcPr>
          <w:p>
            <w:pPr>
              <w:jc w:val="center"/>
              <w:ind w:right="580"/>
              <w:spacing w:after="0" w:line="149" w:lineRule="exact"/>
              <w:rPr>
                <w:sz w:val="20"/>
                <w:szCs w:val="20"/>
                <w:color w:val="auto"/>
              </w:rPr>
            </w:pPr>
            <w:r>
              <w:rPr>
                <w:rFonts w:ascii="Arial" w:cs="Arial" w:eastAsia="Arial" w:hAnsi="Arial"/>
                <w:sz w:val="14"/>
                <w:szCs w:val="14"/>
                <w:color w:val="auto"/>
                <w:w w:val="97"/>
              </w:rPr>
              <w:t>Number of</w:t>
            </w: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4"/>
                <w:szCs w:val="14"/>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Footage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960"/>
              <w:spacing w:after="0"/>
              <w:rPr>
                <w:sz w:val="20"/>
                <w:szCs w:val="20"/>
                <w:color w:val="auto"/>
              </w:rPr>
            </w:pPr>
            <w:r>
              <w:rPr>
                <w:rFonts w:ascii="Arial" w:cs="Arial" w:eastAsia="Arial" w:hAnsi="Arial"/>
                <w:sz w:val="14"/>
                <w:szCs w:val="14"/>
                <w:color w:val="auto"/>
                <w:w w:val="88"/>
              </w:rPr>
              <w:t>Stores</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w:t>
            </w:r>
          </w:p>
        </w:tc>
        <w:tc>
          <w:tcPr>
            <w:tcW w:w="14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100" w:type="dxa"/>
            <w:vAlign w:val="bottom"/>
            <w:gridSpan w:val="10"/>
          </w:tcPr>
          <w:p>
            <w:pPr>
              <w:spacing w:after="0"/>
              <w:rPr>
                <w:sz w:val="20"/>
                <w:szCs w:val="20"/>
                <w:color w:val="auto"/>
              </w:rPr>
            </w:pPr>
            <w:r>
              <w:rPr>
                <w:rFonts w:ascii="Arial" w:cs="Arial" w:eastAsia="Arial" w:hAnsi="Arial"/>
                <w:sz w:val="18"/>
                <w:szCs w:val="18"/>
                <w:color w:val="auto"/>
                <w:w w:val="96"/>
              </w:rPr>
              <w:t>Below is a summary of store openings and closings from January 30, 2016 to July 30, 2016:</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Casual Male</w:t>
            </w: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Casual Male</w:t>
            </w:r>
          </w:p>
        </w:tc>
        <w:tc>
          <w:tcPr>
            <w:tcW w:w="140" w:type="dxa"/>
            <w:vAlign w:val="bottom"/>
          </w:tcPr>
          <w:p>
            <w:pPr>
              <w:spacing w:after="0"/>
              <w:rPr>
                <w:sz w:val="24"/>
                <w:szCs w:val="24"/>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4"/>
                <w:szCs w:val="14"/>
                <w:color w:val="auto"/>
                <w:w w:val="90"/>
              </w:rPr>
              <w:t>Rochester</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DXL</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color w:val="auto"/>
                <w:w w:val="97"/>
              </w:rPr>
              <w:t>DXL Outlets</w:t>
            </w: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XL Retail</w:t>
            </w:r>
          </w:p>
        </w:tc>
        <w:tc>
          <w:tcPr>
            <w:tcW w:w="940" w:type="dxa"/>
            <w:vAlign w:val="bottom"/>
            <w:gridSpan w:val="4"/>
          </w:tcPr>
          <w:p>
            <w:pPr>
              <w:jc w:val="right"/>
              <w:ind w:right="220"/>
              <w:spacing w:after="0"/>
              <w:rPr>
                <w:sz w:val="20"/>
                <w:szCs w:val="20"/>
                <w:color w:val="auto"/>
              </w:rPr>
            </w:pPr>
            <w:r>
              <w:rPr>
                <w:rFonts w:ascii="Arial" w:cs="Arial" w:eastAsia="Arial" w:hAnsi="Arial"/>
                <w:sz w:val="14"/>
                <w:szCs w:val="14"/>
                <w:color w:val="auto"/>
              </w:rPr>
              <w:t>XL Outlets</w:t>
            </w:r>
          </w:p>
        </w:tc>
        <w:tc>
          <w:tcPr>
            <w:tcW w:w="140" w:type="dxa"/>
            <w:vAlign w:val="bottom"/>
          </w:tcPr>
          <w:p>
            <w:pPr>
              <w:spacing w:after="0"/>
              <w:rPr>
                <w:sz w:val="14"/>
                <w:szCs w:val="14"/>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4"/>
                <w:szCs w:val="14"/>
                <w:color w:val="auto"/>
                <w:w w:val="97"/>
              </w:rPr>
              <w:t>Clothing</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30, 2016</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July 30,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280"/>
        <w:spacing w:after="0" w:line="259" w:lineRule="auto"/>
        <w:rPr>
          <w:sz w:val="20"/>
          <w:szCs w:val="20"/>
          <w:color w:val="auto"/>
        </w:rPr>
      </w:pPr>
      <w:r>
        <w:rPr>
          <w:rFonts w:ascii="Arial" w:cs="Arial" w:eastAsia="Arial" w:hAnsi="Arial"/>
          <w:sz w:val="18"/>
          <w:szCs w:val="18"/>
          <w:color w:val="auto"/>
        </w:rPr>
        <w:t>Our capital expenditures for the first six months of fiscal 2016 were $13.8 million as compared to $17.0 million for the first six months of fiscal 2015. The $3.2 million decrease is primarily related to the timing and improved buildout costs of the DXL stores opened in fiscal 2016 as compared to the prior year. The Company opened 10 DXL retail stores and 2 DXL outlet stores in the first six months of fiscal 2016 as compared to 15 DXL retail stores and 3 DXL outlet stores in the first six months of fiscal 2015.</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fiscal 2016, our capital expenditures are expected to be approximately $30.0 million and we expect to receive approximately $7.0 to $8.0 million in tenant allowances to offset these expenditures. Our budget includes approximately $20.6 million, excluding any allowance, related to the opening of 28 DXL retail stores and 3 DXL outlet stores, and approximately $9.4 million for continued information technology and other infrastructure projects. In addition, we expect to close approximately 26 Casual Male XL stores and 3 Casual Male XL outlet stores, the majority of which are in connection with the opening of the DXL retail and outlet stores in the same geographic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2015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Adjusted net income (loss), adjusted net income (loss) per diluted share, free cash flow, free cash flow before DXL capital expenditures and EBITDA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Adjusted net income (loss) and adjusted net income (loss) per diluted share</w:t>
      </w:r>
      <w:r>
        <w:rPr>
          <w:rFonts w:ascii="Arial" w:cs="Arial" w:eastAsia="Arial" w:hAnsi="Arial"/>
          <w:sz w:val="18"/>
          <w:szCs w:val="18"/>
          <w:color w:val="auto"/>
        </w:rPr>
        <w:t>. The above discussion includes an adjusted net income (loss)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first six months of fiscal 2016 and fiscal 2015 on a non-GAAP basis, which reflected an adjustment assuming a normal tax rate of 40%. We have fully reserved against our deferred tax assets and, therefore, net income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reconciliation of net income (loss) to adjusted net income (loss), assuming a normal tax rate of 40% for the second quarter and first six months of fiscal 2016 and fiscal 2015:</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ind w:left="80"/>
              <w:spacing w:after="0"/>
              <w:rPr>
                <w:sz w:val="20"/>
                <w:szCs w:val="20"/>
                <w:color w:val="auto"/>
              </w:rPr>
            </w:pPr>
            <w:r>
              <w:rPr>
                <w:rFonts w:ascii="Arial" w:cs="Arial" w:eastAsia="Arial" w:hAnsi="Arial"/>
                <w:sz w:val="14"/>
                <w:szCs w:val="14"/>
                <w:color w:val="auto"/>
                <w:w w:val="97"/>
              </w:rPr>
              <w:t>For the 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color w:val="auto"/>
              </w:rPr>
              <w:t>For the 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5"/>
          </w:tcPr>
          <w:p>
            <w:pPr>
              <w:jc w:val="right"/>
              <w:ind w:right="308"/>
              <w:spacing w:after="0"/>
              <w:rPr>
                <w:sz w:val="20"/>
                <w:szCs w:val="20"/>
                <w:color w:val="auto"/>
              </w:rPr>
            </w:pPr>
            <w:r>
              <w:rPr>
                <w:rFonts w:ascii="Arial" w:cs="Arial" w:eastAsia="Arial" w:hAnsi="Arial"/>
                <w:sz w:val="14"/>
                <w:szCs w:val="14"/>
                <w:color w:val="auto"/>
                <w:w w:val="91"/>
              </w:rPr>
              <w:t>July 30, 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4"/>
                <w:szCs w:val="14"/>
                <w:color w:val="auto"/>
              </w:rPr>
              <w:t>August 1, 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ind w:right="368"/>
              <w:spacing w:after="0"/>
              <w:rPr>
                <w:sz w:val="20"/>
                <w:szCs w:val="20"/>
                <w:color w:val="auto"/>
              </w:rPr>
            </w:pPr>
            <w:r>
              <w:rPr>
                <w:rFonts w:ascii="Arial" w:cs="Arial" w:eastAsia="Arial" w:hAnsi="Arial"/>
                <w:sz w:val="14"/>
                <w:szCs w:val="14"/>
                <w:color w:val="auto"/>
              </w:rPr>
              <w:t>July 30, 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6"/>
          </w:tcPr>
          <w:p>
            <w:pPr>
              <w:jc w:val="right"/>
              <w:ind w:right="460"/>
              <w:spacing w:after="0"/>
              <w:rPr>
                <w:sz w:val="20"/>
                <w:szCs w:val="20"/>
                <w:color w:val="auto"/>
              </w:rPr>
            </w:pPr>
            <w:r>
              <w:rPr>
                <w:rFonts w:ascii="Arial" w:cs="Arial" w:eastAsia="Arial" w:hAnsi="Arial"/>
                <w:sz w:val="14"/>
                <w:szCs w:val="14"/>
                <w:color w:val="auto"/>
              </w:rPr>
              <w:t>August 1,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2"/>
              </w:rPr>
              <w:t>Per diluted</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spacing w:after="0" w:line="137" w:lineRule="exact"/>
              <w:rPr>
                <w:sz w:val="20"/>
                <w:szCs w:val="20"/>
                <w:color w:val="auto"/>
              </w:rPr>
            </w:pPr>
            <w:r>
              <w:rPr>
                <w:rFonts w:ascii="Arial" w:cs="Arial" w:eastAsia="Arial" w:hAnsi="Arial"/>
                <w:sz w:val="14"/>
                <w:szCs w:val="14"/>
                <w:color w:val="auto"/>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8"/>
              </w:rPr>
              <w:t>Per diluted</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w w:val="96"/>
              </w:rPr>
              <w:t>share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share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Arial" w:cs="Arial" w:eastAsia="Arial" w:hAnsi="Arial"/>
                <w:sz w:val="14"/>
                <w:szCs w:val="14"/>
                <w:color w:val="auto"/>
                <w:w w:val="96"/>
              </w:rPr>
              <w:t>share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42"/>
        </w:trPr>
        <w:tc>
          <w:tcPr>
            <w:tcW w:w="41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9"/>
              </w:rPr>
              <w:t>Net income (loss) (GAAP basis)</w:t>
            </w:r>
          </w:p>
        </w:tc>
        <w:tc>
          <w:tcPr>
            <w:tcW w:w="20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49"/>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199</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0.00</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(979)</w:t>
            </w: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(0.02)</w:t>
            </w:r>
          </w:p>
        </w:tc>
        <w:tc>
          <w:tcPr>
            <w:tcW w:w="260" w:type="dxa"/>
            <w:vAlign w:val="bottom"/>
            <w:gridSpan w:val="2"/>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413</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0.01</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(1,553)</w:t>
            </w:r>
          </w:p>
        </w:tc>
        <w:tc>
          <w:tcPr>
            <w:tcW w:w="20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gridSpan w:val="2"/>
          </w:tcPr>
          <w:p>
            <w:pPr>
              <w:ind w:left="220"/>
              <w:spacing w:after="0"/>
              <w:rPr>
                <w:sz w:val="20"/>
                <w:szCs w:val="20"/>
                <w:color w:val="auto"/>
              </w:rPr>
            </w:pPr>
            <w:r>
              <w:rPr>
                <w:rFonts w:ascii="Arial" w:cs="Arial" w:eastAsia="Arial" w:hAnsi="Arial"/>
                <w:sz w:val="14"/>
                <w:szCs w:val="14"/>
                <w:color w:val="auto"/>
                <w:w w:val="97"/>
              </w:rPr>
              <w:t>Income tax (provision) benefit, assuming normal tax rate of 40%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Adjusted net income (loss) (non-GAAP basis)</w:t>
            </w:r>
          </w:p>
        </w:tc>
        <w:tc>
          <w:tcPr>
            <w:tcW w:w="12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0.00</w:t>
            </w:r>
          </w:p>
        </w:tc>
        <w:tc>
          <w:tcPr>
            <w:tcW w:w="22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(547)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0.01</w:t>
            </w:r>
          </w:p>
        </w:tc>
        <w:tc>
          <w:tcPr>
            <w:tcW w:w="22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120" w:type="dxa"/>
            <w:vAlign w:val="bottom"/>
            <w:gridSpan w:val="2"/>
          </w:tcPr>
          <w:p>
            <w:pPr>
              <w:spacing w:after="0" w:line="143" w:lineRule="exact"/>
              <w:rPr>
                <w:sz w:val="20"/>
                <w:szCs w:val="20"/>
                <w:color w:val="auto"/>
              </w:rPr>
            </w:pPr>
            <w:r>
              <w:rPr>
                <w:rFonts w:ascii="Arial" w:cs="Arial" w:eastAsia="Arial" w:hAnsi="Arial"/>
                <w:sz w:val="14"/>
                <w:szCs w:val="14"/>
                <w:color w:val="auto"/>
                <w:w w:val="93"/>
              </w:rPr>
              <w:t>Weighted average number of common shares outstanding on a diluted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4"/>
          </w:tcPr>
          <w:p>
            <w:pPr>
              <w:spacing w:after="0"/>
              <w:rPr>
                <w:sz w:val="20"/>
                <w:szCs w:val="20"/>
                <w:color w:val="auto"/>
              </w:rPr>
            </w:pPr>
            <w:r>
              <w:rPr>
                <w:rFonts w:ascii="Arial" w:cs="Arial" w:eastAsia="Arial" w:hAnsi="Arial"/>
                <w:sz w:val="14"/>
                <w:szCs w:val="14"/>
                <w:color w:val="auto"/>
              </w:rPr>
              <w:t>basis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49,953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49,081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49,902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Free Cash Flow and Free Cash Flow Before DXL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We define free cash flow as cash flow from operating activities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Free cash flow before DXL capital expenditures is free cash flow with DXL capital expenditures added back. Free cash flow excludes the mandatory and discretionary repayment of debt. Free cash flow and free cash flow before DXL capital expenditures are metrics that management uses to monitor liquidity. We expect to fund our ongoing DXL capital expenditures with cash flow from operations. We believe this metric is important to investors because it demonstrates our ability to strengthen liquidity while also contributing to the funding of the DXL store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 and free cash flow before DXL capital expenditures: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color w:val="auto"/>
              </w:rPr>
              <w:t>For the six months ended</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4"/>
                <w:szCs w:val="14"/>
                <w:color w:val="auto"/>
              </w:rPr>
              <w:t>July 30, 2016</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color w:val="auto"/>
                <w:w w:val="95"/>
              </w:rPr>
              <w:t>August 1, 2015</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19.1</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ind w:right="469"/>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ind w:right="469"/>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tcPr>
          <w:p>
            <w:pPr>
              <w:spacing w:after="0"/>
              <w:rPr>
                <w:sz w:val="14"/>
                <w:szCs w:val="14"/>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(11.2)</w:t>
            </w: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ind w:right="469"/>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040" w:hanging="654"/>
        <w:spacing w:after="0" w:line="220" w:lineRule="auto"/>
        <w:tabs>
          <w:tab w:leader="none" w:pos="1040" w:val="left"/>
        </w:tabs>
        <w:numPr>
          <w:ilvl w:val="0"/>
          <w:numId w:val="6"/>
        </w:numPr>
        <w:rPr>
          <w:rFonts w:ascii="Arial" w:cs="Arial" w:eastAsia="Arial" w:hAnsi="Arial"/>
          <w:sz w:val="36"/>
          <w:szCs w:val="36"/>
          <w:color w:val="auto"/>
          <w:vertAlign w:val="subscript"/>
        </w:rPr>
      </w:pPr>
      <w:r>
        <w:rPr>
          <w:rFonts w:ascii="Arial" w:cs="Arial" w:eastAsia="Arial" w:hAnsi="Arial"/>
          <w:sz w:val="14"/>
          <w:szCs w:val="14"/>
          <w:color w:val="auto"/>
        </w:rPr>
        <w:t>Cash flow from operating activities includes lease incentives received against our capital expenditures.</w:t>
      </w:r>
    </w:p>
    <w:p>
      <w:pPr>
        <w:spacing w:after="0" w:line="2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We believe that EBITDA is useful to investors in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income (loss) to EBITDA: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80" w:type="dxa"/>
            <w:vAlign w:val="bottom"/>
            <w:gridSpan w:val="4"/>
          </w:tcPr>
          <w:p>
            <w:pPr>
              <w:jc w:val="right"/>
              <w:ind w:right="448"/>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00" w:type="dxa"/>
            <w:vAlign w:val="bottom"/>
            <w:gridSpan w:val="5"/>
          </w:tcPr>
          <w:p>
            <w:pPr>
              <w:jc w:val="right"/>
              <w:ind w:right="116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July 30, 2016</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August 1, 2015</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July 30, 2016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August 1, 2015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180" w:type="dxa"/>
            <w:vAlign w:val="bottom"/>
            <w:vMerge w:val="restart"/>
          </w:tcPr>
          <w:p>
            <w:pPr>
              <w:jc w:val="right"/>
              <w:ind w:right="1028"/>
              <w:spacing w:after="0"/>
              <w:rPr>
                <w:sz w:val="20"/>
                <w:szCs w:val="20"/>
                <w:color w:val="auto"/>
              </w:rPr>
            </w:pPr>
            <w:r>
              <w:rPr>
                <w:rFonts w:ascii="Arial" w:cs="Arial" w:eastAsia="Arial" w:hAnsi="Arial"/>
                <w:sz w:val="14"/>
                <w:szCs w:val="14"/>
                <w:color w:val="auto"/>
                <w:w w:val="76"/>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440" w:type="dxa"/>
            <w:vAlign w:val="bottom"/>
            <w:gridSpan w:val="2"/>
            <w:vMerge w:val="restart"/>
          </w:tcPr>
          <w:p>
            <w:pPr>
              <w:jc w:val="right"/>
              <w:ind w:right="1008"/>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7"/>
              </w:rPr>
              <w:t>(1.0)</w:t>
            </w:r>
          </w:p>
        </w:tc>
        <w:tc>
          <w:tcPr>
            <w:tcW w:w="260" w:type="dxa"/>
            <w:vAlign w:val="bottom"/>
            <w:gridSpan w:val="2"/>
            <w:vMerge w:val="restart"/>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460" w:type="dxa"/>
            <w:vAlign w:val="bottom"/>
            <w:gridSpan w:val="2"/>
            <w:vMerge w:val="restart"/>
          </w:tcPr>
          <w:p>
            <w:pPr>
              <w:jc w:val="right"/>
              <w:ind w:right="69"/>
              <w:spacing w:after="0"/>
              <w:rPr>
                <w:sz w:val="20"/>
                <w:szCs w:val="20"/>
                <w:color w:val="auto"/>
              </w:rPr>
            </w:pPr>
            <w:r>
              <w:rPr>
                <w:rFonts w:ascii="Arial" w:cs="Arial" w:eastAsia="Arial" w:hAnsi="Arial"/>
                <w:sz w:val="14"/>
                <w:szCs w:val="14"/>
                <w:color w:val="auto"/>
              </w:rPr>
              <w:t>$</w:t>
            </w:r>
          </w:p>
        </w:tc>
        <w:tc>
          <w:tcPr>
            <w:tcW w:w="16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98"/>
              </w:rPr>
              <w:t>Net income</w:t>
            </w:r>
          </w:p>
        </w:tc>
        <w:tc>
          <w:tcPr>
            <w:tcW w:w="3860" w:type="dxa"/>
            <w:vAlign w:val="bottom"/>
          </w:tcPr>
          <w:p>
            <w:pPr>
              <w:spacing w:after="0" w:line="155" w:lineRule="exact"/>
              <w:rPr>
                <w:sz w:val="20"/>
                <w:szCs w:val="20"/>
                <w:color w:val="auto"/>
              </w:rPr>
            </w:pPr>
            <w:r>
              <w:rPr>
                <w:rFonts w:ascii="Arial" w:cs="Arial" w:eastAsia="Arial" w:hAnsi="Arial"/>
                <w:sz w:val="14"/>
                <w:szCs w:val="14"/>
                <w:color w:val="auto"/>
              </w:rPr>
              <w:t>(loss) (GAAP basis)</w:t>
            </w:r>
          </w:p>
        </w:tc>
        <w:tc>
          <w:tcPr>
            <w:tcW w:w="11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180" w:type="dxa"/>
            <w:vAlign w:val="bottom"/>
            <w:tcBorders>
              <w:bottom w:val="single" w:sz="8" w:color="auto"/>
            </w:tcBorders>
            <w:shd w:val="clear" w:color="auto" w:fill="CFF0FC"/>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w:t>
            </w:r>
          </w:p>
        </w:tc>
        <w:tc>
          <w:tcPr>
            <w:tcW w:w="28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ind w:right="100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2016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2016 Outlook:</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gridSpan w:val="2"/>
          </w:tcPr>
          <w:p>
            <w:pPr>
              <w:jc w:val="center"/>
              <w:ind w:left="1748"/>
              <w:spacing w:after="0"/>
              <w:rPr>
                <w:sz w:val="20"/>
                <w:szCs w:val="20"/>
                <w:color w:val="auto"/>
              </w:rPr>
            </w:pPr>
            <w:r>
              <w:rPr>
                <w:rFonts w:ascii="Arial" w:cs="Arial" w:eastAsia="Arial" w:hAnsi="Arial"/>
                <w:sz w:val="14"/>
                <w:szCs w:val="14"/>
                <w:color w:val="auto"/>
                <w:w w:val="91"/>
              </w:rPr>
              <w:t>Projected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tcBorders>
              <w:bottom w:val="single" w:sz="8" w:color="auto"/>
            </w:tcBorders>
            <w:gridSpan w:val="2"/>
          </w:tcPr>
          <w:p>
            <w:pPr>
              <w:jc w:val="center"/>
              <w:ind w:left="1748"/>
              <w:spacing w:after="0"/>
              <w:rPr>
                <w:sz w:val="20"/>
                <w:szCs w:val="20"/>
                <w:color w:val="auto"/>
              </w:rPr>
            </w:pPr>
            <w:r>
              <w:rPr>
                <w:rFonts w:ascii="Arial" w:cs="Arial" w:eastAsia="Arial" w:hAnsi="Arial"/>
                <w:sz w:val="14"/>
                <w:szCs w:val="14"/>
                <w:color w:val="auto"/>
                <w:w w:val="92"/>
              </w:rPr>
              <w:t>Fiscal 2016</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jc w:val="right"/>
              <w:ind w:right="56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464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$(4.4)-$0.0</w:t>
            </w:r>
          </w:p>
        </w:tc>
        <w:tc>
          <w:tcPr>
            <w:tcW w:w="8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2.9-3.3</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$31.0-$35.0</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64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Net income (loss),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$(4.4)-$0.0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$(0.09)-$0.00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Adjusted net income (loss), non-GAAP basis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$(2.6)-$0.0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$(0.05)-$0.00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$35.0-$40.0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$25.6-$30.6</w:t>
            </w:r>
          </w:p>
        </w:tc>
        <w:tc>
          <w:tcPr>
            <w:tcW w:w="8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80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Free Cash Flow,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$5.0-$10.0</w:t>
            </w:r>
          </w:p>
        </w:tc>
        <w:tc>
          <w:tcPr>
            <w:tcW w:w="800" w:type="dxa"/>
            <w:vAlign w:val="bottom"/>
            <w:tcBorders>
              <w:bottom w:val="single" w:sz="8" w:color="CFF0FC"/>
            </w:tcBorders>
            <w:shd w:val="clear" w:color="auto" w:fill="CFF0FC"/>
          </w:tcPr>
          <w:p>
            <w:pPr>
              <w:spacing w:after="0"/>
              <w:rPr>
                <w:sz w:val="13"/>
                <w:szCs w:val="13"/>
                <w:color w:val="auto"/>
              </w:rPr>
            </w:pPr>
          </w:p>
        </w:tc>
        <w:tc>
          <w:tcPr>
            <w:tcW w:w="1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July 30, 2016, the interest rate on our prime based borrowings was 4.0%. Approximately $38.0 million of our outstanding borrowings were in LIBOR contracts with an interest rate of 1.94%. We also have $13.3 million outstanding under a term loan, which bears interest at a variable rate based on one-month LIBOR rates plus 6.5%.</w:t>
      </w:r>
    </w:p>
    <w:p>
      <w:pPr>
        <w:spacing w:after="0" w:line="5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Based upon a sensitivity analysis as of July 30, 2016, assuming average outstanding borrowing during the first six months of fiscal 2016 of $50.6 million under our Credit Facility and $13.3 million outstanding under our term loan, a 50 basis point increase in interest rates would have resulted in a potential increase in interest expense of approximately $320,000 on an annualized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Rochester Clothing store located in London, England conducts business in British pounds. As of July 30, 2016,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30, 2016.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30, 2016, our disclosure controls and procedures were effective.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July 30, 2016 that has materially affected, or is reasonably likely to materially affect, our internal control over financial reporting.</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2015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Deferred Stock Agreement for Non-Employee Directors under the Company’s 2006 Incentive Compensation Plan.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Associate Deferred Stock Agreement under the Company’s 2006 Incentive Compensation Plan.</w:t>
      </w:r>
    </w:p>
    <w:p>
      <w:pPr>
        <w:spacing w:after="0" w:line="225" w:lineRule="exact"/>
        <w:rPr>
          <w:sz w:val="20"/>
          <w:szCs w:val="20"/>
          <w:color w:val="auto"/>
        </w:rPr>
      </w:pPr>
    </w:p>
    <w:p>
      <w:pPr>
        <w:ind w:left="580" w:right="920" w:hanging="566"/>
        <w:spacing w:after="0" w:line="277" w:lineRule="auto"/>
        <w:tabs>
          <w:tab w:leader="none" w:pos="560" w:val="left"/>
        </w:tabs>
        <w:rPr>
          <w:sz w:val="20"/>
          <w:szCs w:val="20"/>
          <w:color w:val="auto"/>
        </w:rPr>
      </w:pPr>
      <w:r>
        <w:rPr>
          <w:rFonts w:ascii="Arial" w:cs="Arial" w:eastAsia="Arial" w:hAnsi="Arial"/>
          <w:sz w:val="18"/>
          <w:szCs w:val="18"/>
          <w:color w:val="auto"/>
        </w:rPr>
        <w:t>10.3</w:t>
        <w:tab/>
        <w:t>2016 Incentive Compensation Plan (included as Exhibit 10.1 to the Company’s Current Report on Form 8-K filed on August 8, 2016, and incorporated by reference).</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31" w:lineRule="exact"/>
        <w:rPr>
          <w:sz w:val="20"/>
          <w:szCs w:val="20"/>
          <w:color w:val="auto"/>
        </w:rPr>
      </w:pPr>
    </w:p>
    <w:p>
      <w:pPr>
        <w:ind w:left="580" w:hanging="572"/>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July 30, 2016,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2"/>
          </w:tcPr>
          <w:p>
            <w:pPr>
              <w:ind w:left="2420"/>
              <w:spacing w:after="0"/>
              <w:rPr>
                <w:sz w:val="20"/>
                <w:szCs w:val="20"/>
                <w:color w:val="auto"/>
              </w:rPr>
            </w:pPr>
            <w:r>
              <w:rPr>
                <w:rFonts w:ascii="Arial" w:cs="Arial" w:eastAsia="Arial" w:hAnsi="Arial"/>
                <w:sz w:val="18"/>
                <w:szCs w:val="18"/>
                <w:color w:val="auto"/>
              </w:rPr>
              <w:t>DESTINATION XL GROUP, INC.</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 August 25, 2016</w:t>
            </w:r>
          </w:p>
        </w:tc>
        <w:tc>
          <w:tcPr>
            <w:tcW w:w="7360" w:type="dxa"/>
            <w:vAlign w:val="bottom"/>
            <w:gridSpan w:val="2"/>
          </w:tcPr>
          <w:p>
            <w:pPr>
              <w:ind w:left="2420"/>
              <w:spacing w:after="0"/>
              <w:rPr>
                <w:sz w:val="20"/>
                <w:szCs w:val="20"/>
                <w:color w:val="auto"/>
              </w:rPr>
            </w:pPr>
            <w:r>
              <w:rPr>
                <w:rFonts w:ascii="Arial" w:cs="Arial" w:eastAsia="Arial" w:hAnsi="Arial"/>
                <w:sz w:val="18"/>
                <w:szCs w:val="18"/>
                <w:color w:val="auto"/>
              </w:rPr>
              <w:t>By:  /S/ John F. Cooney</w:t>
            </w:r>
          </w:p>
        </w:tc>
      </w:tr>
      <w:tr>
        <w:trPr>
          <w:trHeight w:val="195"/>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30"/>
        </w:trPr>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2006 INCENTIVE COMPENSATION PLAN</w:t>
      </w:r>
    </w:p>
    <w:p>
      <w:pPr>
        <w:jc w:val="center"/>
        <w:ind w:right="440"/>
        <w:spacing w:after="0"/>
        <w:rPr>
          <w:sz w:val="20"/>
          <w:szCs w:val="20"/>
          <w:color w:val="auto"/>
        </w:rPr>
      </w:pPr>
      <w:r>
        <w:rPr>
          <w:rFonts w:ascii="Arial" w:cs="Arial" w:eastAsia="Arial" w:hAnsi="Arial"/>
          <w:sz w:val="22"/>
          <w:szCs w:val="22"/>
          <w:b w:val="1"/>
          <w:bCs w:val="1"/>
          <w:color w:val="auto"/>
        </w:rPr>
        <w:t>(as amended and restated August 1, 2013)</w:t>
      </w:r>
    </w:p>
    <w:p>
      <w:pPr>
        <w:spacing w:after="0" w:line="19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DEFERRED STOCK AWARD AGREEMENT</w:t>
      </w:r>
    </w:p>
    <w:p>
      <w:pPr>
        <w:spacing w:after="0" w:line="14"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(For Non-Employee Directors)</w:t>
      </w:r>
    </w:p>
    <w:p>
      <w:pPr>
        <w:spacing w:after="0" w:line="19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ind w:left="440" w:hanging="440"/>
        <w:spacing w:after="0" w:line="245" w:lineRule="auto"/>
        <w:tabs>
          <w:tab w:leader="none" w:pos="440" w:val="left"/>
        </w:tabs>
        <w:numPr>
          <w:ilvl w:val="0"/>
          <w:numId w:val="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Grant of Deferred Stock. </w:t>
      </w:r>
      <w:r>
        <w:rPr>
          <w:rFonts w:ascii="Arial" w:cs="Arial" w:eastAsia="Arial" w:hAnsi="Arial"/>
          <w:sz w:val="21"/>
          <w:szCs w:val="21"/>
          <w:color w:val="auto"/>
        </w:rPr>
        <w:t>DESTINATION XL GROUP, INC., a Delaware corporation (the “Company”), hereby grants,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as of </w:t>
      </w:r>
      <w:r>
        <w:rPr>
          <w:rFonts w:ascii="Arial" w:cs="Arial" w:eastAsia="Arial" w:hAnsi="Arial"/>
          <w:sz w:val="21"/>
          <w:szCs w:val="21"/>
          <w:i w:val="1"/>
          <w:iCs w:val="1"/>
          <w:color w:val="auto"/>
        </w:rPr>
        <w:t>____________________</w:t>
      </w:r>
      <w:r>
        <w:rPr>
          <w:rFonts w:ascii="Arial" w:cs="Arial" w:eastAsia="Arial" w:hAnsi="Arial"/>
          <w:sz w:val="21"/>
          <w:szCs w:val="21"/>
          <w:color w:val="auto"/>
        </w:rPr>
        <w:t xml:space="preserve"> (“Date of Grant”), to </w:t>
      </w:r>
      <w:r>
        <w:rPr>
          <w:rFonts w:ascii="Arial" w:cs="Arial" w:eastAsia="Arial" w:hAnsi="Arial"/>
          <w:sz w:val="21"/>
          <w:szCs w:val="21"/>
          <w:i w:val="1"/>
          <w:iCs w:val="1"/>
          <w:color w:val="auto"/>
        </w:rPr>
        <w:t>_______________</w:t>
      </w:r>
      <w:r>
        <w:rPr>
          <w:rFonts w:ascii="Arial" w:cs="Arial" w:eastAsia="Arial" w:hAnsi="Arial"/>
          <w:sz w:val="21"/>
          <w:szCs w:val="21"/>
          <w:color w:val="auto"/>
        </w:rPr>
        <w:t xml:space="preserve"> (the “Participant”) an award (the “Award”) of deferred stock (the “Deferred Stock”) of </w:t>
      </w:r>
      <w:r>
        <w:rPr>
          <w:rFonts w:ascii="Arial" w:cs="Arial" w:eastAsia="Arial" w:hAnsi="Arial"/>
          <w:sz w:val="21"/>
          <w:szCs w:val="21"/>
          <w:i w:val="1"/>
          <w:iCs w:val="1"/>
          <w:color w:val="auto"/>
        </w:rPr>
        <w:t>____</w:t>
      </w:r>
      <w:r>
        <w:rPr>
          <w:rFonts w:ascii="Arial" w:cs="Arial" w:eastAsia="Arial" w:hAnsi="Arial"/>
          <w:sz w:val="21"/>
          <w:szCs w:val="21"/>
          <w:color w:val="auto"/>
        </w:rPr>
        <w:t xml:space="preserve"> shares of the Company’s common stock, $.01 par value per share, subject to the terms and conditions as set forth herein. This deferred stock award agreement (the “Agreement”) is issued pursuant to the Company’s 2006 Incentive Compensation Plan (as amended and restated August 1, 2013) (the “2006 Plan”) and the Company’s Amended and Restated Non-Employee Director Compensation Plan (the “Non-Employee Director Plan”), which are incorporated herein for all purposes. The Participant hereby acknowledges receipt of copies of the 2006 Plan and the Non-Employee Director Plan and agrees to be bound by all of the terms and conditions hereof and thereof and all applicable laws and regulations.</w:t>
      </w:r>
    </w:p>
    <w:p>
      <w:pPr>
        <w:spacing w:after="0" w:line="185" w:lineRule="exact"/>
        <w:rPr>
          <w:rFonts w:ascii="Arial" w:cs="Arial" w:eastAsia="Arial" w:hAnsi="Arial"/>
          <w:sz w:val="21"/>
          <w:szCs w:val="21"/>
          <w:color w:val="auto"/>
        </w:rPr>
      </w:pPr>
    </w:p>
    <w:p>
      <w:pPr>
        <w:ind w:left="440" w:hanging="440"/>
        <w:spacing w:after="0" w:line="251"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Definitions. </w:t>
      </w:r>
      <w:r>
        <w:rPr>
          <w:rFonts w:ascii="Arial" w:cs="Arial" w:eastAsia="Arial" w:hAnsi="Arial"/>
          <w:sz w:val="22"/>
          <w:szCs w:val="22"/>
          <w:color w:val="auto"/>
        </w:rPr>
        <w:t>Unless otherwise provided herein, terms used herein that are defined in the 2006 Plan and not defined herein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have the meanings attributed thereto in the 2006 Plan.</w:t>
      </w:r>
    </w:p>
    <w:p>
      <w:pPr>
        <w:spacing w:after="0" w:line="173" w:lineRule="exact"/>
        <w:rPr>
          <w:rFonts w:ascii="Arial" w:cs="Arial" w:eastAsia="Arial" w:hAnsi="Arial"/>
          <w:sz w:val="22"/>
          <w:szCs w:val="22"/>
          <w:color w:val="auto"/>
        </w:rPr>
      </w:pPr>
    </w:p>
    <w:p>
      <w:pPr>
        <w:ind w:left="440" w:right="220" w:hanging="440"/>
        <w:spacing w:after="0" w:line="251"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Vesting Schedule. </w:t>
      </w:r>
      <w:r>
        <w:rPr>
          <w:rFonts w:ascii="Arial" w:cs="Arial" w:eastAsia="Arial" w:hAnsi="Arial"/>
          <w:sz w:val="22"/>
          <w:szCs w:val="22"/>
          <w:color w:val="auto"/>
        </w:rPr>
        <w:t>Pursuant to the Non-Employee Director Plan, the Deferred Stock shall be fully vested on the Date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w:t>
      </w:r>
    </w:p>
    <w:p>
      <w:pPr>
        <w:spacing w:after="0" w:line="173" w:lineRule="exact"/>
        <w:rPr>
          <w:rFonts w:ascii="Arial" w:cs="Arial" w:eastAsia="Arial" w:hAnsi="Arial"/>
          <w:sz w:val="22"/>
          <w:szCs w:val="22"/>
          <w:color w:val="auto"/>
        </w:rPr>
      </w:pPr>
    </w:p>
    <w:p>
      <w:pPr>
        <w:ind w:left="440" w:right="180" w:hanging="440"/>
        <w:spacing w:after="0" w:line="236"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b w:val="1"/>
          <w:bCs w:val="1"/>
          <w:i w:val="1"/>
          <w:iCs w:val="1"/>
          <w:color w:val="auto"/>
        </w:rPr>
        <w:t>Deferral Period</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the Non-Employee Director Plan, Shares that are deferred pursuant to this Award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Deferred Stock shall be delivered to the Participant within 30 days after the end of a period (the “Deferral Period”) that begins on the Date of Grant and ends on the [earlier of (a) the [______] anniversary of the Date of Grant or (b) the] date on which the Participant incurs a “separation from service”, within the meaning of Section 409A of the Code. Payment of the Award shall be made in shares of Common Stock.</w:t>
      </w:r>
    </w:p>
    <w:p>
      <w:pPr>
        <w:spacing w:after="0" w:line="187" w:lineRule="exact"/>
        <w:rPr>
          <w:rFonts w:ascii="Arial" w:cs="Arial" w:eastAsia="Arial" w:hAnsi="Arial"/>
          <w:sz w:val="22"/>
          <w:szCs w:val="22"/>
          <w:color w:val="auto"/>
        </w:rPr>
      </w:pPr>
    </w:p>
    <w:p>
      <w:pPr>
        <w:ind w:left="440" w:hanging="440"/>
        <w:spacing w:after="0"/>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b w:val="1"/>
          <w:bCs w:val="1"/>
          <w:i w:val="1"/>
          <w:iCs w:val="1"/>
          <w:color w:val="auto"/>
        </w:rPr>
        <w:t>Adjustments</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Award shall be subject to the adjustments provided for in Section 10 of the 2006 Plan.</w:t>
      </w:r>
    </w:p>
    <w:p>
      <w:pPr>
        <w:spacing w:after="0" w:line="206" w:lineRule="exact"/>
        <w:rPr>
          <w:rFonts w:ascii="Arial" w:cs="Arial" w:eastAsia="Arial" w:hAnsi="Arial"/>
          <w:sz w:val="22"/>
          <w:szCs w:val="22"/>
          <w:color w:val="auto"/>
        </w:rPr>
      </w:pPr>
    </w:p>
    <w:p>
      <w:pPr>
        <w:ind w:left="440" w:right="120" w:hanging="440"/>
        <w:spacing w:after="0" w:line="252" w:lineRule="auto"/>
        <w:tabs>
          <w:tab w:leader="none" w:pos="440" w:val="left"/>
        </w:tabs>
        <w:numPr>
          <w:ilvl w:val="0"/>
          <w:numId w:val="8"/>
        </w:numPr>
        <w:rPr>
          <w:rFonts w:ascii="Arial" w:cs="Arial" w:eastAsia="Arial" w:hAnsi="Arial"/>
          <w:sz w:val="21"/>
          <w:szCs w:val="21"/>
          <w:color w:val="auto"/>
        </w:rPr>
      </w:pPr>
      <w:r>
        <w:rPr>
          <w:rFonts w:ascii="Arial" w:cs="Arial" w:eastAsia="Arial" w:hAnsi="Arial"/>
          <w:sz w:val="21"/>
          <w:szCs w:val="21"/>
          <w:b w:val="1"/>
          <w:bCs w:val="1"/>
          <w:i w:val="1"/>
          <w:iCs w:val="1"/>
          <w:color w:val="auto"/>
        </w:rPr>
        <w:t>Transferability</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Unless otherwise determined by the Committee, the Award granted hereby is not transferable otherwise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than by will or under the applicable laws of descent and distribution. Upon any attempt to transfer, assign, negotiate, pledge or hypothecate the, or in the event of any levy upon the by reason of any execution, attachment or similar process contrary to the provisions hereof, the Award shall immediately become null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531495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28" w:name="page29"/>
    <w:bookmarkEnd w:id="28"/>
    <w:p>
      <w:pPr>
        <w:ind w:left="440" w:right="220"/>
        <w:spacing w:after="0" w:line="251" w:lineRule="auto"/>
        <w:rPr>
          <w:sz w:val="20"/>
          <w:szCs w:val="20"/>
          <w:color w:val="auto"/>
        </w:rPr>
      </w:pPr>
      <w:r>
        <w:rPr>
          <w:rFonts w:ascii="Arial" w:cs="Arial" w:eastAsia="Arial" w:hAnsi="Arial"/>
          <w:sz w:val="22"/>
          <w:szCs w:val="22"/>
          <w:color w:val="auto"/>
        </w:rPr>
        <w:t>void. The terms of this Agreement shall be binding upon the executors, administrators, heirs, successors and assigns of the Participant.</w:t>
      </w:r>
    </w:p>
    <w:p>
      <w:pPr>
        <w:spacing w:after="0" w:line="173" w:lineRule="exact"/>
        <w:rPr>
          <w:sz w:val="20"/>
          <w:szCs w:val="20"/>
          <w:color w:val="auto"/>
        </w:rPr>
      </w:pPr>
    </w:p>
    <w:p>
      <w:pPr>
        <w:ind w:left="440" w:right="360" w:hanging="440"/>
        <w:spacing w:after="0" w:line="251" w:lineRule="auto"/>
        <w:tabs>
          <w:tab w:leader="none" w:pos="44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No Rights of Stockholders</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to the lapse of the Deferral Period, the Award carries no voting or dividend or other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rights and privileges of a stockholder of the Company.</w:t>
      </w:r>
    </w:p>
    <w:p>
      <w:pPr>
        <w:spacing w:after="0" w:line="173" w:lineRule="exact"/>
        <w:rPr>
          <w:rFonts w:ascii="Arial" w:cs="Arial" w:eastAsia="Arial" w:hAnsi="Arial"/>
          <w:sz w:val="22"/>
          <w:szCs w:val="22"/>
          <w:color w:val="auto"/>
        </w:rPr>
      </w:pPr>
    </w:p>
    <w:p>
      <w:pPr>
        <w:jc w:val="both"/>
        <w:ind w:left="440" w:hanging="440"/>
        <w:spacing w:after="0" w:line="238" w:lineRule="auto"/>
        <w:tabs>
          <w:tab w:leader="none" w:pos="44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Acceleration of Deferral Period Upon Change in Control. </w:t>
      </w:r>
      <w:r>
        <w:rPr>
          <w:rFonts w:ascii="Arial" w:cs="Arial" w:eastAsia="Arial" w:hAnsi="Arial"/>
          <w:sz w:val="22"/>
          <w:szCs w:val="22"/>
          <w:color w:val="auto"/>
        </w:rPr>
        <w:t>If and to the extent it would not result in a violation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409A of the Code, in the event that a Change in Control, as defined in Section 9(b) of the 2006 Plan</w:t>
      </w:r>
      <w:r>
        <w:rPr>
          <w:rFonts w:ascii="Arial" w:cs="Arial" w:eastAsia="Arial" w:hAnsi="Arial"/>
          <w:sz w:val="22"/>
          <w:szCs w:val="22"/>
          <w:color w:val="auto"/>
          <w:strike w:val="1"/>
        </w:rPr>
        <w:t>.</w:t>
      </w:r>
      <w:r>
        <w:rPr>
          <w:rFonts w:ascii="Arial" w:cs="Arial" w:eastAsia="Arial" w:hAnsi="Arial"/>
          <w:sz w:val="22"/>
          <w:szCs w:val="22"/>
          <w:color w:val="auto"/>
        </w:rPr>
        <w:t>, occurs during the Deferral Period, the Shares that are subject to this Award of Deferred Stock shall be delivered to the Participant within 30 days after the Change in Control.</w:t>
      </w:r>
    </w:p>
    <w:p>
      <w:pPr>
        <w:spacing w:after="0" w:line="185" w:lineRule="exact"/>
        <w:rPr>
          <w:rFonts w:ascii="Arial" w:cs="Arial" w:eastAsia="Arial" w:hAnsi="Arial"/>
          <w:sz w:val="22"/>
          <w:szCs w:val="22"/>
          <w:color w:val="auto"/>
        </w:rPr>
      </w:pPr>
    </w:p>
    <w:p>
      <w:pPr>
        <w:ind w:left="440" w:right="40" w:hanging="440"/>
        <w:spacing w:after="0" w:line="274" w:lineRule="auto"/>
        <w:tabs>
          <w:tab w:leader="none" w:pos="440" w:val="left"/>
        </w:tabs>
        <w:numPr>
          <w:ilvl w:val="0"/>
          <w:numId w:val="9"/>
        </w:numPr>
        <w:rPr>
          <w:rFonts w:ascii="Arial" w:cs="Arial" w:eastAsia="Arial" w:hAnsi="Arial"/>
          <w:sz w:val="21"/>
          <w:szCs w:val="21"/>
          <w:color w:val="auto"/>
        </w:rPr>
      </w:pPr>
      <w:r>
        <w:rPr>
          <w:rFonts w:ascii="Arial" w:cs="Arial" w:eastAsia="Arial" w:hAnsi="Arial"/>
          <w:sz w:val="21"/>
          <w:szCs w:val="21"/>
          <w:b w:val="1"/>
          <w:bCs w:val="1"/>
          <w:i w:val="1"/>
          <w:iCs w:val="1"/>
          <w:color w:val="auto"/>
        </w:rPr>
        <w:t>No Right to Continued Employment or Service with the Company</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Neither the Deferred Stock nor this Agreement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confer upon the Participant any right to continued employment or service with the Company.</w:t>
      </w:r>
    </w:p>
    <w:p>
      <w:pPr>
        <w:spacing w:after="0" w:line="150" w:lineRule="exact"/>
        <w:rPr>
          <w:rFonts w:ascii="Arial" w:cs="Arial" w:eastAsia="Arial" w:hAnsi="Arial"/>
          <w:sz w:val="21"/>
          <w:szCs w:val="21"/>
          <w:color w:val="auto"/>
        </w:rPr>
      </w:pPr>
    </w:p>
    <w:p>
      <w:pPr>
        <w:ind w:left="440" w:right="80" w:hanging="440"/>
        <w:spacing w:after="0" w:line="251" w:lineRule="auto"/>
        <w:tabs>
          <w:tab w:leader="none" w:pos="44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Law Governing</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governed in accordance with and governed by the internal laws of the State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Delaware.</w:t>
      </w:r>
    </w:p>
    <w:p>
      <w:pPr>
        <w:spacing w:after="0" w:line="173" w:lineRule="exact"/>
        <w:rPr>
          <w:rFonts w:ascii="Arial" w:cs="Arial" w:eastAsia="Arial" w:hAnsi="Arial"/>
          <w:sz w:val="22"/>
          <w:szCs w:val="22"/>
          <w:color w:val="auto"/>
        </w:rPr>
      </w:pPr>
    </w:p>
    <w:p>
      <w:pPr>
        <w:ind w:left="440" w:right="100" w:hanging="440"/>
        <w:spacing w:after="0" w:line="275" w:lineRule="auto"/>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Interpretation / Provisions of Plan Control</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is subject to all the terms, conditions and provisions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2006 Plan, including, without limitation, the amendment provisions thereof, and to such rules, regulations and interpretations relating to the 2006 Plan adopted by the Committee as may be in effect from time to time. If and to the extent that this Agreement conflicts or is inconsistent with the terms, conditions and provisions of the 2006 Plan, the 2006 Plan shall control, and this Agreement shall be deemed to be modified accordingly. The Participant accepts this Agreement subject to all of the terms and provisions of the 2006 Plan and this Agreement. The undersigned Participant hereby accepts as binding, conclusive and final all decisions or interpretations of the Committee upon any questions arising under the 2006 Plan and this Agreement, unless shown to have been made in an arbitrary and capricious manner.</w:t>
      </w:r>
    </w:p>
    <w:p>
      <w:pPr>
        <w:spacing w:after="0" w:line="158" w:lineRule="exact"/>
        <w:rPr>
          <w:rFonts w:ascii="Arial" w:cs="Arial" w:eastAsia="Arial" w:hAnsi="Arial"/>
          <w:sz w:val="19"/>
          <w:szCs w:val="19"/>
          <w:color w:val="auto"/>
        </w:rPr>
      </w:pPr>
    </w:p>
    <w:p>
      <w:pPr>
        <w:ind w:left="440" w:right="40" w:hanging="440"/>
        <w:spacing w:after="0" w:line="248" w:lineRule="auto"/>
        <w:tabs>
          <w:tab w:leader="none" w:pos="440" w:val="left"/>
        </w:tabs>
        <w:numPr>
          <w:ilvl w:val="0"/>
          <w:numId w:val="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 when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71" w:lineRule="exact"/>
        <w:rPr>
          <w:rFonts w:ascii="Arial" w:cs="Arial" w:eastAsia="Arial" w:hAnsi="Arial"/>
          <w:sz w:val="21"/>
          <w:szCs w:val="21"/>
          <w:color w:val="auto"/>
        </w:rPr>
      </w:pPr>
    </w:p>
    <w:p>
      <w:pPr>
        <w:ind w:left="440" w:right="400" w:hanging="440"/>
        <w:spacing w:after="0" w:line="256" w:lineRule="auto"/>
        <w:tabs>
          <w:tab w:leader="none" w:pos="44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Section 409A. </w:t>
      </w:r>
      <w:r>
        <w:rPr>
          <w:rFonts w:ascii="Arial" w:cs="Arial" w:eastAsia="Arial" w:hAnsi="Arial"/>
          <w:sz w:val="22"/>
          <w:szCs w:val="22"/>
          <w:b w:val="1"/>
          <w:bCs w:val="1"/>
          <w:color w:val="auto"/>
        </w:rPr>
        <w:t>This Award shall be subject to the provisions of Section 7(e) of the 2006 Plan, relating to Section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459740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8" w:right="239" w:bottom="1440" w:gutter="0" w:footer="0" w:header="0"/>
        </w:sectPr>
      </w:pPr>
    </w:p>
    <w:bookmarkStart w:id="29" w:name="page30"/>
    <w:bookmarkEnd w:id="29"/>
    <w:p>
      <w:pPr>
        <w:ind w:left="880"/>
        <w:spacing w:after="0"/>
        <w:tabs>
          <w:tab w:leader="none" w:pos="1300" w:val="left"/>
          <w:tab w:leader="none" w:pos="2460" w:val="left"/>
          <w:tab w:leader="none" w:pos="3740" w:val="left"/>
          <w:tab w:leader="none" w:pos="4220" w:val="left"/>
          <w:tab w:leader="none" w:pos="5480" w:val="left"/>
          <w:tab w:leader="none" w:pos="6100" w:val="left"/>
          <w:tab w:leader="none" w:pos="7080" w:val="left"/>
          <w:tab w:leader="none" w:pos="7620" w:val="left"/>
          <w:tab w:leader="none" w:pos="8780" w:val="left"/>
          <w:tab w:leader="none" w:pos="9180" w:val="left"/>
          <w:tab w:leader="none" w:pos="9560" w:val="left"/>
          <w:tab w:leader="none" w:pos="10040" w:val="left"/>
          <w:tab w:leader="none" w:pos="10680" w:val="left"/>
          <w:tab w:leader="none" w:pos="11220" w:val="left"/>
        </w:tabs>
        <w:rPr>
          <w:sz w:val="20"/>
          <w:szCs w:val="20"/>
          <w:color w:val="auto"/>
        </w:rPr>
      </w:pPr>
      <w:r>
        <w:rPr>
          <w:rFonts w:ascii="Arial" w:cs="Arial" w:eastAsia="Arial" w:hAnsi="Arial"/>
          <w:sz w:val="22"/>
          <w:szCs w:val="22"/>
          <w:color w:val="auto"/>
        </w:rPr>
        <w:t>IN</w:t>
        <w:tab/>
        <w:t>WITNESS</w:t>
        <w:tab/>
        <w:t>WHEREOF,</w:t>
        <w:tab/>
        <w:t>the</w:t>
        <w:tab/>
        <w:t>undersigned</w:t>
        <w:tab/>
        <w:t>have</w:t>
        <w:tab/>
        <w:t>executed</w:t>
        <w:tab/>
        <w:t>this</w:t>
        <w:tab/>
        <w:t>Agreement</w:t>
        <w:tab/>
        <w:t>as</w:t>
        <w:tab/>
        <w:t>of</w:t>
        <w:tab/>
        <w:t>the</w:t>
        <w:tab/>
        <w:t>____</w:t>
        <w:tab/>
        <w:t>day</w:t>
      </w:r>
      <w:r>
        <w:rPr>
          <w:sz w:val="20"/>
          <w:szCs w:val="20"/>
          <w:color w:val="auto"/>
        </w:rPr>
        <w:tab/>
      </w:r>
      <w:r>
        <w:rPr>
          <w:rFonts w:ascii="Arial" w:cs="Arial" w:eastAsia="Arial" w:hAnsi="Arial"/>
          <w:sz w:val="21"/>
          <w:szCs w:val="21"/>
          <w:color w:val="auto"/>
        </w:rPr>
        <w:t>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20______.</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DESTINATION XL GROUP, INC., a Delaware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jc w:val="center"/>
        <w:ind w:left="1160"/>
        <w:spacing w:after="0"/>
        <w:rPr>
          <w:sz w:val="20"/>
          <w:szCs w:val="20"/>
          <w:color w:val="auto"/>
        </w:rPr>
      </w:pPr>
      <w:r>
        <w:rPr>
          <w:rFonts w:ascii="Arial" w:cs="Arial" w:eastAsia="Arial" w:hAnsi="Arial"/>
          <w:sz w:val="18"/>
          <w:szCs w:val="18"/>
          <w:b w:val="1"/>
          <w:bCs w:val="1"/>
          <w:color w:val="auto"/>
        </w:rPr>
        <w:t>Title:</w:t>
      </w:r>
    </w:p>
    <w:p>
      <w:pPr>
        <w:spacing w:after="0" w:line="19"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The Participant acknowledges receipt of copies of the 2006 Plan and the Non-Employee Director Plan and represents that he or she has reviewed the provisions of both plans and this Agreement in their entirety and is familiar with and understands their terms and provisions, and hereby accepts this Agreement subject to all of the terms and provisions of the 2006 Plan and the Agreement. The Participant further represents that he or she has had an opportunity to obtain the advice of counsel prior to executing this Agreement.</w:t>
      </w:r>
    </w:p>
    <w:p>
      <w:pPr>
        <w:spacing w:after="0" w:line="202"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Dated:_____________________________</w:t>
      </w:r>
      <w:r>
        <w:rPr>
          <w:sz w:val="20"/>
          <w:szCs w:val="20"/>
          <w:color w:val="auto"/>
        </w:rPr>
        <w:tab/>
      </w:r>
      <w:r>
        <w:rPr>
          <w:rFonts w:ascii="Arial" w:cs="Arial" w:eastAsia="Arial" w:hAnsi="Arial"/>
          <w:sz w:val="18"/>
          <w:szCs w:val="18"/>
          <w:b w:val="1"/>
          <w:bCs w:val="1"/>
          <w:color w:val="auto"/>
        </w:rPr>
        <w:t>PARTICIPANT</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302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8" w:lineRule="exact"/>
        <w:rPr>
          <w:sz w:val="20"/>
          <w:szCs w:val="20"/>
          <w:color w:val="auto"/>
        </w:rPr>
      </w:pPr>
    </w:p>
    <w:p>
      <w:pPr>
        <w:ind w:left="8040"/>
        <w:spacing w:after="0"/>
        <w:tabs>
          <w:tab w:leader="none" w:pos="95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420"/>
          </w:cols>
          <w:pgMar w:left="240" w:top="34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INCENTIVE COMPENSATION PLAN</w:t>
      </w:r>
    </w:p>
    <w:p>
      <w:pPr>
        <w:jc w:val="center"/>
        <w:spacing w:after="0"/>
        <w:rPr>
          <w:sz w:val="20"/>
          <w:szCs w:val="20"/>
          <w:color w:val="auto"/>
        </w:rPr>
      </w:pPr>
      <w:r>
        <w:rPr>
          <w:rFonts w:ascii="Arial" w:cs="Arial" w:eastAsia="Arial" w:hAnsi="Arial"/>
          <w:sz w:val="22"/>
          <w:szCs w:val="22"/>
          <w:b w:val="1"/>
          <w:bCs w:val="1"/>
          <w:color w:val="auto"/>
        </w:rPr>
        <w:t>(as amended and restated August 1, 2013)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ASSOCIATE DEFERRED STOCK AWARD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name of Participant]</w:t>
      </w:r>
    </w:p>
    <w:p>
      <w:pPr>
        <w:spacing w:after="0" w:line="20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Grant of Deferred Stock</w:t>
      </w:r>
      <w:r>
        <w:rPr>
          <w:sz w:val="20"/>
          <w:szCs w:val="20"/>
          <w:color w:val="auto"/>
        </w:rPr>
        <w:tab/>
      </w:r>
      <w:r>
        <w:rPr>
          <w:rFonts w:ascii="Arial" w:cs="Arial" w:eastAsia="Arial" w:hAnsi="Arial"/>
          <w:sz w:val="21"/>
          <w:szCs w:val="21"/>
          <w:color w:val="auto"/>
        </w:rPr>
        <w:t>DESTINATION XL GROUP, INC., a Delaware corporation (the “Company”), hereby grants, as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 (“Date of Grant”), to _______________ (the “Participant”) an award (the “Award”) of deferred stock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“Deferred Stock”) of ____ shares of the Company’s common stock, $.01 par value per share, subject to the terms and conditions as</w:t>
      </w: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set forth herein. This deferred stock award agreement (the “Agreement”) is issued pursuant to the Company’s 2006 Incentive Compensation Plan (as amended and restated August 1, 2013) (the “2006 Plan”), which is incorporated herein for all purposes. The Participant hereby acknowledges receipt of a copy of the 2006 Plan and agrees to be bound by all of the terms and conditions hereof and thereof and all applicable laws and regulations. Unless otherwise provided herein, terms used herein that are defined in the 2006 Plan and not defined herein shall have the meanings attributed thereto in the 2006 Plan.</w:t>
      </w:r>
    </w:p>
    <w:p>
      <w:pPr>
        <w:spacing w:after="0" w:line="153"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Deferred Stock</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i w:val="1"/>
          <w:iCs w:val="1"/>
          <w:color w:val="auto"/>
        </w:rPr>
        <w:t>General Vesting.</w:t>
      </w:r>
      <w:r>
        <w:rPr>
          <w:rFonts w:ascii="Arial" w:cs="Arial" w:eastAsia="Arial" w:hAnsi="Arial"/>
          <w:sz w:val="22"/>
          <w:szCs w:val="22"/>
          <w:color w:val="auto"/>
        </w:rPr>
        <w:t xml:space="preserve"> The shares of Deferred Stock shall become vested in the following amounts, at the following times and upon the following conditions, provided that the Continuous Service of the Participant continues through and on the applicable Vesting Date:</w:t>
      </w:r>
    </w:p>
    <w:p>
      <w:pPr>
        <w:spacing w:after="0" w:line="158" w:lineRule="exact"/>
        <w:rPr>
          <w:sz w:val="20"/>
          <w:szCs w:val="20"/>
          <w:color w:val="auto"/>
        </w:rPr>
      </w:pPr>
    </w:p>
    <w:tbl>
      <w:tblPr>
        <w:tblLayout w:type="fixed"/>
        <w:tblInd w:w="900" w:type="dxa"/>
        <w:tblCellMar>
          <w:top w:w="0" w:type="dxa"/>
          <w:left w:w="0" w:type="dxa"/>
          <w:bottom w:w="0" w:type="dxa"/>
          <w:right w:w="0" w:type="dxa"/>
        </w:tblCellMar>
      </w:tblPr>
      <w:tr>
        <w:trPr>
          <w:trHeight w:val="253"/>
        </w:trPr>
        <w:tc>
          <w:tcPr>
            <w:tcW w:w="3600" w:type="dxa"/>
            <w:vAlign w:val="bottom"/>
            <w:gridSpan w:val="3"/>
          </w:tcPr>
          <w:p>
            <w:pPr>
              <w:spacing w:after="0"/>
              <w:rPr>
                <w:sz w:val="20"/>
                <w:szCs w:val="20"/>
                <w:color w:val="auto"/>
              </w:rPr>
            </w:pPr>
            <w:r>
              <w:rPr>
                <w:rFonts w:ascii="Arial" w:cs="Arial" w:eastAsia="Arial" w:hAnsi="Arial"/>
                <w:sz w:val="22"/>
                <w:szCs w:val="22"/>
                <w:color w:val="auto"/>
              </w:rPr>
              <w:t>Number of Shares of Deferred Stock</w:t>
            </w:r>
          </w:p>
        </w:tc>
        <w:tc>
          <w:tcPr>
            <w:tcW w:w="1320" w:type="dxa"/>
            <w:vAlign w:val="bottom"/>
            <w:gridSpan w:val="2"/>
          </w:tcPr>
          <w:p>
            <w:pPr>
              <w:spacing w:after="0"/>
              <w:rPr>
                <w:sz w:val="20"/>
                <w:szCs w:val="20"/>
                <w:color w:val="auto"/>
              </w:rPr>
            </w:pPr>
            <w:r>
              <w:rPr>
                <w:rFonts w:ascii="Arial" w:cs="Arial" w:eastAsia="Arial" w:hAnsi="Arial"/>
                <w:sz w:val="22"/>
                <w:szCs w:val="22"/>
                <w:color w:val="auto"/>
              </w:rPr>
              <w:t>Vesting Date</w:t>
            </w:r>
          </w:p>
        </w:tc>
        <w:tc>
          <w:tcPr>
            <w:tcW w:w="280" w:type="dxa"/>
            <w:vAlign w:val="bottom"/>
          </w:tcPr>
          <w:p>
            <w:pPr>
              <w:spacing w:after="0"/>
              <w:rPr>
                <w:sz w:val="21"/>
                <w:szCs w:val="21"/>
                <w:color w:val="auto"/>
              </w:rPr>
            </w:pPr>
          </w:p>
        </w:tc>
      </w:tr>
      <w:tr>
        <w:trPr>
          <w:trHeight w:val="490"/>
        </w:trPr>
        <w:tc>
          <w:tcPr>
            <w:tcW w:w="800" w:type="dxa"/>
            <w:vAlign w:val="bottom"/>
            <w:tcBorders>
              <w:top w:val="single" w:sz="8" w:color="auto"/>
            </w:tcBorders>
          </w:tcPr>
          <w:p>
            <w:pPr>
              <w:spacing w:after="0"/>
              <w:rPr>
                <w:sz w:val="20"/>
                <w:szCs w:val="20"/>
                <w:color w:val="auto"/>
              </w:rPr>
            </w:pPr>
            <w:r>
              <w:rPr>
                <w:rFonts w:ascii="Arial" w:cs="Arial" w:eastAsia="Arial" w:hAnsi="Arial"/>
                <w:sz w:val="22"/>
                <w:szCs w:val="22"/>
                <w:b w:val="1"/>
                <w:bCs w:val="1"/>
                <w:i w:val="1"/>
                <w:iCs w:val="1"/>
                <w:color w:val="auto"/>
              </w:rPr>
              <w:t>[</w:t>
            </w:r>
          </w:p>
        </w:tc>
        <w:tc>
          <w:tcPr>
            <w:tcW w:w="2380" w:type="dxa"/>
            <w:vAlign w:val="bottom"/>
            <w:tcBorders>
              <w:top w:val="single" w:sz="8" w:color="auto"/>
            </w:tcBorders>
          </w:tcPr>
          <w:p>
            <w:pPr>
              <w:jc w:val="right"/>
              <w:ind w:right="1472"/>
              <w:spacing w:after="0"/>
              <w:rPr>
                <w:sz w:val="20"/>
                <w:szCs w:val="20"/>
                <w:color w:val="auto"/>
              </w:rPr>
            </w:pPr>
            <w:r>
              <w:rPr>
                <w:rFonts w:ascii="Arial" w:cs="Arial" w:eastAsia="Arial" w:hAnsi="Arial"/>
                <w:sz w:val="22"/>
                <w:szCs w:val="22"/>
                <w:b w:val="1"/>
                <w:bCs w:val="1"/>
                <w:i w:val="1"/>
                <w:iCs w:val="1"/>
                <w:color w:val="auto"/>
              </w:rPr>
              <w:t>]</w:t>
            </w:r>
          </w:p>
        </w:tc>
        <w:tc>
          <w:tcPr>
            <w:tcW w:w="420" w:type="dxa"/>
            <w:vAlign w:val="bottom"/>
          </w:tcPr>
          <w:p>
            <w:pPr>
              <w:spacing w:after="0"/>
              <w:rPr>
                <w:sz w:val="24"/>
                <w:szCs w:val="24"/>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22"/>
                <w:szCs w:val="22"/>
                <w:b w:val="1"/>
                <w:bCs w:val="1"/>
                <w:i w:val="1"/>
                <w:iCs w:val="1"/>
                <w:color w:val="auto"/>
              </w:rPr>
              <w:t>[</w:t>
            </w: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b w:val="1"/>
                <w:bCs w:val="1"/>
                <w:i w:val="1"/>
                <w:iCs w:val="1"/>
                <w:color w:val="auto"/>
              </w:rPr>
              <w:t>]</w:t>
            </w:r>
          </w:p>
        </w:tc>
      </w:tr>
    </w:tbl>
    <w:p>
      <w:pPr>
        <w:spacing w:after="0" w:line="185"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There shall be no proportionate or partial vesting of shares of Deferred Stock in or during the months, days or periods prior to the Vesting Date, and except as otherwise provided in Sections 2(b), 2(c), or 2(d) hereof, all vesting of shares of Deferred Stock shall occur only on the applicable Vesting Date.</w:t>
      </w:r>
    </w:p>
    <w:p>
      <w:pPr>
        <w:spacing w:after="0" w:line="18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i w:val="1"/>
          <w:iCs w:val="1"/>
          <w:color w:val="auto"/>
        </w:rPr>
        <w:t>Acceleration of Vesting Upon Termination</w:t>
      </w:r>
      <w:r>
        <w:rPr>
          <w:rFonts w:ascii="Arial" w:cs="Arial" w:eastAsia="Arial" w:hAnsi="Arial"/>
          <w:sz w:val="22"/>
          <w:szCs w:val="22"/>
          <w:color w:val="auto"/>
        </w:rPr>
        <w:t>. Notwithstanding any other term or provision of this Agreement, in the event that the Participant’s Continuous Service is terminated either by the Company without Cause or by the Participant for Good Reason, the shares of Deferred Stock subject to this Agreement shall become immediately vested as of the date of the termination of the Participant’s Continuous Service.</w:t>
      </w:r>
    </w:p>
    <w:p>
      <w:pPr>
        <w:spacing w:after="0" w:line="185"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b w:val="1"/>
          <w:bCs w:val="1"/>
          <w:i w:val="1"/>
          <w:iCs w:val="1"/>
          <w:color w:val="auto"/>
        </w:rPr>
        <w:t>Acceleration of Vesting Upon Death or Disability.</w:t>
      </w:r>
      <w:r>
        <w:rPr>
          <w:rFonts w:ascii="Arial" w:cs="Arial" w:eastAsia="Arial" w:hAnsi="Arial"/>
          <w:sz w:val="21"/>
          <w:szCs w:val="21"/>
          <w:color w:val="auto"/>
        </w:rPr>
        <w:t xml:space="preserve"> In the event that the Participant’s Continuous Service terminates by reason of the Participant’s Disability or death, all of the shares of Deferred Stock subject to this Agreement shall be immediately vested as of the date of such Disability or death, whichever is applicable, and shall be delivered, subject to any requirements under this Agreement, to the Participant, in the event of his or her Disability, or in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Unknown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both"/>
        <w:spacing w:after="0"/>
        <w:rPr>
          <w:sz w:val="20"/>
          <w:szCs w:val="20"/>
          <w:color w:val="auto"/>
        </w:rPr>
      </w:pPr>
      <w:r>
        <w:rPr>
          <w:rFonts w:ascii="Arial" w:cs="Arial" w:eastAsia="Arial" w:hAnsi="Arial"/>
          <w:sz w:val="22"/>
          <w:szCs w:val="22"/>
          <w:color w:val="auto"/>
        </w:rPr>
        <w:t>the event of the Participant’s death, to the beneficiary or beneficiaries designated by the Participant, or if the Participant has not so designated any beneficiary(ies), or no designated beneficiary survives the Participant, to the personal representative of the Participant’s estate.</w:t>
      </w:r>
    </w:p>
    <w:p>
      <w:pPr>
        <w:spacing w:after="0" w:line="186"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i w:val="1"/>
          <w:iCs w:val="1"/>
          <w:color w:val="auto"/>
        </w:rPr>
        <w:t>Acceleration of Vesting at Company Discretion</w:t>
      </w:r>
      <w:r>
        <w:rPr>
          <w:rFonts w:ascii="Arial" w:cs="Arial" w:eastAsia="Arial" w:hAnsi="Arial"/>
          <w:sz w:val="19"/>
          <w:szCs w:val="19"/>
          <w:color w:val="auto"/>
        </w:rPr>
        <w:t>. Notwithstanding any other term or provision of this Agreement, the Board or the Committee shall be authorized, in its sole discretion, based upon its review and evaluation of the performance of the Participant and of the Company, to accelerate the vesting of any shares of Deferred Stock subject to this Agreement, at such times and upon such terms and conditions as the Board or the Committee shall deem advisable.</w:t>
      </w:r>
    </w:p>
    <w:p>
      <w:pPr>
        <w:sectPr>
          <w:pgSz w:w="11900" w:h="16838" w:orient="portrait"/>
          <w:cols w:equalWidth="0" w:num="1">
            <w:col w:w="11420"/>
          </w:cols>
          <w:pgMar w:left="240" w:top="550" w:right="239" w:bottom="1440" w:gutter="0" w:footer="0" w:header="0"/>
        </w:sectPr>
      </w:pPr>
    </w:p>
    <w:p>
      <w:pPr>
        <w:spacing w:after="0" w:line="14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Agreement, the following terms shall have the meanings indicated:</w:t>
      </w:r>
    </w:p>
    <w:p>
      <w:pPr>
        <w:spacing w:after="0" w:line="200" w:lineRule="exact"/>
        <w:rPr>
          <w:sz w:val="20"/>
          <w:szCs w:val="20"/>
          <w:color w:val="auto"/>
        </w:rPr>
      </w:pPr>
    </w:p>
    <w:p>
      <w:pPr>
        <w:sectPr>
          <w:pgSz w:w="11900" w:h="16838" w:orient="portrait"/>
          <w:cols w:equalWidth="0" w:num="3">
            <w:col w:w="1700" w:space="720"/>
            <w:col w:w="1060" w:space="100"/>
            <w:col w:w="7840"/>
          </w:cols>
          <w:pgMar w:left="240" w:top="550" w:right="239" w:bottom="1440" w:gutter="0" w:footer="0" w:header="0"/>
          <w:type w:val="continuous"/>
        </w:sectPr>
      </w:pPr>
    </w:p>
    <w:p>
      <w:pPr>
        <w:spacing w:after="0" w:line="41"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(i) “</w:t>
      </w:r>
      <w:r>
        <w:rPr>
          <w:rFonts w:ascii="Arial" w:cs="Arial" w:eastAsia="Arial" w:hAnsi="Arial"/>
          <w:sz w:val="22"/>
          <w:szCs w:val="22"/>
          <w:b w:val="1"/>
          <w:bCs w:val="1"/>
          <w:i w:val="1"/>
          <w:iCs w:val="1"/>
          <w:color w:val="auto"/>
        </w:rPr>
        <w:t>Delivery Date”</w:t>
      </w:r>
      <w:r>
        <w:rPr>
          <w:rFonts w:ascii="Arial" w:cs="Arial" w:eastAsia="Arial" w:hAnsi="Arial"/>
          <w:sz w:val="22"/>
          <w:szCs w:val="22"/>
          <w:color w:val="auto"/>
        </w:rPr>
        <w:t xml:space="preserve"> means any date occurring as promptly as practical (but in no event more than 30 days) following the date on which the Deferred Stock becomes Vested Deferred Stock pursuant to Section 2.</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(ii) “</w:t>
      </w:r>
      <w:r>
        <w:rPr>
          <w:rFonts w:ascii="Arial" w:cs="Arial" w:eastAsia="Arial" w:hAnsi="Arial"/>
          <w:sz w:val="22"/>
          <w:szCs w:val="22"/>
          <w:b w:val="1"/>
          <w:bCs w:val="1"/>
          <w:i w:val="1"/>
          <w:iCs w:val="1"/>
          <w:color w:val="auto"/>
        </w:rPr>
        <w:t>Non-Vested Deferred Stock</w:t>
      </w:r>
      <w:r>
        <w:rPr>
          <w:rFonts w:ascii="Arial" w:cs="Arial" w:eastAsia="Arial" w:hAnsi="Arial"/>
          <w:sz w:val="22"/>
          <w:szCs w:val="22"/>
          <w:color w:val="auto"/>
        </w:rPr>
        <w:t>” means any portion of the Deferred Stock subject to this Agreement that has not become vested pursuant to this Section 2.</w:t>
      </w:r>
    </w:p>
    <w:p>
      <w:pPr>
        <w:spacing w:after="0" w:line="173" w:lineRule="exact"/>
        <w:rPr>
          <w:sz w:val="20"/>
          <w:szCs w:val="20"/>
          <w:color w:val="auto"/>
        </w:rPr>
      </w:pPr>
    </w:p>
    <w:p>
      <w:pPr>
        <w:ind w:left="1760"/>
        <w:spacing w:after="0"/>
        <w:tabs>
          <w:tab w:leader="none" w:pos="402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Vested Deferred Stock</w:t>
      </w:r>
      <w:r>
        <w:rPr>
          <w:rFonts w:ascii="Arial" w:cs="Arial" w:eastAsia="Arial" w:hAnsi="Arial"/>
          <w:sz w:val="19"/>
          <w:szCs w:val="19"/>
          <w:color w:val="auto"/>
        </w:rPr>
        <w:t>” means any portion of the Deferred Stock subject to this</w:t>
      </w:r>
    </w:p>
    <w:p>
      <w:pPr>
        <w:sectPr>
          <w:pgSz w:w="11900" w:h="16838" w:orient="portrait"/>
          <w:cols w:equalWidth="0" w:num="1">
            <w:col w:w="11420"/>
          </w:cols>
          <w:pgMar w:left="240" w:top="550"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Agreement that is and has become vested pursuant to this Section 2.</w:t>
      </w:r>
    </w:p>
    <w:p>
      <w:pPr>
        <w:spacing w:after="0" w:line="185" w:lineRule="exact"/>
        <w:rPr>
          <w:sz w:val="20"/>
          <w:szCs w:val="20"/>
          <w:color w:val="auto"/>
        </w:rPr>
      </w:pPr>
    </w:p>
    <w:p>
      <w:pPr>
        <w:jc w:val="both"/>
        <w:ind w:firstLine="8"/>
        <w:spacing w:after="0" w:line="282" w:lineRule="auto"/>
        <w:tabs>
          <w:tab w:leader="none" w:pos="810" w:val="left"/>
        </w:tabs>
        <w:numPr>
          <w:ilvl w:val="0"/>
          <w:numId w:val="1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Forfeiture of Non-Vested Shares. </w:t>
      </w:r>
      <w:r>
        <w:rPr>
          <w:rFonts w:ascii="Arial" w:cs="Arial" w:eastAsia="Arial" w:hAnsi="Arial"/>
          <w:sz w:val="19"/>
          <w:szCs w:val="19"/>
          <w:color w:val="auto"/>
        </w:rPr>
        <w:t>If the Participant’s Continuous Service is terminated for any reason, any Deferred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that is not Vested Deferred Stock, and that does not become Vested Deferred Stock pursuant to Section 2 hereof as a result of such termination,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Deferred Stock pursuant to this Section 3.</w:t>
      </w:r>
    </w:p>
    <w:p>
      <w:pPr>
        <w:spacing w:after="0" w:line="147" w:lineRule="exact"/>
        <w:rPr>
          <w:rFonts w:ascii="Arial" w:cs="Arial" w:eastAsia="Arial" w:hAnsi="Arial"/>
          <w:sz w:val="19"/>
          <w:szCs w:val="19"/>
          <w:color w:val="auto"/>
        </w:rPr>
      </w:pPr>
    </w:p>
    <w:p>
      <w:pPr>
        <w:ind w:firstLine="8"/>
        <w:spacing w:after="0" w:line="251" w:lineRule="auto"/>
        <w:tabs>
          <w:tab w:leader="none" w:pos="810" w:val="left"/>
        </w:tabs>
        <w:numPr>
          <w:ilvl w:val="0"/>
          <w:numId w:val="1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Settlement of the Deferred Stock. </w:t>
      </w:r>
      <w:r>
        <w:rPr>
          <w:rFonts w:ascii="Arial" w:cs="Arial" w:eastAsia="Arial" w:hAnsi="Arial"/>
          <w:sz w:val="22"/>
          <w:szCs w:val="22"/>
          <w:color w:val="auto"/>
        </w:rPr>
        <w:t>The Company shall deliver to the Participant on the Delivery Date certificates (or other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indicia of ownership) representing Shares corresponding to the Vested Deferred Stock.</w:t>
      </w:r>
    </w:p>
    <w:p>
      <w:pPr>
        <w:spacing w:after="0" w:line="173" w:lineRule="exact"/>
        <w:rPr>
          <w:rFonts w:ascii="Arial" w:cs="Arial" w:eastAsia="Arial" w:hAnsi="Arial"/>
          <w:sz w:val="22"/>
          <w:szCs w:val="22"/>
          <w:color w:val="auto"/>
        </w:rPr>
      </w:pPr>
    </w:p>
    <w:p>
      <w:pPr>
        <w:ind w:left="820" w:hanging="812"/>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22"/>
          <w:szCs w:val="22"/>
          <w:b w:val="1"/>
          <w:bCs w:val="1"/>
          <w:i w:val="1"/>
          <w:iCs w:val="1"/>
          <w:color w:val="auto"/>
        </w:rPr>
        <w:t>Rights with Respect to Deferred Stock.</w:t>
      </w:r>
    </w:p>
    <w:p>
      <w:pPr>
        <w:spacing w:after="0" w:line="20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i w:val="1"/>
          <w:iCs w:val="1"/>
          <w:color w:val="auto"/>
        </w:rPr>
        <w:t>No Rights as Shareholder Until Delivery.</w:t>
      </w:r>
      <w:r>
        <w:rPr>
          <w:rFonts w:ascii="Arial" w:cs="Arial" w:eastAsia="Arial" w:hAnsi="Arial"/>
          <w:sz w:val="22"/>
          <w:szCs w:val="22"/>
          <w:color w:val="auto"/>
        </w:rPr>
        <w:t xml:space="preserve"> Except as otherwise provided in this Section 5, the Participant shall not have any rights, benefits or entitlements with respect to the Shares corresponding to the Deferred Stock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32" w:name="page33"/>
    <w:bookmarkEnd w:id="32"/>
    <w:p>
      <w:pPr>
        <w:ind w:left="880"/>
        <w:spacing w:after="0"/>
        <w:rPr>
          <w:sz w:val="20"/>
          <w:szCs w:val="20"/>
          <w:color w:val="auto"/>
        </w:rPr>
      </w:pPr>
      <w:r>
        <w:rPr>
          <w:rFonts w:ascii="Arial" w:cs="Arial" w:eastAsia="Arial" w:hAnsi="Arial"/>
          <w:sz w:val="21"/>
          <w:szCs w:val="2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Adjustments to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This Award shall be subject to the adjustments provided for in Section 10 of</w:t>
      </w:r>
    </w:p>
    <w:p>
      <w:pPr>
        <w:spacing w:after="0" w:line="45" w:lineRule="exact"/>
        <w:rPr>
          <w:sz w:val="20"/>
          <w:szCs w:val="20"/>
          <w:color w:val="auto"/>
        </w:rPr>
      </w:pPr>
    </w:p>
    <w:p>
      <w:pPr>
        <w:sectPr>
          <w:pgSz w:w="11900" w:h="16838" w:orient="portrait"/>
          <w:cols w:equalWidth="0" w:num="3">
            <w:col w:w="1720" w:space="720"/>
            <w:col w:w="2060" w:space="140"/>
            <w:col w:w="6780"/>
          </w:cols>
          <w:pgMar w:left="240" w:top="550" w:right="239" w:bottom="1440" w:gutter="0" w:footer="0" w:header="0"/>
        </w:sectPr>
      </w:pPr>
    </w:p>
    <w:p>
      <w:pPr>
        <w:spacing w:after="0"/>
        <w:rPr>
          <w:sz w:val="20"/>
          <w:szCs w:val="20"/>
          <w:color w:val="auto"/>
        </w:rPr>
      </w:pPr>
      <w:r>
        <w:rPr>
          <w:rFonts w:ascii="Arial" w:cs="Arial" w:eastAsia="Arial" w:hAnsi="Arial"/>
          <w:sz w:val="22"/>
          <w:szCs w:val="22"/>
          <w:color w:val="auto"/>
        </w:rPr>
        <w:t>the 2006 Plan.</w:t>
      </w:r>
    </w:p>
    <w:p>
      <w:pPr>
        <w:spacing w:after="0" w:line="18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b w:val="1"/>
          <w:bCs w:val="1"/>
          <w:i w:val="1"/>
          <w:iCs w:val="1"/>
          <w:color w:val="auto"/>
        </w:rPr>
        <w:t xml:space="preserve">No Restriction on Certain Transactions. </w:t>
      </w:r>
      <w:r>
        <w:rPr>
          <w:rFonts w:ascii="Arial" w:cs="Arial" w:eastAsia="Arial" w:hAnsi="Arial"/>
          <w:sz w:val="19"/>
          <w:szCs w:val="19"/>
          <w:color w:val="auto"/>
        </w:rPr>
        <w:t>Notwithstanding any term or provision of this Agreement to</w:t>
      </w:r>
    </w:p>
    <w:p>
      <w:pPr>
        <w:sectPr>
          <w:pgSz w:w="11900" w:h="16838" w:orient="portrait"/>
          <w:cols w:equalWidth="0" w:num="1">
            <w:col w:w="11420"/>
          </w:cols>
          <w:pgMar w:left="240" w:top="550" w:right="239" w:bottom="1440" w:gutter="0" w:footer="0" w:header="0"/>
          <w:type w:val="continuous"/>
        </w:sectPr>
      </w:pP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contrary, the existence of this Agreement, or of any outstanding Deferred Stock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Deferred Stock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91"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During the term of this Agreement and provided that the Participant’s Continuous Service has not terminated prior to the dividend record date, the Participant shall have the right to receive distributions (the “Dividend Equivalents”) from the Company equal to any dividends or other distributions that would have been distributed to the Participant if each of the shares of Deferred Stock instead was an issued and outstanding Share owned by the Participant. The number of shares of Deferred Stock awarded for a cash dividend or non-cash dividend other than a stock dividend shall be determined by (i) multiplying the number of shares of Deferred Stock held by the Participant pursuant to this Agreement as of the dividend record date by the amount of the dividend per Share and (ii) dividing the product so determined by the Fair Market Value of a Share on the dividend payment date. The number of shares of Deferred Stock awarded for a stock dividend shall be determined by multiplying the number of shares of Deferred Stock held by the Participant pursuant to this Agreement as of the dividend record date by the number of additional Shares actually paid as a dividend per Share. Any additional shares of Deferred Stock awarded pursuant to this Section 5(d) shall be awarded effective the date the dividend was paid, and shall have the same status, and shall be subject to the same terms and conditions (including without limitation the vesting and forfeiture provisions), under this Agreement as the shares of Deferred Stock to which they relate, and shall be distributed, reduced by any applicable withholding taxes, on the same Delivery Date as the Deferred Stock to which they relate (or if later, as of the applicable dividend payment date). Each Dividend Equivalent shall be treated as a separate payment for purposes of Section 409A of the Code.</w:t>
      </w:r>
    </w:p>
    <w:p>
      <w:pPr>
        <w:spacing w:after="0" w:line="162" w:lineRule="exact"/>
        <w:rPr>
          <w:sz w:val="20"/>
          <w:szCs w:val="20"/>
          <w:color w:val="auto"/>
        </w:rPr>
      </w:pPr>
    </w:p>
    <w:p>
      <w:pPr>
        <w:jc w:val="both"/>
        <w:ind w:firstLine="8"/>
        <w:spacing w:after="0" w:line="297" w:lineRule="auto"/>
        <w:tabs>
          <w:tab w:leader="none" w:pos="81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Transferability. </w:t>
      </w:r>
      <w:r>
        <w:rPr>
          <w:rFonts w:ascii="Arial" w:cs="Arial" w:eastAsia="Arial" w:hAnsi="Arial"/>
          <w:sz w:val="19"/>
          <w:szCs w:val="19"/>
          <w:color w:val="auto"/>
        </w:rPr>
        <w:t>The Deferred Stock is not transferable unless and until the Shares have been delivered to the Participant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settlement of the Deferred Stock in accordance with this Agreement, otherwise than by will or under the applicable laws of descent and distribution, except that the Deferred Stock may be transferred to one or more Beneficiaries or other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33" w:name="page34"/>
    <w:bookmarkEnd w:id="33"/>
    <w:p>
      <w:pPr>
        <w:jc w:val="both"/>
        <w:spacing w:after="0" w:line="272" w:lineRule="auto"/>
        <w:rPr>
          <w:sz w:val="20"/>
          <w:szCs w:val="20"/>
          <w:color w:val="auto"/>
        </w:rPr>
      </w:pPr>
      <w:r>
        <w:rPr>
          <w:rFonts w:ascii="Arial" w:cs="Arial" w:eastAsia="Arial" w:hAnsi="Arial"/>
          <w:sz w:val="19"/>
          <w:szCs w:val="19"/>
          <w:color w:val="auto"/>
        </w:rPr>
        <w:t>transferees during the lifetime of the Participant, but only if and to the extent such transfers are permitted by the Committee (subject to any terms and conditions which the Committee may impose thereon), are by gift or pursuant to a domestic relations order, and are otherwise not inconsistent with the rules as to the use of Form S-8 Registration Statement under the Securities Act of 1933, as amended (or any successor or, at the sole discretion of the Committee, other registration statement pursuant to which Awards, Shares, rights or interests under the 2006 Plan are then registered under such Act), if applicable. A Beneficiary, transferee, executor, administrator, heir, successor and assign of the Participant or any other person claiming any rights with respect to the Deferred Stock shall be subject to all terms and conditions of the 2006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Deferred Stock prior to the date on which the Shares have been delivered to the Participant in settlement of the Deferred Stock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57"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Tax Matters.</w:t>
      </w:r>
    </w:p>
    <w:p>
      <w:pPr>
        <w:spacing w:after="0" w:line="20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i w:val="1"/>
          <w:iCs w:val="1"/>
          <w:color w:val="auto"/>
        </w:rPr>
        <w:t>Withholding.</w:t>
      </w:r>
      <w:r>
        <w:rPr>
          <w:rFonts w:ascii="Arial" w:cs="Arial" w:eastAsia="Arial" w:hAnsi="Arial"/>
          <w:sz w:val="19"/>
          <w:szCs w:val="19"/>
          <w:color w:val="auto"/>
        </w:rPr>
        <w:t xml:space="preserve"> As a condition to the Company’s obligations with respect to the Deferred Stock (including, without limitation, any obligation to deliver any Shares) hereunder, the Participant shall make arrangements satisfactory to the Company to pay to the Company any federal, state, local or foreign taxes of any kind required to be withheld with respect to the delivery of Shares corresponding to such Deferred Stock.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15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i w:val="1"/>
          <w:iCs w:val="1"/>
          <w:color w:val="auto"/>
        </w:rPr>
        <w:t>Satisfaction of Withholding Requirements.</w:t>
      </w:r>
      <w:r>
        <w:rPr>
          <w:rFonts w:ascii="Arial" w:cs="Arial" w:eastAsia="Arial" w:hAnsi="Arial"/>
          <w:sz w:val="22"/>
          <w:szCs w:val="22"/>
          <w:color w:val="auto"/>
        </w:rPr>
        <w:t xml:space="preserve"> The Participant may satisfy the withholding requirements with respect to the Deferred Stock pursuant to any one or combination of the following methods:</w:t>
      </w:r>
    </w:p>
    <w:p>
      <w:pPr>
        <w:sectPr>
          <w:pgSz w:w="11900" w:h="16838" w:orient="portrait"/>
          <w:cols w:equalWidth="0" w:num="1">
            <w:col w:w="11420"/>
          </w:cols>
          <w:pgMar w:left="240" w:top="550" w:right="239" w:bottom="1440" w:gutter="0" w:footer="0" w:header="0"/>
        </w:sectPr>
      </w:pPr>
    </w:p>
    <w:p>
      <w:pPr>
        <w:spacing w:after="0" w:line="173" w:lineRule="exact"/>
        <w:rPr>
          <w:sz w:val="20"/>
          <w:szCs w:val="20"/>
          <w:color w:val="auto"/>
        </w:rPr>
      </w:pPr>
    </w:p>
    <w:p>
      <w:pPr>
        <w:jc w:val="center"/>
        <w:ind w:left="5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payment in cash; or</w:t>
      </w:r>
    </w:p>
    <w:p>
      <w:pPr>
        <w:spacing w:after="0" w:line="234" w:lineRule="exact"/>
        <w:rPr>
          <w:sz w:val="20"/>
          <w:szCs w:val="20"/>
          <w:color w:val="auto"/>
        </w:rPr>
      </w:pPr>
    </w:p>
    <w:p>
      <w:pPr>
        <w:sectPr>
          <w:pgSz w:w="11900" w:h="16838" w:orient="portrait"/>
          <w:cols w:equalWidth="0" w:num="2">
            <w:col w:w="3200" w:space="720"/>
            <w:col w:w="7500"/>
          </w:cols>
          <w:pgMar w:left="240" w:top="550" w:right="239" w:bottom="1440" w:gutter="0" w:footer="0" w:header="0"/>
          <w:type w:val="continuous"/>
        </w:sectPr>
      </w:pPr>
    </w:p>
    <w:p>
      <w:pPr>
        <w:spacing w:after="0" w:line="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(ii)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Participant pursuant to this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payment by the withholding of Shares that otherwise would be deliverable to the</w:t>
      </w:r>
    </w:p>
    <w:p>
      <w:pPr>
        <w:spacing w:after="0" w:line="438" w:lineRule="exact"/>
        <w:rPr>
          <w:sz w:val="20"/>
          <w:szCs w:val="20"/>
          <w:color w:val="auto"/>
        </w:rPr>
      </w:pPr>
    </w:p>
    <w:p>
      <w:pPr>
        <w:sectPr>
          <w:pgSz w:w="11900" w:h="16838" w:orient="portrait"/>
          <w:cols w:equalWidth="0" w:num="2">
            <w:col w:w="3400" w:space="580"/>
            <w:col w:w="7440"/>
          </w:cols>
          <w:pgMar w:left="240" w:top="550" w:right="239" w:bottom="1440" w:gutter="0" w:footer="0" w:header="0"/>
          <w:type w:val="continuous"/>
        </w:sectPr>
      </w:pPr>
    </w:p>
    <w:p>
      <w:pPr>
        <w:spacing w:after="0" w:line="23" w:lineRule="exact"/>
        <w:rPr>
          <w:sz w:val="20"/>
          <w:szCs w:val="20"/>
          <w:color w:val="auto"/>
        </w:rPr>
      </w:pPr>
    </w:p>
    <w:p>
      <w:pPr>
        <w:ind w:left="880"/>
        <w:spacing w:after="0"/>
        <w:tabs>
          <w:tab w:leader="none" w:pos="2400" w:val="left"/>
          <w:tab w:leader="none" w:pos="7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b w:val="1"/>
          <w:bCs w:val="1"/>
          <w:i w:val="1"/>
          <w:iCs w:val="1"/>
          <w:color w:val="auto"/>
        </w:rPr>
        <w:t>Participant’s Responsibilities for Tax Consequences.</w:t>
      </w:r>
      <w:r>
        <w:rPr>
          <w:sz w:val="20"/>
          <w:szCs w:val="20"/>
          <w:color w:val="auto"/>
        </w:rPr>
        <w:tab/>
      </w:r>
      <w:r>
        <w:rPr>
          <w:rFonts w:ascii="Arial" w:cs="Arial" w:eastAsia="Arial" w:hAnsi="Arial"/>
          <w:sz w:val="21"/>
          <w:szCs w:val="21"/>
          <w:color w:val="auto"/>
        </w:rPr>
        <w:t>The tax consequences to the Participant</w:t>
      </w:r>
    </w:p>
    <w:p>
      <w:pPr>
        <w:sectPr>
          <w:pgSz w:w="11900" w:h="16838" w:orient="portrait"/>
          <w:cols w:equalWidth="0" w:num="1">
            <w:col w:w="11420"/>
          </w:cols>
          <w:pgMar w:left="240" w:top="550" w:right="239" w:bottom="1440" w:gutter="0" w:footer="0" w:header="0"/>
          <w:type w:val="continuous"/>
        </w:sectPr>
      </w:pPr>
    </w:p>
    <w:p>
      <w:pPr>
        <w:spacing w:after="0" w:line="2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(including without limitation federal, state, local and foreign income tax consequences) with respect to the Deferred Stock (including without limitation the grant, vesting and/or delivery thereof) are the sole responsibility of the Participant. The Participant shall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34" w:name="page35"/>
    <w:bookmarkEnd w:id="34"/>
    <w:p>
      <w:pPr>
        <w:spacing w:after="0" w:line="251" w:lineRule="auto"/>
        <w:rPr>
          <w:sz w:val="20"/>
          <w:szCs w:val="20"/>
          <w:color w:val="auto"/>
        </w:rPr>
      </w:pPr>
      <w:r>
        <w:rPr>
          <w:rFonts w:ascii="Arial" w:cs="Arial" w:eastAsia="Arial" w:hAnsi="Arial"/>
          <w:sz w:val="22"/>
          <w:szCs w:val="22"/>
          <w:color w:val="auto"/>
        </w:rPr>
        <w:t>consult with his or her own personal accountant(s) and/or tax advisor(s) regarding these matters and the Participant’s filing, withholding and payment (or tax liability) obligations.</w:t>
      </w:r>
    </w:p>
    <w:p>
      <w:pPr>
        <w:spacing w:after="0" w:line="173" w:lineRule="exact"/>
        <w:rPr>
          <w:sz w:val="20"/>
          <w:szCs w:val="20"/>
          <w:color w:val="auto"/>
        </w:rPr>
      </w:pPr>
    </w:p>
    <w:p>
      <w:pPr>
        <w:jc w:val="both"/>
        <w:ind w:firstLine="8"/>
        <w:spacing w:after="0" w:line="277" w:lineRule="auto"/>
        <w:tabs>
          <w:tab w:leader="none" w:pos="81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Amendment, Modification &amp; Assignment. </w:t>
      </w:r>
      <w:r>
        <w:rPr>
          <w:rFonts w:ascii="Arial" w:cs="Arial" w:eastAsia="Arial" w:hAnsi="Arial"/>
          <w:sz w:val="19"/>
          <w:szCs w:val="19"/>
          <w:color w:val="auto"/>
        </w:rPr>
        <w:t>This Agreement may only be modified or amended in a writing signed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52" w:lineRule="exact"/>
        <w:rPr>
          <w:rFonts w:ascii="Arial" w:cs="Arial" w:eastAsia="Arial" w:hAnsi="Arial"/>
          <w:sz w:val="19"/>
          <w:szCs w:val="19"/>
          <w:color w:val="auto"/>
        </w:rPr>
      </w:pPr>
    </w:p>
    <w:p>
      <w:pPr>
        <w:jc w:val="both"/>
        <w:ind w:firstLine="8"/>
        <w:spacing w:after="0" w:line="236" w:lineRule="auto"/>
        <w:tabs>
          <w:tab w:leader="none" w:pos="810" w:val="left"/>
        </w:tabs>
        <w:numPr>
          <w:ilvl w:val="0"/>
          <w:numId w:val="1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Complete Agreement. </w:t>
      </w:r>
      <w:r>
        <w:rPr>
          <w:rFonts w:ascii="Arial" w:cs="Arial" w:eastAsia="Arial" w:hAnsi="Arial"/>
          <w:sz w:val="22"/>
          <w:szCs w:val="22"/>
          <w:color w:val="auto"/>
        </w:rPr>
        <w:t>This Agreement (together with the 2006 Plan and those other agreements and documents expressly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87" w:lineRule="exact"/>
        <w:rPr>
          <w:rFonts w:ascii="Arial" w:cs="Arial" w:eastAsia="Arial" w:hAnsi="Arial"/>
          <w:sz w:val="22"/>
          <w:szCs w:val="22"/>
          <w:color w:val="auto"/>
        </w:rPr>
      </w:pPr>
    </w:p>
    <w:p>
      <w:pPr>
        <w:ind w:left="920" w:hanging="912"/>
        <w:spacing w:after="0"/>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b w:val="1"/>
          <w:bCs w:val="1"/>
          <w:i w:val="1"/>
          <w:iCs w:val="1"/>
          <w:color w:val="auto"/>
        </w:rPr>
        <w:t>Miscellaneous</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i w:val="1"/>
          <w:iCs w:val="1"/>
          <w:color w:val="auto"/>
        </w:rPr>
        <w:t>No Right to (Continued) Employment or Service</w:t>
      </w:r>
      <w:r>
        <w:rPr>
          <w:rFonts w:ascii="Arial" w:cs="Arial" w:eastAsia="Arial" w:hAnsi="Arial"/>
          <w:sz w:val="22"/>
          <w:szCs w:val="22"/>
          <w:color w:val="auto"/>
        </w:rPr>
        <w:t>. This Agreement and the grant of Deferred Stock hereunder shall not confer, or be construed to confer, upon the Participant any right to employment or service, or continued employment or service, with the Company or any Related Entity.</w:t>
      </w:r>
    </w:p>
    <w:p>
      <w:pPr>
        <w:spacing w:after="0" w:line="18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i w:val="1"/>
          <w:iCs w:val="1"/>
          <w:color w:val="auto"/>
        </w:rPr>
        <w:t>No Limit on Other Compensation Arrangements</w:t>
      </w:r>
      <w:r>
        <w:rPr>
          <w:rFonts w:ascii="Arial" w:cs="Arial" w:eastAsia="Arial" w:hAnsi="Arial"/>
          <w:sz w:val="22"/>
          <w:szCs w:val="22"/>
          <w:color w:val="auto"/>
        </w:rPr>
        <w:t>. Nothing contained in this Agreement shall preclude the 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85"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i w:val="1"/>
          <w:iCs w:val="1"/>
          <w:color w:val="auto"/>
        </w:rPr>
        <w:t>Severability.</w:t>
      </w:r>
      <w:r>
        <w:rPr>
          <w:rFonts w:ascii="Arial" w:cs="Arial" w:eastAsia="Arial" w:hAnsi="Arial"/>
          <w:sz w:val="19"/>
          <w:szCs w:val="19"/>
          <w:color w:val="auto"/>
        </w:rPr>
        <w:t xml:space="preserve"> If any term or provision of this Agreement is or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Deferred Stock hereunder, such provision shall be stricken as to such jurisdiction and the remainder of this Agreement and the award hereunder shall remain in full force and effect).</w:t>
      </w:r>
    </w:p>
    <w:p>
      <w:pPr>
        <w:spacing w:after="0" w:line="148"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i w:val="1"/>
          <w:iCs w:val="1"/>
          <w:color w:val="auto"/>
        </w:rPr>
        <w:t>No Trust or Fund Created.</w:t>
      </w:r>
      <w:r>
        <w:rPr>
          <w:rFonts w:ascii="Arial" w:cs="Arial" w:eastAsia="Arial" w:hAnsi="Arial"/>
          <w:sz w:val="19"/>
          <w:szCs w:val="19"/>
          <w:color w:val="auto"/>
        </w:rPr>
        <w:t xml:space="preserve"> Neither this Agreement nor the grant of Deferred Stock hereunder shall create or be construed to create a trust or separate fund of any kind or a fiduciary relationship between the Company or any Related Entity and the Participant or any other person. To the extent that the Participant or any other person acquires a right to receive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 w:name="page36"/>
    <w:bookmarkEnd w:id="35"/>
    <w:p>
      <w:pPr>
        <w:jc w:val="both"/>
        <w:spacing w:after="0" w:line="251" w:lineRule="auto"/>
        <w:rPr>
          <w:sz w:val="20"/>
          <w:szCs w:val="20"/>
          <w:color w:val="auto"/>
        </w:rPr>
      </w:pPr>
      <w:r>
        <w:rPr>
          <w:rFonts w:ascii="Arial" w:cs="Arial" w:eastAsia="Arial" w:hAnsi="Arial"/>
          <w:sz w:val="22"/>
          <w:szCs w:val="22"/>
          <w:color w:val="auto"/>
        </w:rPr>
        <w:t>payments from the Company or any Related Entity pursuant to this Agreement, such right shall be no greater than the right of any unsecured general creditor of the Company.</w:t>
      </w:r>
    </w:p>
    <w:p>
      <w:pPr>
        <w:spacing w:after="0" w:line="17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b w:val="1"/>
          <w:bCs w:val="1"/>
          <w:i w:val="1"/>
          <w:iCs w:val="1"/>
          <w:color w:val="auto"/>
        </w:rPr>
        <w:t>Law Governing.</w:t>
      </w:r>
      <w:r>
        <w:rPr>
          <w:rFonts w:ascii="Arial" w:cs="Arial" w:eastAsia="Arial" w:hAnsi="Arial"/>
          <w:sz w:val="22"/>
          <w:szCs w:val="22"/>
          <w:color w:val="auto"/>
        </w:rPr>
        <w:t xml:space="preserve"> This Agreement shall be governed by and construed and enforced in accordance with the internal laws of the State of Delaware (without reference to the conflict of laws rules or principles thereof).</w:t>
      </w:r>
    </w:p>
    <w:p>
      <w:pPr>
        <w:spacing w:after="0" w:line="173"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b w:val="1"/>
          <w:bCs w:val="1"/>
          <w:i w:val="1"/>
          <w:iCs w:val="1"/>
          <w:color w:val="auto"/>
        </w:rPr>
        <w:t xml:space="preserve">Interpretation/Provisions of Plan Control. </w:t>
      </w:r>
      <w:r>
        <w:rPr>
          <w:rFonts w:ascii="Arial" w:cs="Arial" w:eastAsia="Arial" w:hAnsi="Arial"/>
          <w:sz w:val="19"/>
          <w:szCs w:val="19"/>
          <w:color w:val="auto"/>
        </w:rPr>
        <w:t>This Agreement is subject to all the terms, conditions and</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provisions of the 2006 Plan, including, without limitation, the amendment provisions thereof, and to such rules, regulations and interpretations relating to the 2006 Plan adopted by the Committee as may be in effect from time to time. If and to the extent that this Agreement conflicts or is inconsistent with the terms, conditions and provisions of the 2006 Plan, the 2006 Plan shall control, and this Agreement shall be deemed to be modified accordingly. The Participant accepts this Agreement subject to all of the terms and provisions of the 2006 Plan and this Agreement. The undersigned Participant hereby accepts as binding, conclusive and final all decisions or interpretations of the Committee upon any questions arising under the 2006 Plan and this Agreement, unless shown to have been made in an arbitrary and capricious manner.</w:t>
      </w:r>
    </w:p>
    <w:p>
      <w:pPr>
        <w:spacing w:after="0" w:line="18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b w:val="1"/>
          <w:bCs w:val="1"/>
          <w:i w:val="1"/>
          <w:iCs w:val="1"/>
          <w:color w:val="auto"/>
        </w:rPr>
        <w:t>Headings.</w:t>
      </w:r>
      <w:r>
        <w:rPr>
          <w:rFonts w:ascii="Arial" w:cs="Arial" w:eastAsia="Arial" w:hAnsi="Arial"/>
          <w:sz w:val="22"/>
          <w:szCs w:val="22"/>
          <w:color w:val="auto"/>
        </w:rPr>
        <w:t xml:space="preserve"> 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8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b w:val="1"/>
          <w:bCs w:val="1"/>
          <w:i w:val="1"/>
          <w:iCs w:val="1"/>
          <w:color w:val="auto"/>
        </w:rPr>
        <w:t>Notices</w:t>
      </w:r>
      <w:r>
        <w:rPr>
          <w:rFonts w:ascii="Arial" w:cs="Arial" w:eastAsia="Arial" w:hAnsi="Arial"/>
          <w:sz w:val="22"/>
          <w:szCs w:val="22"/>
          <w:color w:val="auto"/>
        </w:rPr>
        <w:t>. Any notice under this Agreement shall be in writing and shall be deemed to have been duly given when 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88"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xml:space="preserve"> It is the intention of both the Company and the Participant that the benefits and rights to which the Participant could be entitled pursuant to this Agreement qualify for the short-term deferral exemption under Section 409A of the Code and the Treasury Regulations and other guidance promulgated or issued thereunder (“Section 409A”), and the provisions of this Agreement shall be construed in a manner consistent with that intention. Notwithstanding the foregoing, the Company does not make any representation to the Participant that the shares of Deferred Stock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6" w:name="page37"/>
    <w:bookmarkEnd w:id="36"/>
    <w:p>
      <w:pPr>
        <w:jc w:val="both"/>
        <w:ind w:firstLine="877"/>
        <w:spacing w:after="0" w:line="235" w:lineRule="auto"/>
        <w:rPr>
          <w:sz w:val="20"/>
          <w:szCs w:val="20"/>
          <w:color w:val="auto"/>
        </w:rPr>
      </w:pPr>
      <w:r>
        <w:rPr>
          <w:rFonts w:ascii="Arial" w:cs="Arial" w:eastAsia="Arial" w:hAnsi="Arial"/>
          <w:sz w:val="22"/>
          <w:szCs w:val="22"/>
          <w:color w:val="auto"/>
        </w:rPr>
        <w:t xml:space="preserve">(j) </w:t>
      </w:r>
      <w:r>
        <w:rPr>
          <w:rFonts w:ascii="Arial" w:cs="Arial" w:eastAsia="Arial" w:hAnsi="Arial"/>
          <w:sz w:val="22"/>
          <w:szCs w:val="22"/>
          <w:b w:val="1"/>
          <w:bCs w:val="1"/>
          <w:i w:val="1"/>
          <w:iCs w:val="1"/>
          <w:color w:val="auto"/>
        </w:rPr>
        <w:t>Non-Waiver of Breach</w:t>
      </w:r>
      <w:r>
        <w:rPr>
          <w:rFonts w:ascii="Arial" w:cs="Arial" w:eastAsia="Arial" w:hAnsi="Arial"/>
          <w:sz w:val="22"/>
          <w:szCs w:val="22"/>
          <w:color w:val="auto"/>
        </w:rPr>
        <w:t>. The waiver by any party hereto of the other party's prompt and complete performance, 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8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xml:space="preserve"> This Agreement may be executed in two or more separate counterparts, each of which shall be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7" w:name="page38"/>
    <w:bookmarkEnd w:id="37"/>
    <w:p>
      <w:pPr>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intending  to  be  legally  bound,  have  executed  this  Agreement  as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20______.</w:t>
      </w:r>
    </w:p>
    <w:p>
      <w:pPr>
        <w:spacing w:after="0" w:line="196"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ind w:left="5660"/>
        <w:spacing w:after="0"/>
        <w:tabs>
          <w:tab w:leader="none" w:pos="7420" w:val="left"/>
          <w:tab w:leader="none" w:pos="8000" w:val="left"/>
          <w:tab w:leader="none" w:pos="9100" w:val="left"/>
          <w:tab w:leader="none" w:pos="9900" w:val="left"/>
          <w:tab w:leader="none" w:pos="10300" w:val="left"/>
        </w:tabs>
        <w:rPr>
          <w:sz w:val="20"/>
          <w:szCs w:val="20"/>
          <w:color w:val="auto"/>
        </w:rPr>
      </w:pPr>
      <w:r>
        <w:rPr>
          <w:rFonts w:ascii="Arial" w:cs="Arial" w:eastAsia="Arial" w:hAnsi="Arial"/>
          <w:sz w:val="22"/>
          <w:szCs w:val="22"/>
          <w:b w:val="1"/>
          <w:bCs w:val="1"/>
          <w:color w:val="auto"/>
        </w:rPr>
        <w:t>DESTINATION</w:t>
        <w:tab/>
        <w:t>XL</w:t>
        <w:tab/>
        <w:t>GROUP,</w:t>
        <w:tab/>
        <w:t>INC.,</w:t>
        <w:tab/>
        <w:t>a</w:t>
      </w:r>
      <w:r>
        <w:rPr>
          <w:sz w:val="20"/>
          <w:szCs w:val="20"/>
          <w:color w:val="auto"/>
        </w:rPr>
        <w:tab/>
      </w:r>
      <w:r>
        <w:rPr>
          <w:rFonts w:ascii="Arial" w:cs="Arial" w:eastAsia="Arial" w:hAnsi="Arial"/>
          <w:sz w:val="19"/>
          <w:szCs w:val="19"/>
          <w:b w:val="1"/>
          <w:bCs w:val="1"/>
          <w:color w:val="auto"/>
        </w:rPr>
        <w:t>Delaware</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corporation:</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By:</w:t>
      </w:r>
    </w:p>
    <w:p>
      <w:pPr>
        <w:spacing w:after="0" w:line="227"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-160020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28"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Participant acknowledges receipt of a copy of the 2006 Plan and represents that he or she has reviewed the provisions of both plans and this Agreement in their entirety and is familiar with and understands their terms and provisions, and hereby accepts this Agreement subject to all of the terms and provisions of the 2006 Plan and the Agreement. The Participant further represents that he or she has had an opportunity to obtain the advice of counsel prior to executing this Agreement.</w:t>
      </w:r>
    </w:p>
    <w:p>
      <w:pPr>
        <w:spacing w:after="0" w:line="151" w:lineRule="exact"/>
        <w:rPr>
          <w:sz w:val="20"/>
          <w:szCs w:val="20"/>
          <w:color w:val="auto"/>
        </w:rPr>
      </w:pPr>
    </w:p>
    <w:p>
      <w:pPr>
        <w:spacing w:after="0"/>
        <w:tabs>
          <w:tab w:leader="none" w:pos="6200" w:val="left"/>
        </w:tabs>
        <w:rPr>
          <w:sz w:val="20"/>
          <w:szCs w:val="20"/>
          <w:color w:val="auto"/>
        </w:rPr>
      </w:pPr>
      <w:r>
        <w:rPr>
          <w:rFonts w:ascii="Arial" w:cs="Arial" w:eastAsia="Arial" w:hAnsi="Arial"/>
          <w:sz w:val="22"/>
          <w:szCs w:val="22"/>
          <w:color w:val="auto"/>
        </w:rPr>
        <w:t>Dated:_____________________________</w:t>
      </w:r>
      <w:r>
        <w:rPr>
          <w:sz w:val="20"/>
          <w:szCs w:val="20"/>
          <w:color w:val="auto"/>
        </w:rPr>
        <w:tab/>
      </w:r>
      <w:r>
        <w:rPr>
          <w:rFonts w:ascii="Arial" w:cs="Arial" w:eastAsia="Arial" w:hAnsi="Arial"/>
          <w:sz w:val="21"/>
          <w:szCs w:val="21"/>
          <w:b w:val="1"/>
          <w:bCs w:val="1"/>
          <w:color w:val="auto"/>
        </w:rPr>
        <w:t>PARTICIPANT</w:t>
      </w:r>
    </w:p>
    <w:p>
      <w:pPr>
        <w:spacing w:after="0" w:line="226"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By:</w:t>
      </w:r>
    </w:p>
    <w:p>
      <w:pPr>
        <w:spacing w:after="0" w:line="227" w:lineRule="exact"/>
        <w:rPr>
          <w:sz w:val="20"/>
          <w:szCs w:val="20"/>
          <w:color w:val="auto"/>
        </w:rPr>
      </w:pPr>
    </w:p>
    <w:p>
      <w:pPr>
        <w:ind w:left="7880"/>
        <w:spacing w:after="0"/>
        <w:tabs>
          <w:tab w:leader="none" w:pos="966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-160020</wp:posOffset>
            </wp:positionV>
            <wp:extent cx="3302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185228729v3</w:t>
      </w:r>
    </w:p>
    <w:p>
      <w:pPr>
        <w:sectPr>
          <w:pgSz w:w="11900" w:h="16838" w:orient="portrait"/>
          <w:cols w:equalWidth="0" w:num="1">
            <w:col w:w="11420"/>
          </w:cols>
          <w:pgMar w:left="240" w:top="54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Date:August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Date:August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July 30, 2016,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Date:August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July 30, 2016,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Date:August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0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decimal"/>
      <w:start w:val="7"/>
    </w:lvl>
  </w:abstractNum>
  <w:abstractNum w:abstractNumId="13">
    <w:nsid w:val="6B68079A"/>
    <w:multiLevelType w:val="hybridMultilevel"/>
    <w:lvl w:ilvl="0">
      <w:lvlJc w:val="left"/>
      <w:lvlText w:val="%1."/>
      <w:numFmt w:val="decimal"/>
      <w:start w:val="8"/>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2019-12-05T20:18:20Z</dcterms:created>
  <dcterms:modified xsi:type="dcterms:W3CDTF">2019-12-05T20:18:20Z</dcterms:modified>
</cp:coreProperties>
</file>