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60" w:right="1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98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Coliseum Capital Management, LLC</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gridSpan w:val="2"/>
          </w:tcPr>
          <w:p>
            <w:pPr>
              <w:jc w:val="right"/>
              <w:ind w:right="953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98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Delaware</w:t>
            </w: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2,941,346</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10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9"/>
              </w:rPr>
              <w:t>With</w:t>
            </w: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0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2"/>
                <w:szCs w:val="12"/>
                <w:color w:val="auto"/>
              </w:rPr>
            </w:pPr>
          </w:p>
        </w:tc>
        <w:tc>
          <w:tcPr>
            <w:tcW w:w="10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00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2,941,346</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20"/>
                <w:szCs w:val="20"/>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10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9"/>
              </w:rPr>
              <w:t>2,941,346</w:t>
            </w: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 IA</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2"/>
          </w:tcPr>
          <w:p>
            <w:pPr>
              <w:jc w:val="right"/>
              <w:ind w:right="55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68"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98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Coliseum Capital, LLC</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gridSpan w:val="2"/>
          </w:tcPr>
          <w:p>
            <w:pPr>
              <w:jc w:val="right"/>
              <w:ind w:right="953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98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Delaware</w:t>
            </w: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2,140,407</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10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9"/>
              </w:rPr>
              <w:t>With</w:t>
            </w: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0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2"/>
                <w:szCs w:val="12"/>
                <w:color w:val="auto"/>
              </w:rPr>
            </w:pPr>
          </w:p>
        </w:tc>
        <w:tc>
          <w:tcPr>
            <w:tcW w:w="10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00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2,140,407</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20"/>
                <w:szCs w:val="20"/>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10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9"/>
              </w:rPr>
              <w:t>2,140,407</w:t>
            </w: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2"/>
          </w:tcPr>
          <w:p>
            <w:pPr>
              <w:jc w:val="right"/>
              <w:ind w:right="55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68"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98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Coliseum Capital Partners, L.P.</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gridSpan w:val="2"/>
          </w:tcPr>
          <w:p>
            <w:pPr>
              <w:jc w:val="right"/>
              <w:ind w:right="953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98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Delaware</w:t>
            </w: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1,741,144</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10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9"/>
              </w:rPr>
              <w:t>With</w:t>
            </w: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0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2"/>
                <w:szCs w:val="12"/>
                <w:color w:val="auto"/>
              </w:rPr>
            </w:pPr>
          </w:p>
        </w:tc>
        <w:tc>
          <w:tcPr>
            <w:tcW w:w="10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00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1,741,144</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20"/>
                <w:szCs w:val="20"/>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10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9"/>
              </w:rPr>
              <w:t>1,741,144</w:t>
            </w: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2"/>
          </w:tcPr>
          <w:p>
            <w:pPr>
              <w:jc w:val="right"/>
              <w:ind w:right="55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68"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98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Coliseum Capital Partners II, L.P.</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gridSpan w:val="2"/>
          </w:tcPr>
          <w:p>
            <w:pPr>
              <w:jc w:val="right"/>
              <w:ind w:right="953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98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2"/>
              </w:rPr>
              <w:t>5.</w:t>
            </w:r>
          </w:p>
        </w:tc>
        <w:tc>
          <w:tcPr>
            <w:tcW w:w="6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2"/>
              </w:rPr>
              <w:t>6.</w:t>
            </w:r>
          </w:p>
        </w:tc>
        <w:tc>
          <w:tcPr>
            <w:tcW w:w="6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399,263</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92"/>
              </w:rPr>
              <w:t>7.</w:t>
            </w:r>
          </w:p>
        </w:tc>
        <w:tc>
          <w:tcPr>
            <w:tcW w:w="60" w:type="dxa"/>
            <w:vAlign w:val="bottom"/>
            <w:tcBorders>
              <w:right w:val="single" w:sz="8" w:color="auto"/>
            </w:tcBorders>
          </w:tcPr>
          <w:p>
            <w:pPr>
              <w:spacing w:after="0"/>
              <w:rPr>
                <w:sz w:val="15"/>
                <w:szCs w:val="15"/>
                <w:color w:val="auto"/>
              </w:rPr>
            </w:pPr>
          </w:p>
        </w:tc>
        <w:tc>
          <w:tcPr>
            <w:tcW w:w="10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0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2"/>
              </w:rPr>
              <w:t>8.</w:t>
            </w:r>
          </w:p>
        </w:tc>
        <w:tc>
          <w:tcPr>
            <w:tcW w:w="60" w:type="dxa"/>
            <w:vAlign w:val="bottom"/>
            <w:tcBorders>
              <w:right w:val="single" w:sz="8" w:color="auto"/>
            </w:tcBorders>
          </w:tcPr>
          <w:p>
            <w:pPr>
              <w:spacing w:after="0"/>
              <w:rPr>
                <w:sz w:val="12"/>
                <w:szCs w:val="12"/>
                <w:color w:val="auto"/>
              </w:rPr>
            </w:pPr>
          </w:p>
        </w:tc>
        <w:tc>
          <w:tcPr>
            <w:tcW w:w="10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00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399,263</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20"/>
                <w:szCs w:val="20"/>
                <w:color w:val="auto"/>
              </w:rPr>
            </w:pPr>
          </w:p>
        </w:tc>
        <w:tc>
          <w:tcPr>
            <w:tcW w:w="960" w:type="dxa"/>
            <w:vAlign w:val="bottom"/>
            <w:gridSpan w:val="4"/>
          </w:tcPr>
          <w:p>
            <w:pPr>
              <w:ind w:left="80"/>
              <w:spacing w:after="0"/>
              <w:rPr>
                <w:sz w:val="20"/>
                <w:szCs w:val="20"/>
                <w:color w:val="auto"/>
              </w:rPr>
            </w:pPr>
            <w:r>
              <w:rPr>
                <w:rFonts w:ascii="Arial" w:cs="Arial" w:eastAsia="Arial" w:hAnsi="Arial"/>
                <w:sz w:val="18"/>
                <w:szCs w:val="18"/>
                <w:color w:val="auto"/>
              </w:rPr>
              <w:t>Aggregate</w:t>
            </w:r>
          </w:p>
        </w:tc>
        <w:tc>
          <w:tcPr>
            <w:tcW w:w="10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5"/>
              </w:rPr>
              <w:t>399,263</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0.8%</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PN</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80" w:type="dxa"/>
            <w:vAlign w:val="bottom"/>
            <w:gridSpan w:val="2"/>
          </w:tcPr>
          <w:p>
            <w:pPr>
              <w:jc w:val="right"/>
              <w:ind w:right="55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68"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98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Blackwell Partners, LLC</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gridSpan w:val="2"/>
          </w:tcPr>
          <w:p>
            <w:pPr>
              <w:jc w:val="right"/>
              <w:ind w:right="953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98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Georgia</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2"/>
              </w:rPr>
              <w:t>5.</w:t>
            </w:r>
          </w:p>
        </w:tc>
        <w:tc>
          <w:tcPr>
            <w:tcW w:w="6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2"/>
              </w:rPr>
              <w:t>6.</w:t>
            </w:r>
          </w:p>
        </w:tc>
        <w:tc>
          <w:tcPr>
            <w:tcW w:w="6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800,939</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92"/>
              </w:rPr>
              <w:t>7.</w:t>
            </w:r>
          </w:p>
        </w:tc>
        <w:tc>
          <w:tcPr>
            <w:tcW w:w="60" w:type="dxa"/>
            <w:vAlign w:val="bottom"/>
            <w:tcBorders>
              <w:right w:val="single" w:sz="8" w:color="auto"/>
            </w:tcBorders>
          </w:tcPr>
          <w:p>
            <w:pPr>
              <w:spacing w:after="0"/>
              <w:rPr>
                <w:sz w:val="15"/>
                <w:szCs w:val="15"/>
                <w:color w:val="auto"/>
              </w:rPr>
            </w:pPr>
          </w:p>
        </w:tc>
        <w:tc>
          <w:tcPr>
            <w:tcW w:w="10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0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2"/>
              </w:rPr>
              <w:t>8.</w:t>
            </w:r>
          </w:p>
        </w:tc>
        <w:tc>
          <w:tcPr>
            <w:tcW w:w="60" w:type="dxa"/>
            <w:vAlign w:val="bottom"/>
            <w:tcBorders>
              <w:right w:val="single" w:sz="8" w:color="auto"/>
            </w:tcBorders>
          </w:tcPr>
          <w:p>
            <w:pPr>
              <w:spacing w:after="0"/>
              <w:rPr>
                <w:sz w:val="12"/>
                <w:szCs w:val="12"/>
                <w:color w:val="auto"/>
              </w:rPr>
            </w:pPr>
          </w:p>
        </w:tc>
        <w:tc>
          <w:tcPr>
            <w:tcW w:w="10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00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800,939</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20"/>
                <w:szCs w:val="20"/>
                <w:color w:val="auto"/>
              </w:rPr>
            </w:pPr>
          </w:p>
        </w:tc>
        <w:tc>
          <w:tcPr>
            <w:tcW w:w="960" w:type="dxa"/>
            <w:vAlign w:val="bottom"/>
            <w:gridSpan w:val="4"/>
          </w:tcPr>
          <w:p>
            <w:pPr>
              <w:ind w:left="80"/>
              <w:spacing w:after="0"/>
              <w:rPr>
                <w:sz w:val="20"/>
                <w:szCs w:val="20"/>
                <w:color w:val="auto"/>
              </w:rPr>
            </w:pPr>
            <w:r>
              <w:rPr>
                <w:rFonts w:ascii="Arial" w:cs="Arial" w:eastAsia="Arial" w:hAnsi="Arial"/>
                <w:sz w:val="18"/>
                <w:szCs w:val="18"/>
                <w:color w:val="auto"/>
              </w:rPr>
              <w:t>Aggregate</w:t>
            </w:r>
          </w:p>
        </w:tc>
        <w:tc>
          <w:tcPr>
            <w:tcW w:w="10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5"/>
              </w:rPr>
              <w:t>800,939</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80" w:type="dxa"/>
            <w:vAlign w:val="bottom"/>
            <w:gridSpan w:val="2"/>
          </w:tcPr>
          <w:p>
            <w:pPr>
              <w:jc w:val="right"/>
              <w:ind w:right="55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68"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98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Adam Gray</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gridSpan w:val="2"/>
          </w:tcPr>
          <w:p>
            <w:pPr>
              <w:jc w:val="right"/>
              <w:ind w:right="953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98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2,941,346</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10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9"/>
              </w:rPr>
              <w:t>With</w:t>
            </w: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0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2"/>
                <w:szCs w:val="12"/>
                <w:color w:val="auto"/>
              </w:rPr>
            </w:pPr>
          </w:p>
        </w:tc>
        <w:tc>
          <w:tcPr>
            <w:tcW w:w="10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00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2,941,346</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20"/>
                <w:szCs w:val="20"/>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10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9"/>
              </w:rPr>
              <w:t>2,941,346</w:t>
            </w: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2"/>
          </w:tcPr>
          <w:p>
            <w:pPr>
              <w:jc w:val="right"/>
              <w:ind w:right="55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68"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98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Christopher Shackelton</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gridSpan w:val="2"/>
          </w:tcPr>
          <w:p>
            <w:pPr>
              <w:jc w:val="right"/>
              <w:ind w:right="953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98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20"/>
                <w:szCs w:val="20"/>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2,941,346</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10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9"/>
              </w:rPr>
              <w:t>With</w:t>
            </w: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0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2"/>
                <w:szCs w:val="12"/>
                <w:color w:val="auto"/>
              </w:rPr>
            </w:pPr>
          </w:p>
        </w:tc>
        <w:tc>
          <w:tcPr>
            <w:tcW w:w="10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00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2,941,346</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20"/>
                <w:szCs w:val="20"/>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10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9"/>
              </w:rPr>
              <w:t>2,941,346</w:t>
            </w: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2"/>
          </w:tcPr>
          <w:p>
            <w:pPr>
              <w:jc w:val="right"/>
              <w:ind w:right="55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68"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5" w:lineRule="exact"/>
        <w:rPr>
          <w:sz w:val="20"/>
          <w:szCs w:val="20"/>
          <w:color w:val="auto"/>
        </w:rPr>
      </w:pPr>
    </w:p>
    <w:p>
      <w:pPr>
        <w:ind w:left="1720" w:right="7680" w:hanging="578"/>
        <w:spacing w:after="0" w:line="431" w:lineRule="auto"/>
        <w:tabs>
          <w:tab w:leader="none" w:pos="171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Issuer Destination XL Group, Inc.</w:t>
      </w:r>
    </w:p>
    <w:p>
      <w:pPr>
        <w:ind w:left="1700" w:hanging="558"/>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jc w:val="both"/>
        <w:ind w:left="1720" w:right="8220"/>
        <w:spacing w:after="0" w:line="342" w:lineRule="auto"/>
        <w:rPr>
          <w:rFonts w:ascii="Arial" w:cs="Arial" w:eastAsia="Arial" w:hAnsi="Arial"/>
          <w:sz w:val="18"/>
          <w:szCs w:val="18"/>
          <w:color w:val="auto"/>
        </w:rPr>
      </w:pPr>
      <w:r>
        <w:rPr>
          <w:rFonts w:ascii="Arial" w:cs="Arial" w:eastAsia="Arial" w:hAnsi="Arial"/>
          <w:sz w:val="16"/>
          <w:szCs w:val="16"/>
          <w:color w:val="auto"/>
        </w:rPr>
        <w:t>555 Turnpike Street Canton, MA 02021</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1700" w:hanging="558"/>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117" w:lineRule="exact"/>
        <w:rPr>
          <w:rFonts w:ascii="Arial" w:cs="Arial" w:eastAsia="Arial" w:hAnsi="Arial"/>
          <w:sz w:val="18"/>
          <w:szCs w:val="18"/>
          <w:color w:val="auto"/>
        </w:rPr>
      </w:pPr>
    </w:p>
    <w:p>
      <w:pPr>
        <w:ind w:left="1720"/>
        <w:spacing w:after="0" w:line="259" w:lineRule="auto"/>
        <w:rPr>
          <w:rFonts w:ascii="Arial" w:cs="Arial" w:eastAsia="Arial" w:hAnsi="Arial"/>
          <w:sz w:val="18"/>
          <w:szCs w:val="18"/>
          <w:color w:val="auto"/>
        </w:rPr>
      </w:pPr>
      <w:r>
        <w:rPr>
          <w:rFonts w:ascii="Arial" w:cs="Arial" w:eastAsia="Arial" w:hAnsi="Arial"/>
          <w:sz w:val="18"/>
          <w:szCs w:val="18"/>
          <w:color w:val="auto"/>
        </w:rPr>
        <w:t>This Schedule 13G is being filed on behalf of Coliseum Capital Management, LLC (“CCM”), Coliseum Capital, LLC (“CC”), Coliseum Capital Partners, L.P. (“CCP”), Coliseum Capital Partners II, L.P. (“CCP2”), Blackwell Partners, LLC (“Blackwell”), Adam Gray (“Gray”) and Christopher Shackelton (“Shackelton” and together with CCM, CC, CCP, CCP2, Blackwell and Gray, the “Reporting Persons”).</w:t>
      </w:r>
    </w:p>
    <w:p>
      <w:pPr>
        <w:spacing w:after="0" w:line="92" w:lineRule="exact"/>
        <w:rPr>
          <w:rFonts w:ascii="Arial" w:cs="Arial" w:eastAsia="Arial" w:hAnsi="Arial"/>
          <w:sz w:val="18"/>
          <w:szCs w:val="18"/>
          <w:color w:val="auto"/>
        </w:rPr>
      </w:pPr>
    </w:p>
    <w:p>
      <w:pPr>
        <w:ind w:left="1700" w:hanging="558"/>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rFonts w:ascii="Arial" w:cs="Arial" w:eastAsia="Arial" w:hAnsi="Arial"/>
          <w:sz w:val="18"/>
          <w:szCs w:val="18"/>
          <w:color w:val="auto"/>
        </w:rPr>
      </w:pPr>
    </w:p>
    <w:p>
      <w:pPr>
        <w:ind w:left="1720" w:right="80"/>
        <w:spacing w:after="0" w:line="264" w:lineRule="auto"/>
        <w:rPr>
          <w:rFonts w:ascii="Arial" w:cs="Arial" w:eastAsia="Arial" w:hAnsi="Arial"/>
          <w:sz w:val="18"/>
          <w:szCs w:val="18"/>
          <w:color w:val="auto"/>
        </w:rPr>
      </w:pPr>
      <w:r>
        <w:rPr>
          <w:rFonts w:ascii="Arial" w:cs="Arial" w:eastAsia="Arial" w:hAnsi="Arial"/>
          <w:sz w:val="18"/>
          <w:szCs w:val="18"/>
          <w:color w:val="auto"/>
        </w:rPr>
        <w:t>The address of the principal business and office of the Reporting Persons (other than Blackwell) is Metro Center, 1 Station Place, 7th Floor South, Stamford CT 06902. The address of the principal business and office of Blackwell is c/o DUMAC, LLC, 280 South Mangum Street, Suite 210, Durham, NC 27701.</w:t>
      </w:r>
    </w:p>
    <w:p>
      <w:pPr>
        <w:spacing w:after="0" w:line="86" w:lineRule="exact"/>
        <w:rPr>
          <w:rFonts w:ascii="Arial" w:cs="Arial" w:eastAsia="Arial" w:hAnsi="Arial"/>
          <w:sz w:val="18"/>
          <w:szCs w:val="18"/>
          <w:color w:val="auto"/>
        </w:rPr>
      </w:pPr>
    </w:p>
    <w:p>
      <w:pPr>
        <w:ind w:left="1700" w:hanging="558"/>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30" w:lineRule="exact"/>
        <w:rPr>
          <w:rFonts w:ascii="Arial" w:cs="Arial" w:eastAsia="Arial" w:hAnsi="Arial"/>
          <w:sz w:val="18"/>
          <w:szCs w:val="18"/>
          <w:color w:val="auto"/>
        </w:rPr>
      </w:pPr>
    </w:p>
    <w:p>
      <w:pPr>
        <w:ind w:left="2160" w:hanging="450"/>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CCM is a Delaware limited liability company</w:t>
      </w:r>
    </w:p>
    <w:p>
      <w:pPr>
        <w:spacing w:after="0" w:line="23" w:lineRule="exact"/>
        <w:rPr>
          <w:rFonts w:ascii="Arial" w:cs="Arial" w:eastAsia="Arial" w:hAnsi="Arial"/>
          <w:sz w:val="18"/>
          <w:szCs w:val="18"/>
          <w:color w:val="auto"/>
        </w:rPr>
      </w:pPr>
    </w:p>
    <w:p>
      <w:pPr>
        <w:ind w:left="2160" w:hanging="450"/>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CC is a Delaware limited liability company</w:t>
      </w:r>
    </w:p>
    <w:p>
      <w:pPr>
        <w:spacing w:after="0" w:line="9" w:lineRule="exact"/>
        <w:rPr>
          <w:rFonts w:ascii="Arial" w:cs="Arial" w:eastAsia="Arial" w:hAnsi="Arial"/>
          <w:sz w:val="18"/>
          <w:szCs w:val="18"/>
          <w:color w:val="auto"/>
        </w:rPr>
      </w:pPr>
    </w:p>
    <w:p>
      <w:pPr>
        <w:ind w:left="2160" w:hanging="450"/>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CCP is a Delaware limited partnership</w:t>
      </w:r>
    </w:p>
    <w:p>
      <w:pPr>
        <w:spacing w:after="0" w:line="9" w:lineRule="exact"/>
        <w:rPr>
          <w:rFonts w:ascii="Arial" w:cs="Arial" w:eastAsia="Arial" w:hAnsi="Arial"/>
          <w:sz w:val="18"/>
          <w:szCs w:val="18"/>
          <w:color w:val="auto"/>
        </w:rPr>
      </w:pPr>
    </w:p>
    <w:p>
      <w:pPr>
        <w:ind w:left="2160" w:hanging="450"/>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CCP2 is a Delaware limited partnership</w:t>
      </w:r>
    </w:p>
    <w:p>
      <w:pPr>
        <w:spacing w:after="0" w:line="9" w:lineRule="exact"/>
        <w:rPr>
          <w:rFonts w:ascii="Arial" w:cs="Arial" w:eastAsia="Arial" w:hAnsi="Arial"/>
          <w:sz w:val="18"/>
          <w:szCs w:val="18"/>
          <w:color w:val="auto"/>
        </w:rPr>
      </w:pPr>
    </w:p>
    <w:p>
      <w:pPr>
        <w:ind w:left="2160" w:hanging="450"/>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Blackwell is a Georgia limited liability company</w:t>
      </w:r>
    </w:p>
    <w:p>
      <w:pPr>
        <w:spacing w:after="0" w:line="9" w:lineRule="exact"/>
        <w:rPr>
          <w:rFonts w:ascii="Arial" w:cs="Arial" w:eastAsia="Arial" w:hAnsi="Arial"/>
          <w:sz w:val="18"/>
          <w:szCs w:val="18"/>
          <w:color w:val="auto"/>
        </w:rPr>
      </w:pPr>
    </w:p>
    <w:p>
      <w:pPr>
        <w:ind w:left="2160" w:hanging="450"/>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Gray is a United States citizen</w:t>
      </w:r>
    </w:p>
    <w:p>
      <w:pPr>
        <w:spacing w:after="0" w:line="9" w:lineRule="exact"/>
        <w:rPr>
          <w:rFonts w:ascii="Arial" w:cs="Arial" w:eastAsia="Arial" w:hAnsi="Arial"/>
          <w:sz w:val="18"/>
          <w:szCs w:val="18"/>
          <w:color w:val="auto"/>
        </w:rPr>
      </w:pPr>
    </w:p>
    <w:p>
      <w:pPr>
        <w:ind w:left="2160" w:hanging="450"/>
        <w:spacing w:after="0"/>
        <w:tabs>
          <w:tab w:leader="none" w:pos="2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Shackelton is a United States citizen</w:t>
      </w:r>
    </w:p>
    <w:p>
      <w:pPr>
        <w:spacing w:after="0" w:line="116" w:lineRule="exact"/>
        <w:rPr>
          <w:rFonts w:ascii="Arial" w:cs="Arial" w:eastAsia="Arial" w:hAnsi="Arial"/>
          <w:sz w:val="18"/>
          <w:szCs w:val="18"/>
          <w:color w:val="auto"/>
        </w:rPr>
      </w:pPr>
    </w:p>
    <w:p>
      <w:pPr>
        <w:ind w:left="1700" w:hanging="558"/>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Common Stock, Par Value $0.01 Per Share (the “Common Stock”)</w:t>
      </w:r>
    </w:p>
    <w:p>
      <w:pPr>
        <w:spacing w:after="0" w:line="130" w:lineRule="exact"/>
        <w:rPr>
          <w:rFonts w:ascii="Arial" w:cs="Arial" w:eastAsia="Arial" w:hAnsi="Arial"/>
          <w:sz w:val="18"/>
          <w:szCs w:val="18"/>
          <w:color w:val="auto"/>
        </w:rPr>
      </w:pPr>
    </w:p>
    <w:p>
      <w:pPr>
        <w:jc w:val="both"/>
        <w:ind w:left="1720" w:right="8820" w:hanging="578"/>
        <w:spacing w:after="0" w:line="449" w:lineRule="auto"/>
        <w:tabs>
          <w:tab w:leader="none" w:pos="171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No. 25065K104</w:t>
      </w: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0" w:right="279" w:bottom="1440" w:gutter="0" w:footer="0" w:header="0"/>
        </w:sectPr>
      </w:pPr>
    </w:p>
    <w:bookmarkStart w:id="9" w:name="page10"/>
    <w:bookmarkEnd w:id="9"/>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02" w:lineRule="exact"/>
        <w:rPr>
          <w:sz w:val="20"/>
          <w:szCs w:val="20"/>
          <w:color w:val="auto"/>
        </w:rPr>
      </w:pPr>
    </w:p>
    <w:p>
      <w:pPr>
        <w:ind w:left="1700" w:hanging="558"/>
        <w:spacing w:after="0" w:line="207" w:lineRule="exact"/>
        <w:tabs>
          <w:tab w:leader="none" w:pos="17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78c).</w:t>
      </w:r>
    </w:p>
    <w:p>
      <w:pPr>
        <w:spacing w:after="0" w:line="117"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(15 U.S.C. 80a-8).</w:t>
      </w:r>
    </w:p>
    <w:p>
      <w:pPr>
        <w:spacing w:after="0" w:line="117"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17"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240.13d-1(b)(ii)(F).</w:t>
      </w:r>
    </w:p>
    <w:p>
      <w:pPr>
        <w:spacing w:after="0" w:line="117"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2080" w:hanging="938"/>
        <w:spacing w:after="0" w:line="239" w:lineRule="exact"/>
        <w:tabs>
          <w:tab w:leader="none" w:pos="1702"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17"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240.13d-1(b)(ii)(J).</w:t>
      </w:r>
    </w:p>
    <w:p>
      <w:pPr>
        <w:spacing w:after="0" w:line="150" w:lineRule="exact"/>
        <w:rPr>
          <w:sz w:val="20"/>
          <w:szCs w:val="20"/>
          <w:color w:val="auto"/>
        </w:rPr>
      </w:pPr>
    </w:p>
    <w:p>
      <w:pPr>
        <w:ind w:left="1140" w:right="2800"/>
        <w:spacing w:after="0" w:line="277" w:lineRule="auto"/>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1253490</wp:posOffset>
            </wp:positionH>
            <wp:positionV relativeFrom="paragraph">
              <wp:posOffset>-45085</wp:posOffset>
            </wp:positionV>
            <wp:extent cx="3429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9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140" w:right="140"/>
        <w:spacing w:after="0" w:line="277" w:lineRule="auto"/>
        <w:rPr>
          <w:sz w:val="20"/>
          <w:szCs w:val="20"/>
          <w:color w:val="auto"/>
        </w:rPr>
      </w:pPr>
      <w:r>
        <w:rPr>
          <w:rFonts w:ascii="Arial" w:cs="Arial" w:eastAsia="Arial" w:hAnsi="Arial"/>
          <w:sz w:val="18"/>
          <w:szCs w:val="18"/>
          <w:color w:val="auto"/>
        </w:rPr>
        <w:t>The information relating to the beneficial ownership of Common Stock by each of the Reporting Persons set forth in Rows 5 through 9 and Row 11 of the cover pages hereto is incorporated herein by reference.</w:t>
      </w:r>
    </w:p>
    <w:p>
      <w:pPr>
        <w:spacing w:after="0" w:line="62" w:lineRule="exact"/>
        <w:rPr>
          <w:sz w:val="20"/>
          <w:szCs w:val="20"/>
          <w:color w:val="auto"/>
        </w:rPr>
      </w:pPr>
    </w:p>
    <w:p>
      <w:pPr>
        <w:ind w:left="1140" w:right="120"/>
        <w:spacing w:after="0" w:line="312" w:lineRule="auto"/>
        <w:rPr>
          <w:sz w:val="20"/>
          <w:szCs w:val="20"/>
          <w:color w:val="auto"/>
        </w:rPr>
      </w:pPr>
      <w:r>
        <w:rPr>
          <w:rFonts w:ascii="Arial" w:cs="Arial" w:eastAsia="Arial" w:hAnsi="Arial"/>
          <w:sz w:val="16"/>
          <w:szCs w:val="16"/>
          <w:color w:val="auto"/>
        </w:rPr>
        <w:t>The ownership percentage of each Reporting Person set forth in Row 11 of the cover pages hereto has been calculated based on an assumed total of 50,930,390 shares of Common Stock outstanding as of November 2, 2013, as reported in the Issuer’s Quarterly Report for period ended November 2, 2013 on Form 10-Q, as filed with the Securities and Exchange Commission on November 22, 2013.</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40" w:right="1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securities, check the following </w:t>
      </w:r>
      <w:r>
        <w:rPr>
          <w:rFonts w:ascii="MS PGothic" w:cs="MS PGothic" w:eastAsia="MS PGothic" w:hAnsi="MS PGothic"/>
          <w:sz w:val="18"/>
          <w:szCs w:val="18"/>
          <w:color w:val="auto"/>
        </w:rPr>
        <w:t>☐</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70" w:right="339" w:bottom="1440" w:gutter="0" w:footer="0" w:header="0"/>
        </w:sectPr>
      </w:pPr>
    </w:p>
    <w:bookmarkStart w:id="10" w:name="page11"/>
    <w:bookmarkEnd w:id="10"/>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140" w:right="8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40" w:right="40"/>
        <w:spacing w:after="0" w:line="264" w:lineRule="auto"/>
        <w:rPr>
          <w:sz w:val="20"/>
          <w:szCs w:val="20"/>
          <w:color w:val="auto"/>
        </w:rPr>
      </w:pPr>
      <w:r>
        <w:rPr>
          <w:rFonts w:ascii="Arial" w:cs="Arial" w:eastAsia="Arial" w:hAnsi="Arial"/>
          <w:sz w:val="18"/>
          <w:szCs w:val="18"/>
          <w:color w:val="auto"/>
        </w:rPr>
        <w:t>The Reporting Persons may be deemed to be members of a group with respect to the Common Stock owned of record by CCP, CCP2 and Blackwell. CCP is the record owner of 1,741,144 shares of Common Stock, CCP2 is the record owner of 399,263 and Blackwell is the record owner of 800,939 shares of Common Stock.</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11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0"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Dated: February 14, 2014</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COLISEUM CAPITAL MANAGEMENT, LLC</w:t>
            </w:r>
          </w:p>
        </w:tc>
        <w:tc>
          <w:tcPr>
            <w:tcW w:w="6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COLISEUM CAPITAL, LLC</w:t>
            </w:r>
          </w:p>
        </w:tc>
        <w:tc>
          <w:tcPr>
            <w:tcW w:w="0" w:type="dxa"/>
            <w:vAlign w:val="bottom"/>
          </w:tcPr>
          <w:p>
            <w:pPr>
              <w:spacing w:after="0"/>
              <w:rPr>
                <w:sz w:val="1"/>
                <w:szCs w:val="1"/>
                <w:color w:val="auto"/>
              </w:rPr>
            </w:pP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By:  /s/ Christopher Shackelton</w:t>
            </w:r>
          </w:p>
        </w:tc>
        <w:tc>
          <w:tcPr>
            <w:tcW w:w="6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By  /s/ Adam Gray</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Adam Gray, Manager</w:t>
            </w:r>
          </w:p>
        </w:tc>
        <w:tc>
          <w:tcPr>
            <w:tcW w:w="0" w:type="dxa"/>
            <w:vAlign w:val="bottom"/>
          </w:tcPr>
          <w:p>
            <w:pPr>
              <w:spacing w:after="0" w:line="20" w:lineRule="exact"/>
              <w:rPr>
                <w:sz w:val="1"/>
                <w:szCs w:val="1"/>
                <w:color w:val="auto"/>
              </w:rPr>
            </w:pPr>
          </w:p>
        </w:tc>
      </w:tr>
      <w:tr>
        <w:trPr>
          <w:trHeight w:val="211"/>
        </w:trPr>
        <w:tc>
          <w:tcPr>
            <w:tcW w:w="2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Christopher Shackelton, Manager</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COLISEUM CAPITAL PARTNERS, L.P.</w:t>
            </w:r>
          </w:p>
        </w:tc>
        <w:tc>
          <w:tcPr>
            <w:tcW w:w="6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COLISEUM CAPITAL PARTNERS II, L.P.</w:t>
            </w:r>
          </w:p>
        </w:tc>
        <w:tc>
          <w:tcPr>
            <w:tcW w:w="0" w:type="dxa"/>
            <w:vAlign w:val="bottom"/>
          </w:tcPr>
          <w:p>
            <w:pPr>
              <w:spacing w:after="0"/>
              <w:rPr>
                <w:sz w:val="1"/>
                <w:szCs w:val="1"/>
                <w:color w:val="auto"/>
              </w:rPr>
            </w:pP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By:  Coliseum Capital, LLC, General Partner</w:t>
            </w:r>
          </w:p>
        </w:tc>
        <w:tc>
          <w:tcPr>
            <w:tcW w:w="6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By:  Coliseum Capital, LLC, General Partner</w:t>
            </w:r>
          </w:p>
        </w:tc>
        <w:tc>
          <w:tcPr>
            <w:tcW w:w="0" w:type="dxa"/>
            <w:vAlign w:val="bottom"/>
          </w:tcPr>
          <w:p>
            <w:pPr>
              <w:spacing w:after="0"/>
              <w:rPr>
                <w:sz w:val="1"/>
                <w:szCs w:val="1"/>
                <w:color w:val="auto"/>
              </w:rPr>
            </w:pP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By:  /s/ Adam Gray</w:t>
            </w:r>
          </w:p>
        </w:tc>
        <w:tc>
          <w:tcPr>
            <w:tcW w:w="6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By:  /s/ Adam Gray</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Adam Gray, Manager</w:t>
            </w:r>
          </w:p>
        </w:tc>
        <w:tc>
          <w:tcPr>
            <w:tcW w:w="0" w:type="dxa"/>
            <w:vAlign w:val="bottom"/>
          </w:tcPr>
          <w:p>
            <w:pPr>
              <w:spacing w:after="0" w:line="20" w:lineRule="exact"/>
              <w:rPr>
                <w:sz w:val="1"/>
                <w:szCs w:val="1"/>
                <w:color w:val="auto"/>
              </w:rPr>
            </w:pPr>
          </w:p>
        </w:tc>
      </w:tr>
      <w:tr>
        <w:trPr>
          <w:trHeight w:val="211"/>
        </w:trPr>
        <w:tc>
          <w:tcPr>
            <w:tcW w:w="2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Adam Gray, Manager</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BLACKWELL PARTNERS, LLC</w:t>
            </w:r>
          </w:p>
        </w:tc>
        <w:tc>
          <w:tcPr>
            <w:tcW w:w="6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ADAM GRAY</w:t>
            </w:r>
          </w:p>
        </w:tc>
        <w:tc>
          <w:tcPr>
            <w:tcW w:w="0" w:type="dxa"/>
            <w:vAlign w:val="bottom"/>
          </w:tcPr>
          <w:p>
            <w:pPr>
              <w:spacing w:after="0"/>
              <w:rPr>
                <w:sz w:val="1"/>
                <w:szCs w:val="1"/>
                <w:color w:val="auto"/>
              </w:rPr>
            </w:pP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By:  Coliseum Capital Management, LLC,</w:t>
            </w:r>
          </w:p>
        </w:tc>
        <w:tc>
          <w:tcPr>
            <w:tcW w:w="640" w:type="dxa"/>
            <w:vAlign w:val="bottom"/>
          </w:tcPr>
          <w:p>
            <w:pPr>
              <w:spacing w:after="0"/>
              <w:rPr>
                <w:sz w:val="24"/>
                <w:szCs w:val="24"/>
                <w:color w:val="auto"/>
              </w:rPr>
            </w:pPr>
          </w:p>
        </w:tc>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Adam Gray</w:t>
            </w: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Attorney-in-fact</w:t>
            </w:r>
          </w:p>
        </w:tc>
        <w:tc>
          <w:tcPr>
            <w:tcW w:w="64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Adam Gray</w:t>
            </w:r>
          </w:p>
        </w:tc>
        <w:tc>
          <w:tcPr>
            <w:tcW w:w="0" w:type="dxa"/>
            <w:vAlign w:val="bottom"/>
          </w:tcPr>
          <w:p>
            <w:pPr>
              <w:spacing w:after="0"/>
              <w:rPr>
                <w:sz w:val="1"/>
                <w:szCs w:val="1"/>
                <w:color w:val="auto"/>
              </w:rPr>
            </w:pPr>
          </w:p>
        </w:tc>
      </w:tr>
      <w:tr>
        <w:trPr>
          <w:trHeight w:val="431"/>
        </w:trPr>
        <w:tc>
          <w:tcPr>
            <w:tcW w:w="5400" w:type="dxa"/>
            <w:vAlign w:val="bottom"/>
            <w:gridSpan w:val="2"/>
          </w:tcPr>
          <w:p>
            <w:pPr>
              <w:spacing w:after="0"/>
              <w:rPr>
                <w:sz w:val="20"/>
                <w:szCs w:val="20"/>
                <w:color w:val="auto"/>
              </w:rPr>
            </w:pPr>
            <w:r>
              <w:rPr>
                <w:rFonts w:ascii="Arial" w:cs="Arial" w:eastAsia="Arial" w:hAnsi="Arial"/>
                <w:sz w:val="18"/>
                <w:szCs w:val="18"/>
                <w:color w:val="auto"/>
              </w:rPr>
              <w:t>By:  /s/ Adam Gray</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51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Adam Gray, Manager</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CHRISTOPHER SHACKELTON</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Shackelton</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400" w:type="dxa"/>
            <w:vAlign w:val="bottom"/>
            <w:gridSpan w:val="2"/>
          </w:tcPr>
          <w:p>
            <w:pPr>
              <w:spacing w:after="0"/>
              <w:rPr>
                <w:sz w:val="20"/>
                <w:szCs w:val="20"/>
                <w:color w:val="auto"/>
              </w:rPr>
            </w:pPr>
            <w:r>
              <w:rPr>
                <w:rFonts w:ascii="Arial" w:cs="Arial" w:eastAsia="Arial" w:hAnsi="Arial"/>
                <w:sz w:val="18"/>
                <w:szCs w:val="18"/>
                <w:color w:val="auto"/>
              </w:rPr>
              <w:t>Christopher Shackelton</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2019-12-05T23:24:13Z</dcterms:created>
  <dcterms:modified xsi:type="dcterms:W3CDTF">2019-12-05T23:24:13Z</dcterms:modified>
</cp:coreProperties>
</file>