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175260</wp:posOffset>
            </wp:positionV>
            <wp:extent cx="72917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186690</wp:posOffset>
            </wp:positionV>
            <wp:extent cx="72917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5715"/>
                    </a:xfrm>
                    <a:prstGeom prst="rect">
                      <a:avLst/>
                    </a:prstGeom>
                    <a:noFill/>
                  </pic:spPr>
                </pic:pic>
              </a:graphicData>
            </a:graphic>
          </wp:anchor>
        </w:drawing>
        <w:t>UNITED STATES</w:t>
      </w:r>
    </w:p>
    <w:p>
      <w:pPr>
        <w:spacing w:after="0" w:line="12"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88900</wp:posOffset>
            </wp:positionV>
            <wp:extent cx="14605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70"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95250</wp:posOffset>
            </wp:positionV>
            <wp:extent cx="14605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9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(Mark One)</w:t>
      </w:r>
    </w:p>
    <w:p>
      <w:pPr>
        <w:ind w:left="408" w:hanging="408"/>
        <w:spacing w:after="0"/>
        <w:tabs>
          <w:tab w:leader="none" w:pos="408"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68" w:lineRule="exact"/>
        <w:rPr>
          <w:sz w:val="24"/>
          <w:szCs w:val="24"/>
          <w:color w:val="auto"/>
        </w:rPr>
      </w:pPr>
    </w:p>
    <w:p>
      <w:pPr>
        <w:ind w:left="4468"/>
        <w:spacing w:after="0"/>
        <w:rPr>
          <w:sz w:val="20"/>
          <w:szCs w:val="20"/>
          <w:color w:val="auto"/>
        </w:rPr>
      </w:pPr>
      <w:r>
        <w:rPr>
          <w:rFonts w:ascii="Times New Roman" w:cs="Times New Roman" w:eastAsia="Times New Roman" w:hAnsi="Times New Roman"/>
          <w:sz w:val="12"/>
          <w:szCs w:val="12"/>
          <w:b w:val="1"/>
          <w:bCs w:val="1"/>
          <w:color w:val="auto"/>
        </w:rPr>
        <w:t>For the quarterly period ended November 2, 2019</w:t>
      </w:r>
    </w:p>
    <w:p>
      <w:pPr>
        <w:spacing w:after="0" w:line="79" w:lineRule="exact"/>
        <w:rPr>
          <w:sz w:val="24"/>
          <w:szCs w:val="24"/>
          <w:color w:val="auto"/>
        </w:rPr>
      </w:pPr>
    </w:p>
    <w:p>
      <w:pPr>
        <w:ind w:left="5648"/>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63" w:lineRule="exact"/>
        <w:rPr>
          <w:sz w:val="24"/>
          <w:szCs w:val="24"/>
          <w:color w:val="auto"/>
        </w:rPr>
      </w:pPr>
    </w:p>
    <w:p>
      <w:pPr>
        <w:ind w:left="8"/>
        <w:spacing w:after="0"/>
        <w:tabs>
          <w:tab w:leader="none" w:pos="387" w:val="left"/>
        </w:tabs>
        <w:rPr>
          <w:sz w:val="20"/>
          <w:szCs w:val="20"/>
          <w:color w:val="auto"/>
        </w:rPr>
      </w:pPr>
      <w:r>
        <w:rPr>
          <w:rFonts w:ascii="MS PGothic" w:cs="MS PGothic" w:eastAsia="MS PGothic" w:hAnsi="MS PGothic"/>
          <w:sz w:val="12"/>
          <w:szCs w:val="12"/>
          <w:color w:val="auto"/>
          <w:highlight w:val="black"/>
        </w:rPr>
        <w:t>☐</w:t>
      </w:r>
      <w:r>
        <w:rPr>
          <w:sz w:val="20"/>
          <w:szCs w:val="20"/>
          <w:color w:val="auto"/>
        </w:rPr>
        <w:tab/>
      </w: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96" w:lineRule="exact"/>
        <w:rPr>
          <w:sz w:val="24"/>
          <w:szCs w:val="24"/>
          <w:color w:val="auto"/>
        </w:rPr>
      </w:pPr>
    </w:p>
    <w:p>
      <w:pPr>
        <w:ind w:left="4808"/>
        <w:spacing w:after="0"/>
        <w:rPr>
          <w:sz w:val="20"/>
          <w:szCs w:val="20"/>
          <w:color w:val="auto"/>
        </w:rPr>
      </w:pPr>
      <w:r>
        <w:rPr>
          <w:rFonts w:ascii="Times New Roman" w:cs="Times New Roman" w:eastAsia="Times New Roman" w:hAnsi="Times New Roman"/>
          <w:sz w:val="12"/>
          <w:szCs w:val="1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94615</wp:posOffset>
            </wp:positionV>
            <wp:extent cx="14605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249" w:lineRule="exact"/>
        <w:rPr>
          <w:sz w:val="24"/>
          <w:szCs w:val="24"/>
          <w:color w:val="auto"/>
        </w:rPr>
      </w:pPr>
    </w:p>
    <w:tbl>
      <w:tblPr>
        <w:tblLayout w:type="fixed"/>
        <w:tblInd w:w="2168" w:type="dxa"/>
        <w:tblCellMar>
          <w:top w:w="0" w:type="dxa"/>
          <w:left w:w="0" w:type="dxa"/>
          <w:bottom w:w="0" w:type="dxa"/>
          <w:right w:w="0" w:type="dxa"/>
        </w:tblCellMar>
      </w:tblPr>
      <w:tr>
        <w:trPr>
          <w:trHeight w:val="354"/>
        </w:trPr>
        <w:tc>
          <w:tcPr>
            <w:tcW w:w="1400" w:type="dxa"/>
            <w:vAlign w:val="bottom"/>
          </w:tcPr>
          <w:p>
            <w:pPr>
              <w:spacing w:after="0"/>
              <w:rPr>
                <w:sz w:val="24"/>
                <w:szCs w:val="24"/>
                <w:color w:val="auto"/>
              </w:rPr>
            </w:pPr>
          </w:p>
        </w:tc>
        <w:tc>
          <w:tcPr>
            <w:tcW w:w="5380" w:type="dxa"/>
            <w:vAlign w:val="bottom"/>
            <w:gridSpan w:val="3"/>
          </w:tcPr>
          <w:p>
            <w:pPr>
              <w:jc w:val="center"/>
              <w:ind w:right="978"/>
              <w:spacing w:after="0"/>
              <w:rPr>
                <w:sz w:val="20"/>
                <w:szCs w:val="20"/>
                <w:color w:val="auto"/>
              </w:rPr>
            </w:pPr>
            <w:r>
              <w:rPr>
                <w:rFonts w:ascii="Times New Roman" w:cs="Times New Roman" w:eastAsia="Times New Roman" w:hAnsi="Times New Roman"/>
                <w:sz w:val="29"/>
                <w:szCs w:val="29"/>
                <w:b w:val="1"/>
                <w:bCs w:val="1"/>
                <w:color w:val="auto"/>
                <w:w w:val="98"/>
              </w:rPr>
              <w:t>DESTINATION XL GROUP, INC.</w:t>
            </w:r>
          </w:p>
        </w:tc>
      </w:tr>
      <w:tr>
        <w:trPr>
          <w:trHeight w:val="160"/>
        </w:trPr>
        <w:tc>
          <w:tcPr>
            <w:tcW w:w="1400" w:type="dxa"/>
            <w:vAlign w:val="bottom"/>
          </w:tcPr>
          <w:p>
            <w:pPr>
              <w:spacing w:after="0"/>
              <w:rPr>
                <w:sz w:val="13"/>
                <w:szCs w:val="13"/>
                <w:color w:val="auto"/>
              </w:rPr>
            </w:pPr>
          </w:p>
        </w:tc>
        <w:tc>
          <w:tcPr>
            <w:tcW w:w="5380" w:type="dxa"/>
            <w:vAlign w:val="bottom"/>
            <w:gridSpan w:val="3"/>
          </w:tcPr>
          <w:p>
            <w:pPr>
              <w:jc w:val="center"/>
              <w:ind w:right="99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36"/>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r>
      <w:tr>
        <w:trPr>
          <w:trHeight w:val="329"/>
        </w:trPr>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3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04-2623104</w:t>
            </w:r>
          </w:p>
        </w:tc>
      </w:tr>
      <w:tr>
        <w:trPr>
          <w:trHeight w:val="91"/>
        </w:trPr>
        <w:tc>
          <w:tcPr>
            <w:tcW w:w="140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rPr>
              <w:t>(State or other jurisdiction of</w:t>
            </w:r>
          </w:p>
        </w:tc>
        <w:tc>
          <w:tcPr>
            <w:tcW w:w="10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jc w:val="center"/>
              <w:ind w:left="1338"/>
              <w:spacing w:after="0" w:line="91" w:lineRule="exact"/>
              <w:rPr>
                <w:sz w:val="20"/>
                <w:szCs w:val="20"/>
                <w:color w:val="auto"/>
              </w:rPr>
            </w:pPr>
            <w:r>
              <w:rPr>
                <w:rFonts w:ascii="Times New Roman" w:cs="Times New Roman" w:eastAsia="Times New Roman" w:hAnsi="Times New Roman"/>
                <w:sz w:val="8"/>
                <w:szCs w:val="8"/>
                <w:b w:val="1"/>
                <w:bCs w:val="1"/>
                <w:color w:val="auto"/>
              </w:rPr>
              <w:t>(I.R.S. Employer</w:t>
            </w:r>
          </w:p>
        </w:tc>
      </w:tr>
      <w:tr>
        <w:trPr>
          <w:trHeight w:val="89"/>
        </w:trPr>
        <w:tc>
          <w:tcPr>
            <w:tcW w:w="1400" w:type="dxa"/>
            <w:vAlign w:val="bottom"/>
          </w:tcPr>
          <w:p>
            <w:pPr>
              <w:jc w:val="center"/>
              <w:spacing w:after="0" w:line="89" w:lineRule="exact"/>
              <w:rPr>
                <w:sz w:val="20"/>
                <w:szCs w:val="20"/>
                <w:color w:val="auto"/>
              </w:rPr>
            </w:pPr>
            <w:r>
              <w:rPr>
                <w:rFonts w:ascii="Times New Roman" w:cs="Times New Roman" w:eastAsia="Times New Roman" w:hAnsi="Times New Roman"/>
                <w:sz w:val="8"/>
                <w:szCs w:val="8"/>
                <w:b w:val="1"/>
                <w:bCs w:val="1"/>
                <w:color w:val="auto"/>
              </w:rPr>
              <w:t>incorporation or organization)</w:t>
            </w:r>
          </w:p>
        </w:tc>
        <w:tc>
          <w:tcPr>
            <w:tcW w:w="10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jc w:val="center"/>
              <w:ind w:left="1358"/>
              <w:spacing w:after="0" w:line="89" w:lineRule="exact"/>
              <w:rPr>
                <w:sz w:val="20"/>
                <w:szCs w:val="20"/>
                <w:color w:val="auto"/>
              </w:rPr>
            </w:pPr>
            <w:r>
              <w:rPr>
                <w:rFonts w:ascii="Times New Roman" w:cs="Times New Roman" w:eastAsia="Times New Roman" w:hAnsi="Times New Roman"/>
                <w:sz w:val="8"/>
                <w:szCs w:val="8"/>
                <w:b w:val="1"/>
                <w:bCs w:val="1"/>
                <w:color w:val="auto"/>
              </w:rPr>
              <w:t>Identification No.)</w:t>
            </w:r>
          </w:p>
        </w:tc>
      </w:tr>
      <w:tr>
        <w:trPr>
          <w:trHeight w:val="145"/>
        </w:trPr>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555 Turnpike Street</w:t>
            </w:r>
          </w:p>
        </w:tc>
        <w:tc>
          <w:tcPr>
            <w:tcW w:w="1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7"/>
        </w:trPr>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Canton, MA</w:t>
            </w:r>
          </w:p>
        </w:tc>
        <w:tc>
          <w:tcPr>
            <w:tcW w:w="538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02021</w:t>
            </w:r>
          </w:p>
        </w:tc>
      </w:tr>
      <w:tr>
        <w:trPr>
          <w:trHeight w:val="109"/>
        </w:trPr>
        <w:tc>
          <w:tcPr>
            <w:tcW w:w="1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tc>
        <w:tc>
          <w:tcPr>
            <w:tcW w:w="10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60" w:type="dxa"/>
            <w:vAlign w:val="bottom"/>
          </w:tcPr>
          <w:p>
            <w:pPr>
              <w:jc w:val="center"/>
              <w:ind w:left="1338"/>
              <w:spacing w:after="0"/>
              <w:rPr>
                <w:sz w:val="20"/>
                <w:szCs w:val="20"/>
                <w:color w:val="auto"/>
              </w:rPr>
            </w:pPr>
            <w:r>
              <w:rPr>
                <w:rFonts w:ascii="Times New Roman" w:cs="Times New Roman" w:eastAsia="Times New Roman" w:hAnsi="Times New Roman"/>
                <w:sz w:val="8"/>
                <w:szCs w:val="8"/>
                <w:b w:val="1"/>
                <w:bCs w:val="1"/>
                <w:color w:val="auto"/>
              </w:rPr>
              <w:t>(Zip Code)</w:t>
            </w:r>
          </w:p>
        </w:tc>
      </w:tr>
      <w:tr>
        <w:trPr>
          <w:trHeight w:val="211"/>
        </w:trPr>
        <w:tc>
          <w:tcPr>
            <w:tcW w:w="1400" w:type="dxa"/>
            <w:vAlign w:val="bottom"/>
          </w:tcPr>
          <w:p>
            <w:pPr>
              <w:spacing w:after="0"/>
              <w:rPr>
                <w:sz w:val="18"/>
                <w:szCs w:val="18"/>
                <w:color w:val="auto"/>
              </w:rPr>
            </w:pPr>
          </w:p>
        </w:tc>
        <w:tc>
          <w:tcPr>
            <w:tcW w:w="5380" w:type="dxa"/>
            <w:vAlign w:val="bottom"/>
            <w:gridSpan w:val="3"/>
          </w:tcPr>
          <w:p>
            <w:pPr>
              <w:jc w:val="center"/>
              <w:ind w:right="998"/>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(781) 828-9300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80645</wp:posOffset>
            </wp:positionV>
            <wp:extent cx="14605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7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14" w:lineRule="exact"/>
        <w:rPr>
          <w:sz w:val="24"/>
          <w:szCs w:val="24"/>
          <w:color w:val="auto"/>
        </w:rPr>
      </w:pPr>
    </w:p>
    <w:tbl>
      <w:tblPr>
        <w:tblLayout w:type="fixed"/>
        <w:tblInd w:w="18" w:type="dxa"/>
        <w:tblCellMar>
          <w:top w:w="0" w:type="dxa"/>
          <w:left w:w="0" w:type="dxa"/>
          <w:bottom w:w="0" w:type="dxa"/>
          <w:right w:w="0" w:type="dxa"/>
        </w:tblCellMar>
      </w:tblPr>
      <w:tr>
        <w:trPr>
          <w:trHeight w:val="197"/>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22"/>
        </w:trPr>
        <w:tc>
          <w:tcPr>
            <w:tcW w:w="4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130"/>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Common Stock, $0.01 par value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DXLG</w:t>
            </w:r>
          </w:p>
        </w:tc>
        <w:tc>
          <w:tcPr>
            <w:tcW w:w="4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NASDAQ Stock Market LLC</w:t>
            </w:r>
          </w:p>
        </w:tc>
      </w:tr>
      <w:tr>
        <w:trPr>
          <w:trHeight w:val="40"/>
        </w:trPr>
        <w:tc>
          <w:tcPr>
            <w:tcW w:w="47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r>
    </w:tbl>
    <w:p>
      <w:pPr>
        <w:spacing w:after="0" w:line="63" w:lineRule="exact"/>
        <w:rPr>
          <w:sz w:val="24"/>
          <w:szCs w:val="24"/>
          <w:color w:val="auto"/>
        </w:rPr>
      </w:pPr>
    </w:p>
    <w:p>
      <w:pPr>
        <w:ind w:left="8" w:firstLine="612"/>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left="8" w:right="120" w:firstLine="612"/>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left="8" w:right="220" w:firstLine="612"/>
        <w:spacing w:after="0" w:line="28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2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5" w:lineRule="exact"/>
        <w:rPr>
          <w:sz w:val="24"/>
          <w:szCs w:val="24"/>
          <w:color w:val="auto"/>
        </w:rPr>
      </w:pPr>
    </w:p>
    <w:p>
      <w:pPr>
        <w:ind w:left="608"/>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6"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Act. </w:t>
      </w:r>
      <w:r>
        <w:rPr>
          <w:rFonts w:ascii="MS PGothic" w:cs="MS PGothic" w:eastAsia="MS PGothic" w:hAnsi="MS PGothic"/>
          <w:sz w:val="11"/>
          <w:szCs w:val="11"/>
          <w:color w:val="auto"/>
        </w:rPr>
        <w:t>☐</w:t>
      </w:r>
    </w:p>
    <w:p>
      <w:pPr>
        <w:spacing w:after="0" w:line="55" w:lineRule="exact"/>
        <w:rPr>
          <w:sz w:val="24"/>
          <w:szCs w:val="24"/>
          <w:color w:val="auto"/>
        </w:rPr>
      </w:pPr>
    </w:p>
    <w:p>
      <w:pPr>
        <w:ind w:left="8" w:right="5060" w:firstLine="612"/>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1"/>
          <w:szCs w:val="11"/>
          <w:color w:val="auto"/>
        </w:rPr>
        <w:t xml:space="preserve"> As of November 15, 2019, the registrant had 50,348,577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917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72917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32853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8"/>
          </w:cols>
          <w:pgMar w:left="212" w:top="34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auto"/>
        </w:rPr>
        <w:t>PART I. FINANCIAL INFORMATION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Item 1.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color w:val="auto"/>
              </w:rPr>
              <w:t>November 2, 2019</w:t>
            </w:r>
          </w:p>
        </w:tc>
        <w:tc>
          <w:tcPr>
            <w:tcW w:w="260" w:type="dxa"/>
            <w:vAlign w:val="bottom"/>
          </w:tcPr>
          <w:p>
            <w:pPr>
              <w:spacing w:after="0"/>
              <w:rPr>
                <w:sz w:val="10"/>
                <w:szCs w:val="10"/>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color w:val="auto"/>
              </w:rPr>
              <w:t>February 2,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color w:val="auto"/>
              </w:rPr>
              <w:t>(Fiscal 2019)</w:t>
            </w:r>
          </w:p>
        </w:tc>
        <w:tc>
          <w:tcPr>
            <w:tcW w:w="260" w:type="dxa"/>
            <w:vAlign w:val="bottom"/>
          </w:tcPr>
          <w:p>
            <w:pPr>
              <w:spacing w:after="0"/>
              <w:rPr>
                <w:sz w:val="9"/>
                <w:szCs w:val="9"/>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ASSETS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Current assets:</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5,462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120,211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106,837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11,635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11,535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141,184</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127,660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Non-current assets: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Property and equipment, net of accumulated depreciation and amortization</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83,371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195,971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3,364</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6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425,040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226,076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STOCKHOLDERS' EQUITY</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Current liabilities: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 portion of deferred gain on sale-leaseback</w:t>
            </w:r>
          </w:p>
        </w:tc>
        <w:tc>
          <w:tcPr>
            <w:tcW w:w="26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27,038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34,418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21,236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leases, current</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41,063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Borrowings under credit facility</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68,185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41,908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157,522</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107,931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Long-term liabilities: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14,799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Operating leases, non-current</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192,311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rent and lease incentives</w:t>
            </w:r>
          </w:p>
        </w:tc>
        <w:tc>
          <w:tcPr>
            <w:tcW w:w="26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 gain on sale-leaseback, net of current portion</w:t>
            </w:r>
          </w:p>
        </w:tc>
        <w:tc>
          <w:tcPr>
            <w:tcW w:w="26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long-term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210,779</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59,505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Stockholders' equity:</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$0.01 par value, 1,000,000 shares authorized, none issued</w:t>
            </w:r>
          </w:p>
        </w:tc>
        <w:tc>
          <w:tcPr>
            <w:tcW w:w="26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$0.01 par value, 100,000,000 shares authorized, 63,044,554 and 62,241,834 shares issued at November 2, 2019 and February 2, 2019,</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respectively</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312,293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310,393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Treasury stock at cost, 12,755,873 shares at November 2, 2019 and February 2, 2019</w:t>
            </w:r>
          </w:p>
        </w:tc>
        <w:tc>
          <w:tcPr>
            <w:tcW w:w="26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(92,658)</w:t>
            </w: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(92,658)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(158,491)</w:t>
            </w:r>
          </w:p>
        </w:tc>
        <w:tc>
          <w:tcPr>
            <w:tcW w:w="26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(153,534)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(5,035)</w:t>
            </w: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(6,183)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56,739</w:t>
            </w:r>
          </w:p>
        </w:tc>
        <w:tc>
          <w:tcPr>
            <w:tcW w:w="2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58,640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425,040</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226,076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gridSpan w:val="5"/>
          </w:tcPr>
          <w:p>
            <w:pPr>
              <w:jc w:val="right"/>
              <w:ind w:right="116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200" w:type="dxa"/>
            <w:vAlign w:val="bottom"/>
          </w:tcPr>
          <w:p>
            <w:pPr>
              <w:spacing w:after="0"/>
              <w:rPr>
                <w:sz w:val="10"/>
                <w:szCs w:val="10"/>
                <w:color w:val="auto"/>
              </w:rPr>
            </w:pPr>
          </w:p>
        </w:tc>
        <w:tc>
          <w:tcPr>
            <w:tcW w:w="3040" w:type="dxa"/>
            <w:vAlign w:val="bottom"/>
            <w:gridSpan w:val="5"/>
          </w:tcPr>
          <w:p>
            <w:pPr>
              <w:jc w:val="right"/>
              <w:ind w:right="114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tcPr>
          <w:p>
            <w:pPr>
              <w:jc w:val="right"/>
              <w:ind w:right="460"/>
              <w:spacing w:after="0" w:line="109" w:lineRule="exact"/>
              <w:rPr>
                <w:sz w:val="20"/>
                <w:szCs w:val="20"/>
                <w:color w:val="auto"/>
              </w:rPr>
            </w:pPr>
            <w:r>
              <w:rPr>
                <w:rFonts w:ascii="Times New Roman" w:cs="Times New Roman" w:eastAsia="Times New Roman" w:hAnsi="Times New Roman"/>
                <w:sz w:val="10"/>
                <w:szCs w:val="10"/>
                <w:color w:val="auto"/>
              </w:rPr>
              <w:t>November 2, 2019</w:t>
            </w:r>
          </w:p>
        </w:tc>
        <w:tc>
          <w:tcPr>
            <w:tcW w:w="340" w:type="dxa"/>
            <w:vAlign w:val="bottom"/>
          </w:tcPr>
          <w:p>
            <w:pPr>
              <w:spacing w:after="0"/>
              <w:rPr>
                <w:sz w:val="9"/>
                <w:szCs w:val="9"/>
                <w:color w:val="auto"/>
              </w:rPr>
            </w:pPr>
          </w:p>
        </w:tc>
        <w:tc>
          <w:tcPr>
            <w:tcW w:w="1360" w:type="dxa"/>
            <w:vAlign w:val="bottom"/>
            <w:gridSpan w:val="2"/>
          </w:tcPr>
          <w:p>
            <w:pPr>
              <w:jc w:val="right"/>
              <w:ind w:right="520"/>
              <w:spacing w:after="0" w:line="109" w:lineRule="exact"/>
              <w:rPr>
                <w:sz w:val="20"/>
                <w:szCs w:val="20"/>
                <w:color w:val="auto"/>
              </w:rPr>
            </w:pPr>
            <w:r>
              <w:rPr>
                <w:rFonts w:ascii="Times New Roman" w:cs="Times New Roman" w:eastAsia="Times New Roman" w:hAnsi="Times New Roman"/>
                <w:sz w:val="10"/>
                <w:szCs w:val="10"/>
                <w:color w:val="auto"/>
              </w:rPr>
              <w:t>November 3, 2018</w:t>
            </w:r>
          </w:p>
        </w:tc>
        <w:tc>
          <w:tcPr>
            <w:tcW w:w="200" w:type="dxa"/>
            <w:vAlign w:val="bottom"/>
          </w:tcPr>
          <w:p>
            <w:pPr>
              <w:spacing w:after="0"/>
              <w:rPr>
                <w:sz w:val="9"/>
                <w:szCs w:val="9"/>
                <w:color w:val="auto"/>
              </w:rPr>
            </w:pPr>
          </w:p>
        </w:tc>
        <w:tc>
          <w:tcPr>
            <w:tcW w:w="1340" w:type="dxa"/>
            <w:vAlign w:val="bottom"/>
            <w:gridSpan w:val="2"/>
          </w:tcPr>
          <w:p>
            <w:pPr>
              <w:jc w:val="right"/>
              <w:ind w:right="460"/>
              <w:spacing w:after="0" w:line="109" w:lineRule="exact"/>
              <w:rPr>
                <w:sz w:val="20"/>
                <w:szCs w:val="20"/>
                <w:color w:val="auto"/>
              </w:rPr>
            </w:pPr>
            <w:r>
              <w:rPr>
                <w:rFonts w:ascii="Times New Roman" w:cs="Times New Roman" w:eastAsia="Times New Roman" w:hAnsi="Times New Roman"/>
                <w:sz w:val="10"/>
                <w:szCs w:val="10"/>
                <w:color w:val="auto"/>
              </w:rPr>
              <w:t>November 2, 2019</w:t>
            </w:r>
          </w:p>
        </w:tc>
        <w:tc>
          <w:tcPr>
            <w:tcW w:w="300" w:type="dxa"/>
            <w:vAlign w:val="bottom"/>
          </w:tcPr>
          <w:p>
            <w:pPr>
              <w:spacing w:after="0"/>
              <w:rPr>
                <w:sz w:val="9"/>
                <w:szCs w:val="9"/>
                <w:color w:val="auto"/>
              </w:rPr>
            </w:pPr>
          </w:p>
        </w:tc>
        <w:tc>
          <w:tcPr>
            <w:tcW w:w="1400" w:type="dxa"/>
            <w:vAlign w:val="bottom"/>
            <w:gridSpan w:val="2"/>
          </w:tcPr>
          <w:p>
            <w:pPr>
              <w:jc w:val="right"/>
              <w:ind w:right="520"/>
              <w:spacing w:after="0" w:line="109" w:lineRule="exact"/>
              <w:rPr>
                <w:sz w:val="20"/>
                <w:szCs w:val="20"/>
                <w:color w:val="auto"/>
              </w:rPr>
            </w:pPr>
            <w:r>
              <w:rPr>
                <w:rFonts w:ascii="Times New Roman" w:cs="Times New Roman" w:eastAsia="Times New Roman" w:hAnsi="Times New Roman"/>
                <w:sz w:val="10"/>
                <w:szCs w:val="10"/>
                <w:color w:val="auto"/>
              </w:rPr>
              <w:t>November 3, 2018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color w:val="auto"/>
              </w:rPr>
              <w:t>(Fiscal 2019)</w:t>
            </w:r>
          </w:p>
        </w:tc>
        <w:tc>
          <w:tcPr>
            <w:tcW w:w="340" w:type="dxa"/>
            <w:vAlign w:val="bottom"/>
          </w:tcPr>
          <w:p>
            <w:pPr>
              <w:spacing w:after="0"/>
              <w:rPr>
                <w:sz w:val="9"/>
                <w:szCs w:val="9"/>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color w:val="auto"/>
              </w:rPr>
              <w:t>(Fiscal 2018)</w:t>
            </w:r>
          </w:p>
        </w:tc>
        <w:tc>
          <w:tcPr>
            <w:tcW w:w="200" w:type="dxa"/>
            <w:vAlign w:val="bottom"/>
          </w:tcPr>
          <w:p>
            <w:pPr>
              <w:spacing w:after="0"/>
              <w:rPr>
                <w:sz w:val="9"/>
                <w:szCs w:val="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color w:val="auto"/>
              </w:rPr>
              <w:t>(Fiscal 2019)</w:t>
            </w:r>
          </w:p>
        </w:tc>
        <w:tc>
          <w:tcPr>
            <w:tcW w:w="300" w:type="dxa"/>
            <w:vAlign w:val="bottom"/>
          </w:tcPr>
          <w:p>
            <w:pPr>
              <w:spacing w:after="0"/>
              <w:rPr>
                <w:sz w:val="9"/>
                <w:szCs w:val="9"/>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Sales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106,581</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107,069</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342,799</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342,606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Cost of goods sold including occupancy costs</w:t>
            </w:r>
          </w:p>
        </w:tc>
        <w:tc>
          <w:tcPr>
            <w:tcW w:w="1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62,776</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60,009</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195,012</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188,333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43,805</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47,060</w:t>
            </w: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147,787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154,273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Expenses:</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40,436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134,197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CEO transition costs</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Corporate restructuring</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Exit costs associated with London operations</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6,329</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7,161</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18,877</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21,867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110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50,174</w:t>
            </w:r>
          </w:p>
        </w:tc>
        <w:tc>
          <w:tcPr>
            <w:tcW w:w="10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48,289</w:t>
            </w:r>
          </w:p>
        </w:tc>
        <w:tc>
          <w:tcPr>
            <w:tcW w:w="1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155,513</w:t>
            </w: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157,950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(6,369)</w:t>
            </w:r>
          </w:p>
        </w:tc>
        <w:tc>
          <w:tcPr>
            <w:tcW w:w="3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(1,229)</w:t>
            </w: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(7,726)</w:t>
            </w:r>
          </w:p>
        </w:tc>
        <w:tc>
          <w:tcPr>
            <w:tcW w:w="3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(3,677)</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(870)</w:t>
            </w:r>
          </w:p>
        </w:tc>
        <w:tc>
          <w:tcPr>
            <w:tcW w:w="3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(798)</w:t>
            </w: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(2,585)</w:t>
            </w:r>
          </w:p>
        </w:tc>
        <w:tc>
          <w:tcPr>
            <w:tcW w:w="3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(2,642)</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before benefit for income taxes</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(7,239)</w:t>
            </w:r>
          </w:p>
        </w:tc>
        <w:tc>
          <w:tcPr>
            <w:tcW w:w="3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(2,027)</w:t>
            </w:r>
          </w:p>
        </w:tc>
        <w:tc>
          <w:tcPr>
            <w:tcW w:w="2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(10,311)</w:t>
            </w:r>
          </w:p>
        </w:tc>
        <w:tc>
          <w:tcPr>
            <w:tcW w:w="3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(6,319)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Benefit for income taxes</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w:t>
            </w:r>
          </w:p>
        </w:tc>
        <w:tc>
          <w:tcPr>
            <w:tcW w:w="34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tcPr>
          <w:p>
            <w:pPr>
              <w:spacing w:after="0"/>
              <w:rPr>
                <w:sz w:val="13"/>
                <w:szCs w:val="13"/>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(78)</w:t>
            </w:r>
          </w:p>
        </w:tc>
        <w:tc>
          <w:tcPr>
            <w:tcW w:w="30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(7,190)</w:t>
            </w:r>
          </w:p>
        </w:tc>
        <w:tc>
          <w:tcPr>
            <w:tcW w:w="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(2,005)</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(10,233)</w:t>
            </w: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(6,300)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share - basic and diluted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(0.14)</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(0.04)</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(0.21)</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8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number of common shares outstanding:</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Basic</w:t>
            </w: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50,089</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49,352</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49,853</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49,068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Diluted</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49,352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740" w:type="dxa"/>
            <w:vAlign w:val="bottom"/>
            <w:gridSpan w:val="5"/>
          </w:tcPr>
          <w:p>
            <w:pPr>
              <w:jc w:val="right"/>
              <w:ind w:right="102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160" w:type="dxa"/>
            <w:vAlign w:val="bottom"/>
          </w:tcPr>
          <w:p>
            <w:pPr>
              <w:spacing w:after="0"/>
              <w:rPr>
                <w:sz w:val="10"/>
                <w:szCs w:val="10"/>
                <w:color w:val="auto"/>
              </w:rPr>
            </w:pPr>
          </w:p>
        </w:tc>
        <w:tc>
          <w:tcPr>
            <w:tcW w:w="2900" w:type="dxa"/>
            <w:vAlign w:val="bottom"/>
            <w:gridSpan w:val="6"/>
          </w:tcPr>
          <w:p>
            <w:pPr>
              <w:jc w:val="right"/>
              <w:ind w:right="112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November 2, 2019</w:t>
            </w:r>
          </w:p>
        </w:tc>
        <w:tc>
          <w:tcPr>
            <w:tcW w:w="140" w:type="dxa"/>
            <w:vAlign w:val="bottom"/>
          </w:tcPr>
          <w:p>
            <w:pPr>
              <w:spacing w:after="0"/>
              <w:rPr>
                <w:sz w:val="10"/>
                <w:szCs w:val="1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November 3, 2018</w:t>
            </w:r>
          </w:p>
        </w:tc>
        <w:tc>
          <w:tcPr>
            <w:tcW w:w="160" w:type="dxa"/>
            <w:vAlign w:val="bottom"/>
          </w:tcPr>
          <w:p>
            <w:pPr>
              <w:spacing w:after="0"/>
              <w:rPr>
                <w:sz w:val="10"/>
                <w:szCs w:val="1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November 2, 2019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color w:val="auto"/>
              </w:rPr>
              <w:t>November 3, 2018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color w:val="auto"/>
              </w:rPr>
              <w:t>(Fiscal 2019)</w:t>
            </w:r>
          </w:p>
        </w:tc>
        <w:tc>
          <w:tcPr>
            <w:tcW w:w="140" w:type="dxa"/>
            <w:vAlign w:val="bottom"/>
          </w:tcPr>
          <w:p>
            <w:pPr>
              <w:spacing w:after="0"/>
              <w:rPr>
                <w:sz w:val="9"/>
                <w:szCs w:val="9"/>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color w:val="auto"/>
              </w:rPr>
              <w:t>(Fiscal 2018)</w:t>
            </w:r>
          </w:p>
        </w:tc>
        <w:tc>
          <w:tcPr>
            <w:tcW w:w="160" w:type="dxa"/>
            <w:vAlign w:val="bottom"/>
          </w:tcPr>
          <w:p>
            <w:pPr>
              <w:spacing w:after="0"/>
              <w:rPr>
                <w:sz w:val="9"/>
                <w:szCs w:val="9"/>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color w:val="auto"/>
              </w:rPr>
              <w:t>(Fiscal 2019)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(7,190)</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(2,005)</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2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before taxes:</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Recognition of accumulated foreign currency translation adjustment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(81)</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Pension plans</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Other comprehensive income before taxes</w:t>
            </w: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Tax provision related to items of other comprehensive income</w:t>
            </w:r>
          </w:p>
        </w:tc>
        <w:tc>
          <w:tcPr>
            <w:tcW w:w="18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w:t>
            </w:r>
          </w:p>
        </w:tc>
        <w:tc>
          <w:tcPr>
            <w:tcW w:w="16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2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(6,270)</w:t>
            </w:r>
          </w:p>
        </w:tc>
        <w:tc>
          <w:tcPr>
            <w:tcW w:w="260" w:type="dxa"/>
            <w:vAlign w:val="bottom"/>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(1,892)</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(9,085)</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(6,143)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 OF CHANGES IN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3"/>
              </w:rPr>
              <w:t>Accumulated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9"/>
        </w:trPr>
        <w:tc>
          <w:tcPr>
            <w:tcW w:w="4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Times New Roman" w:cs="Times New Roman" w:eastAsia="Times New Roman" w:hAnsi="Times New Roman"/>
                <w:sz w:val="10"/>
                <w:szCs w:val="10"/>
                <w:color w:val="auto"/>
                <w:w w:val="98"/>
              </w:rPr>
              <w:t>Additional</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0"/>
                <w:szCs w:val="10"/>
                <w:color w:val="auto"/>
                <w:w w:val="96"/>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9"/>
        </w:trPr>
        <w:tc>
          <w:tcPr>
            <w:tcW w:w="4520" w:type="dxa"/>
            <w:vAlign w:val="bottom"/>
          </w:tcPr>
          <w:p>
            <w:pPr>
              <w:spacing w:after="0"/>
              <w:rPr>
                <w:sz w:val="9"/>
                <w:szCs w:val="9"/>
                <w:color w:val="auto"/>
              </w:rPr>
            </w:pPr>
          </w:p>
        </w:tc>
        <w:tc>
          <w:tcPr>
            <w:tcW w:w="1540" w:type="dxa"/>
            <w:vAlign w:val="bottom"/>
            <w:gridSpan w:val="5"/>
          </w:tcPr>
          <w:p>
            <w:pPr>
              <w:jc w:val="right"/>
              <w:ind w:right="420"/>
              <w:spacing w:after="0" w:line="109" w:lineRule="exact"/>
              <w:rPr>
                <w:sz w:val="20"/>
                <w:szCs w:val="20"/>
                <w:color w:val="auto"/>
              </w:rPr>
            </w:pPr>
            <w:r>
              <w:rPr>
                <w:rFonts w:ascii="Times New Roman" w:cs="Times New Roman" w:eastAsia="Times New Roman" w:hAnsi="Times New Roman"/>
                <w:sz w:val="10"/>
                <w:szCs w:val="10"/>
                <w:color w:val="auto"/>
              </w:rPr>
              <w:t>Common Stock</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Times New Roman" w:cs="Times New Roman" w:eastAsia="Times New Roman" w:hAnsi="Times New Roman"/>
                <w:sz w:val="10"/>
                <w:szCs w:val="10"/>
                <w:color w:val="auto"/>
              </w:rPr>
              <w:t>Paid-in</w:t>
            </w:r>
          </w:p>
        </w:tc>
        <w:tc>
          <w:tcPr>
            <w:tcW w:w="1760" w:type="dxa"/>
            <w:vAlign w:val="bottom"/>
            <w:gridSpan w:val="5"/>
          </w:tcPr>
          <w:p>
            <w:pPr>
              <w:ind w:left="480"/>
              <w:spacing w:after="0" w:line="109" w:lineRule="exact"/>
              <w:rPr>
                <w:sz w:val="20"/>
                <w:szCs w:val="20"/>
                <w:color w:val="auto"/>
              </w:rPr>
            </w:pPr>
            <w:r>
              <w:rPr>
                <w:rFonts w:ascii="Times New Roman" w:cs="Times New Roman" w:eastAsia="Times New Roman" w:hAnsi="Times New Roman"/>
                <w:sz w:val="10"/>
                <w:szCs w:val="10"/>
                <w:color w:val="auto"/>
              </w:rPr>
              <w:t>Treasury Stock</w:t>
            </w:r>
          </w:p>
        </w:tc>
        <w:tc>
          <w:tcPr>
            <w:tcW w:w="60" w:type="dxa"/>
            <w:vAlign w:val="bottom"/>
          </w:tcPr>
          <w:p>
            <w:pPr>
              <w:spacing w:after="0"/>
              <w:rPr>
                <w:sz w:val="9"/>
                <w:szCs w:val="9"/>
                <w:color w:val="auto"/>
              </w:rPr>
            </w:pPr>
          </w:p>
        </w:tc>
        <w:tc>
          <w:tcPr>
            <w:tcW w:w="82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w w:val="93"/>
              </w:rPr>
              <w:t>Accumulated</w:t>
            </w:r>
          </w:p>
        </w:tc>
        <w:tc>
          <w:tcPr>
            <w:tcW w:w="88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0"/>
                <w:szCs w:val="10"/>
                <w:color w:val="auto"/>
                <w:w w:val="98"/>
              </w:rPr>
              <w:t>Comprehensive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4"/>
        </w:trPr>
        <w:tc>
          <w:tcPr>
            <w:tcW w:w="4520" w:type="dxa"/>
            <w:vAlign w:val="bottom"/>
          </w:tcPr>
          <w:p>
            <w:pPr>
              <w:spacing w:after="0"/>
              <w:rPr>
                <w:sz w:val="9"/>
                <w:szCs w:val="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120"/>
              <w:spacing w:after="0"/>
              <w:rPr>
                <w:sz w:val="20"/>
                <w:szCs w:val="20"/>
                <w:color w:val="auto"/>
              </w:rPr>
            </w:pPr>
            <w:r>
              <w:rPr>
                <w:rFonts w:ascii="Times New Roman" w:cs="Times New Roman" w:eastAsia="Times New Roman" w:hAnsi="Times New Roman"/>
                <w:sz w:val="10"/>
                <w:szCs w:val="10"/>
                <w:color w:val="auto"/>
              </w:rPr>
              <w:t>Amounts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Capital</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Shares</w:t>
            </w:r>
          </w:p>
        </w:tc>
        <w:tc>
          <w:tcPr>
            <w:tcW w:w="100" w:type="dxa"/>
            <w:vAlign w:val="bottom"/>
          </w:tcPr>
          <w:p>
            <w:pPr>
              <w:spacing w:after="0"/>
              <w:rPr>
                <w:sz w:val="9"/>
                <w:szCs w:val="9"/>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Amounts</w:t>
            </w:r>
          </w:p>
        </w:tc>
        <w:tc>
          <w:tcPr>
            <w:tcW w:w="60" w:type="dxa"/>
            <w:vAlign w:val="bottom"/>
          </w:tcPr>
          <w:p>
            <w:pPr>
              <w:spacing w:after="0"/>
              <w:rPr>
                <w:sz w:val="9"/>
                <w:szCs w:val="9"/>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Deficit</w:t>
            </w: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Income (Loss)</w:t>
            </w:r>
          </w:p>
        </w:tc>
        <w:tc>
          <w:tcPr>
            <w:tcW w:w="160" w:type="dxa"/>
            <w:vAlign w:val="bottom"/>
          </w:tcPr>
          <w:p>
            <w:pPr>
              <w:spacing w:after="0"/>
              <w:rPr>
                <w:sz w:val="9"/>
                <w:szCs w:val="9"/>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Total</w:t>
            </w:r>
          </w:p>
        </w:tc>
      </w:tr>
      <w:tr>
        <w:trPr>
          <w:trHeight w:val="143"/>
        </w:trPr>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February 2, 2019</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62,242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310,393</w:t>
            </w: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(153,534)</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(6,183)</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58,640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120" w:type="dxa"/>
            <w:vAlign w:val="bottom"/>
            <w:shd w:val="clear" w:color="auto" w:fill="CFF0FC"/>
          </w:tcPr>
          <w:p>
            <w:pPr>
              <w:spacing w:after="0"/>
              <w:rPr>
                <w:sz w:val="13"/>
                <w:szCs w:val="13"/>
                <w:color w:val="auto"/>
              </w:rPr>
            </w:pPr>
          </w:p>
        </w:tc>
      </w:tr>
      <w:tr>
        <w:trPr>
          <w:trHeight w:val="141"/>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RSUs granted for achievement of performance-based compensation, reclassified from</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8"/>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liability to equity (Note 5)</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(192)</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(192)</w:t>
            </w: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Change in accounting principle due to adoption of ASC 842</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w:t>
            </w: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(24)</w:t>
            </w: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(24)</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(3,081)</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(3,081)</w:t>
            </w:r>
          </w:p>
        </w:tc>
      </w:tr>
      <w:tr>
        <w:trPr>
          <w:trHeight w:val="143"/>
        </w:trPr>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May 4, 2019</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62,576</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311,057</w:t>
            </w: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(151,339)</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(6,057)</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61,629</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120" w:type="dxa"/>
            <w:vAlign w:val="bottom"/>
            <w:shd w:val="clear" w:color="auto" w:fill="CFF0FC"/>
          </w:tcPr>
          <w:p>
            <w:pPr>
              <w:spacing w:after="0"/>
              <w:rPr>
                <w:sz w:val="13"/>
                <w:szCs w:val="13"/>
                <w:color w:val="auto"/>
              </w:rPr>
            </w:pP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FF0FC"/>
          </w:tcPr>
          <w:p>
            <w:pPr>
              <w:spacing w:after="0"/>
              <w:rPr>
                <w:sz w:val="13"/>
                <w:szCs w:val="13"/>
                <w:color w:val="auto"/>
              </w:rPr>
            </w:pPr>
          </w:p>
        </w:tc>
      </w:tr>
      <w:tr>
        <w:trPr>
          <w:trHeight w:val="154"/>
        </w:trPr>
        <w:tc>
          <w:tcPr>
            <w:tcW w:w="4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(40)</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w:t>
            </w: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shd w:val="clear" w:color="auto" w:fill="CFF0FC"/>
          </w:tcPr>
          <w:p>
            <w:pPr>
              <w:spacing w:after="0"/>
              <w:rPr>
                <w:sz w:val="13"/>
                <w:szCs w:val="13"/>
                <w:color w:val="auto"/>
              </w:rPr>
            </w:pPr>
          </w:p>
        </w:tc>
      </w:tr>
      <w:tr>
        <w:trPr>
          <w:trHeight w:val="143"/>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Balance at August 3, 2019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311,706</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(151,301)</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(5,955)</w:t>
            </w:r>
          </w:p>
        </w:tc>
        <w:tc>
          <w:tcPr>
            <w:tcW w:w="2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62,419</w:t>
            </w:r>
          </w:p>
        </w:tc>
        <w:tc>
          <w:tcPr>
            <w:tcW w:w="120" w:type="dxa"/>
            <w:vAlign w:val="bottom"/>
          </w:tcPr>
          <w:p>
            <w:pPr>
              <w:spacing w:after="0"/>
              <w:rPr>
                <w:sz w:val="12"/>
                <w:szCs w:val="12"/>
                <w:color w:val="auto"/>
              </w:rPr>
            </w:pP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FF0FC"/>
          </w:tcPr>
          <w:p>
            <w:pPr>
              <w:spacing w:after="0"/>
              <w:rPr>
                <w:sz w:val="13"/>
                <w:szCs w:val="13"/>
                <w:color w:val="auto"/>
              </w:rPr>
            </w:pP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r>
      <w:tr>
        <w:trPr>
          <w:trHeight w:val="15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FF0FC"/>
          </w:tcPr>
          <w:p>
            <w:pPr>
              <w:spacing w:after="0"/>
              <w:rPr>
                <w:sz w:val="13"/>
                <w:szCs w:val="13"/>
                <w:color w:val="auto"/>
              </w:rPr>
            </w:pPr>
          </w:p>
        </w:tc>
      </w:tr>
      <w:tr>
        <w:trPr>
          <w:trHeight w:val="154"/>
        </w:trPr>
        <w:tc>
          <w:tcPr>
            <w:tcW w:w="4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r>
      <w:tr>
        <w:trPr>
          <w:trHeight w:val="154"/>
        </w:trPr>
        <w:tc>
          <w:tcPr>
            <w:tcW w:w="4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Recognition of accumulated foreign currency translation adjustment</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20" w:type="dxa"/>
            <w:vAlign w:val="bottom"/>
            <w:shd w:val="clear" w:color="auto" w:fill="CFF0FC"/>
          </w:tcPr>
          <w:p>
            <w:pPr>
              <w:spacing w:after="0"/>
              <w:rPr>
                <w:sz w:val="13"/>
                <w:szCs w:val="13"/>
                <w:color w:val="auto"/>
              </w:rPr>
            </w:pP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(7,190)</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(7,190)</w:t>
            </w:r>
          </w:p>
        </w:tc>
      </w:tr>
      <w:tr>
        <w:trPr>
          <w:trHeight w:val="150"/>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November 2, 2019</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63,044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312,293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(92,658)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(158,491</w:t>
            </w:r>
          </w:p>
        </w:tc>
        <w:tc>
          <w:tcPr>
            <w:tcW w:w="22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56,739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 OF CHANGES IN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3"/>
              </w:rPr>
              <w:t>Accumulated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9"/>
        </w:trPr>
        <w:tc>
          <w:tcPr>
            <w:tcW w:w="4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380"/>
              <w:spacing w:after="0" w:line="109" w:lineRule="exact"/>
              <w:rPr>
                <w:sz w:val="20"/>
                <w:szCs w:val="20"/>
                <w:color w:val="auto"/>
              </w:rPr>
            </w:pPr>
            <w:r>
              <w:rPr>
                <w:rFonts w:ascii="Times New Roman" w:cs="Times New Roman" w:eastAsia="Times New Roman" w:hAnsi="Times New Roman"/>
                <w:sz w:val="10"/>
                <w:szCs w:val="10"/>
                <w:color w:val="auto"/>
                <w:w w:val="98"/>
              </w:rPr>
              <w:t>Additional</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0"/>
                <w:szCs w:val="10"/>
                <w:color w:val="auto"/>
                <w:w w:val="96"/>
              </w:rPr>
              <w:t>Other</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4480" w:type="dxa"/>
            <w:vAlign w:val="bottom"/>
          </w:tcPr>
          <w:p>
            <w:pPr>
              <w:spacing w:after="0"/>
              <w:rPr>
                <w:sz w:val="9"/>
                <w:szCs w:val="9"/>
                <w:color w:val="auto"/>
              </w:rPr>
            </w:pPr>
          </w:p>
        </w:tc>
        <w:tc>
          <w:tcPr>
            <w:tcW w:w="1820" w:type="dxa"/>
            <w:vAlign w:val="bottom"/>
            <w:gridSpan w:val="6"/>
          </w:tcPr>
          <w:p>
            <w:pPr>
              <w:jc w:val="right"/>
              <w:ind w:right="740"/>
              <w:spacing w:after="0" w:line="109" w:lineRule="exact"/>
              <w:rPr>
                <w:sz w:val="20"/>
                <w:szCs w:val="20"/>
                <w:color w:val="auto"/>
              </w:rPr>
            </w:pPr>
            <w:r>
              <w:rPr>
                <w:rFonts w:ascii="Times New Roman" w:cs="Times New Roman" w:eastAsia="Times New Roman" w:hAnsi="Times New Roman"/>
                <w:sz w:val="10"/>
                <w:szCs w:val="10"/>
                <w:color w:val="auto"/>
              </w:rPr>
              <w:t>Common Stock</w:t>
            </w:r>
          </w:p>
        </w:tc>
        <w:tc>
          <w:tcPr>
            <w:tcW w:w="100" w:type="dxa"/>
            <w:vAlign w:val="bottom"/>
          </w:tcPr>
          <w:p>
            <w:pPr>
              <w:spacing w:after="0"/>
              <w:rPr>
                <w:sz w:val="9"/>
                <w:szCs w:val="9"/>
                <w:color w:val="auto"/>
              </w:rPr>
            </w:pPr>
          </w:p>
        </w:tc>
        <w:tc>
          <w:tcPr>
            <w:tcW w:w="820" w:type="dxa"/>
            <w:vAlign w:val="bottom"/>
            <w:gridSpan w:val="2"/>
          </w:tcPr>
          <w:p>
            <w:pPr>
              <w:jc w:val="right"/>
              <w:ind w:right="440"/>
              <w:spacing w:after="0" w:line="109" w:lineRule="exact"/>
              <w:rPr>
                <w:sz w:val="20"/>
                <w:szCs w:val="20"/>
                <w:color w:val="auto"/>
              </w:rPr>
            </w:pPr>
            <w:r>
              <w:rPr>
                <w:rFonts w:ascii="Times New Roman" w:cs="Times New Roman" w:eastAsia="Times New Roman" w:hAnsi="Times New Roman"/>
                <w:sz w:val="10"/>
                <w:szCs w:val="10"/>
                <w:color w:val="auto"/>
              </w:rPr>
              <w:t>Paid-in</w:t>
            </w:r>
          </w:p>
        </w:tc>
        <w:tc>
          <w:tcPr>
            <w:tcW w:w="1700" w:type="dxa"/>
            <w:vAlign w:val="bottom"/>
            <w:gridSpan w:val="6"/>
          </w:tcPr>
          <w:p>
            <w:pPr>
              <w:ind w:left="480"/>
              <w:spacing w:after="0" w:line="109" w:lineRule="exact"/>
              <w:rPr>
                <w:sz w:val="20"/>
                <w:szCs w:val="20"/>
                <w:color w:val="auto"/>
              </w:rPr>
            </w:pPr>
            <w:r>
              <w:rPr>
                <w:rFonts w:ascii="Times New Roman" w:cs="Times New Roman" w:eastAsia="Times New Roman" w:hAnsi="Times New Roman"/>
                <w:sz w:val="10"/>
                <w:szCs w:val="10"/>
                <w:color w:val="auto"/>
              </w:rPr>
              <w:t>Treasury Stock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w w:val="93"/>
              </w:rPr>
              <w:t>Accumulated</w:t>
            </w:r>
          </w:p>
        </w:tc>
        <w:tc>
          <w:tcPr>
            <w:tcW w:w="80" w:type="dxa"/>
            <w:vAlign w:val="bottom"/>
          </w:tcPr>
          <w:p>
            <w:pPr>
              <w:spacing w:after="0"/>
              <w:rPr>
                <w:sz w:val="9"/>
                <w:szCs w:val="9"/>
                <w:color w:val="auto"/>
              </w:rPr>
            </w:pPr>
          </w:p>
        </w:tc>
        <w:tc>
          <w:tcPr>
            <w:tcW w:w="88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0"/>
                <w:szCs w:val="10"/>
                <w:color w:val="auto"/>
                <w:w w:val="98"/>
              </w:rPr>
              <w:t>Comprehensive</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4"/>
        </w:trPr>
        <w:tc>
          <w:tcPr>
            <w:tcW w:w="4480" w:type="dxa"/>
            <w:vAlign w:val="bottom"/>
          </w:tcPr>
          <w:p>
            <w:pPr>
              <w:spacing w:after="0"/>
              <w:rPr>
                <w:sz w:val="9"/>
                <w:szCs w:val="9"/>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Amounts</w:t>
            </w:r>
          </w:p>
        </w:tc>
        <w:tc>
          <w:tcPr>
            <w:tcW w:w="100" w:type="dxa"/>
            <w:vAlign w:val="bottom"/>
          </w:tcPr>
          <w:p>
            <w:pPr>
              <w:spacing w:after="0"/>
              <w:rPr>
                <w:sz w:val="9"/>
                <w:szCs w:val="9"/>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Capital</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Amounts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Deficit</w:t>
            </w:r>
          </w:p>
        </w:tc>
        <w:tc>
          <w:tcPr>
            <w:tcW w:w="80" w:type="dxa"/>
            <w:vAlign w:val="bottom"/>
          </w:tcPr>
          <w:p>
            <w:pPr>
              <w:spacing w:after="0"/>
              <w:rPr>
                <w:sz w:val="9"/>
                <w:szCs w:val="9"/>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Income (Loss)</w:t>
            </w:r>
          </w:p>
        </w:tc>
        <w:tc>
          <w:tcPr>
            <w:tcW w:w="140" w:type="dxa"/>
            <w:vAlign w:val="bottom"/>
          </w:tcPr>
          <w:p>
            <w:pPr>
              <w:spacing w:after="0"/>
              <w:rPr>
                <w:sz w:val="9"/>
                <w:szCs w:val="9"/>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Total</w:t>
            </w:r>
          </w:p>
        </w:tc>
      </w:tr>
      <w:tr>
        <w:trPr>
          <w:trHeight w:val="14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February 3, 2018</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61,486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307,557</w:t>
            </w:r>
          </w:p>
        </w:tc>
        <w:tc>
          <w:tcPr>
            <w:tcW w:w="2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7"/>
              </w:rPr>
              <w:t>(12,755)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(139,285)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(6,243)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69,986</w:t>
            </w:r>
          </w:p>
        </w:tc>
        <w:tc>
          <w:tcPr>
            <w:tcW w:w="60" w:type="dxa"/>
            <w:vAlign w:val="bottom"/>
            <w:tcBorders>
              <w:top w:val="single" w:sz="8" w:color="CFF0FC"/>
            </w:tcBorders>
            <w:shd w:val="clear" w:color="auto" w:fill="CFF0FC"/>
          </w:tcPr>
          <w:p>
            <w:pPr>
              <w:spacing w:after="0"/>
              <w:rPr>
                <w:sz w:val="12"/>
                <w:szCs w:val="12"/>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60" w:type="dxa"/>
            <w:vAlign w:val="bottom"/>
            <w:shd w:val="clear" w:color="auto" w:fill="CFF0FC"/>
          </w:tcPr>
          <w:p>
            <w:pPr>
              <w:spacing w:after="0"/>
              <w:rPr>
                <w:sz w:val="13"/>
                <w:szCs w:val="13"/>
                <w:color w:val="auto"/>
              </w:rPr>
            </w:pPr>
          </w:p>
        </w:tc>
      </w:tr>
      <w:tr>
        <w:trPr>
          <w:trHeight w:val="141"/>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units (RSUs) granted for achievement of performance-based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reclassified from liability to equity</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shd w:val="clear" w:color="auto" w:fill="CFF0FC"/>
          </w:tcPr>
          <w:p>
            <w:pPr>
              <w:spacing w:after="0"/>
              <w:rPr>
                <w:sz w:val="13"/>
                <w:szCs w:val="13"/>
                <w:color w:val="auto"/>
              </w:rPr>
            </w:pPr>
          </w:p>
        </w:tc>
      </w:tr>
      <w:tr>
        <w:trPr>
          <w:trHeight w:val="15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(126)</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(126)</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(3,110)</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(3,110)</w:t>
            </w:r>
          </w:p>
        </w:tc>
      </w:tr>
      <w:tr>
        <w:trPr>
          <w:trHeight w:val="14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May 5, 2018</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308,483</w:t>
            </w:r>
          </w:p>
        </w:tc>
        <w:tc>
          <w:tcPr>
            <w:tcW w:w="240" w:type="dxa"/>
            <w:vAlign w:val="bottom"/>
          </w:tcPr>
          <w:p>
            <w:pPr>
              <w:spacing w:after="0"/>
              <w:rPr>
                <w:sz w:val="12"/>
                <w:szCs w:val="12"/>
                <w:color w:val="auto"/>
              </w:rPr>
            </w:pPr>
          </w:p>
        </w:tc>
        <w:tc>
          <w:tcPr>
            <w:tcW w:w="6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w w:val="87"/>
              </w:rPr>
              <w:t>(12,755)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(142,395)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(6,240)</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67,807</w:t>
            </w:r>
          </w:p>
        </w:tc>
        <w:tc>
          <w:tcPr>
            <w:tcW w:w="60" w:type="dxa"/>
            <w:vAlign w:val="bottom"/>
          </w:tcPr>
          <w:p>
            <w:pPr>
              <w:spacing w:after="0"/>
              <w:rPr>
                <w:sz w:val="12"/>
                <w:szCs w:val="12"/>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shd w:val="clear" w:color="auto" w:fill="CFF0FC"/>
          </w:tcPr>
          <w:p>
            <w:pPr>
              <w:spacing w:after="0"/>
              <w:rPr>
                <w:sz w:val="13"/>
                <w:szCs w:val="13"/>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FF0FC"/>
          </w:tcPr>
          <w:p>
            <w:pPr>
              <w:spacing w:after="0"/>
              <w:rPr>
                <w:sz w:val="13"/>
                <w:szCs w:val="13"/>
                <w:color w:val="auto"/>
              </w:rPr>
            </w:pPr>
          </w:p>
        </w:tc>
      </w:tr>
      <w:tr>
        <w:trPr>
          <w:trHeight w:val="15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(75)</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(1,185)</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(1,185)</w:t>
            </w:r>
          </w:p>
        </w:tc>
      </w:tr>
      <w:tr>
        <w:trPr>
          <w:trHeight w:val="14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Balance at August 4, 2018</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309,007</w:t>
            </w:r>
          </w:p>
        </w:tc>
        <w:tc>
          <w:tcPr>
            <w:tcW w:w="240" w:type="dxa"/>
            <w:vAlign w:val="bottom"/>
          </w:tcPr>
          <w:p>
            <w:pPr>
              <w:spacing w:after="0"/>
              <w:rPr>
                <w:sz w:val="12"/>
                <w:szCs w:val="12"/>
                <w:color w:val="auto"/>
              </w:rPr>
            </w:pPr>
          </w:p>
        </w:tc>
        <w:tc>
          <w:tcPr>
            <w:tcW w:w="6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w w:val="87"/>
              </w:rPr>
              <w:t>(12,755)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87"/>
              </w:rPr>
              <w:t>(92,658)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(143,580)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(6,199)</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67,189</w:t>
            </w:r>
          </w:p>
        </w:tc>
        <w:tc>
          <w:tcPr>
            <w:tcW w:w="60" w:type="dxa"/>
            <w:vAlign w:val="bottom"/>
          </w:tcPr>
          <w:p>
            <w:pPr>
              <w:spacing w:after="0"/>
              <w:rPr>
                <w:sz w:val="12"/>
                <w:szCs w:val="12"/>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Board of directors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60" w:type="dxa"/>
            <w:vAlign w:val="bottom"/>
            <w:shd w:val="clear" w:color="auto" w:fill="CFF0FC"/>
          </w:tcPr>
          <w:p>
            <w:pPr>
              <w:spacing w:after="0"/>
              <w:rPr>
                <w:sz w:val="13"/>
                <w:szCs w:val="13"/>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Shares withheld for taxes related to net share settlement of RSUs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(136)</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(136)</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stock 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Pension plan, net of taxes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60" w:type="dxa"/>
            <w:vAlign w:val="bottom"/>
            <w:shd w:val="clear" w:color="auto" w:fill="CFF0FC"/>
          </w:tcPr>
          <w:p>
            <w:pPr>
              <w:spacing w:after="0"/>
              <w:rPr>
                <w:sz w:val="13"/>
                <w:szCs w:val="13"/>
                <w:color w:val="auto"/>
              </w:rPr>
            </w:pPr>
          </w:p>
        </w:tc>
      </w:tr>
      <w:tr>
        <w:trPr>
          <w:trHeight w:val="15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net of taxes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r>
      <w:tr>
        <w:trPr>
          <w:trHeight w:val="15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(2,005)</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(2,005)</w:t>
            </w: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Balance at November 3, 2018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309,338</w:t>
            </w:r>
          </w:p>
        </w:tc>
        <w:tc>
          <w:tcPr>
            <w:tcW w:w="240" w:type="dxa"/>
            <w:vAlign w:val="bottom"/>
          </w:tcPr>
          <w:p>
            <w:pPr>
              <w:spacing w:after="0"/>
              <w:rPr>
                <w:sz w:val="13"/>
                <w:szCs w:val="13"/>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(12,755)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(92,658)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(145,585)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(6,086)</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65,631</w:t>
            </w:r>
          </w:p>
        </w:tc>
        <w:tc>
          <w:tcPr>
            <w:tcW w:w="60" w:type="dxa"/>
            <w:vAlign w:val="bottom"/>
          </w:tcPr>
          <w:p>
            <w:pPr>
              <w:spacing w:after="0"/>
              <w:rPr>
                <w:sz w:val="13"/>
                <w:szCs w:val="13"/>
                <w:color w:val="auto"/>
              </w:rPr>
            </w:pPr>
          </w:p>
        </w:tc>
      </w:tr>
      <w:tr>
        <w:trPr>
          <w:trHeight w:val="27"/>
        </w:trPr>
        <w:tc>
          <w:tcPr>
            <w:tcW w:w="4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November 2, 2019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w w:val="96"/>
              </w:rPr>
              <w:t>For the Nine Months Ended</w:t>
            </w: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0"/>
                <w:szCs w:val="10"/>
                <w:color w:val="auto"/>
                <w:w w:val="96"/>
              </w:rPr>
              <w:t>November 3, 2018</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(Fiscal 2019)</w:t>
            </w: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(Fiscal 2018)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1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(10,233)</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(6,300)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Adjustments to reconcile net loss to net cash used for operating activities:</w:t>
            </w: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Recognition of accumulated foreign currency translation adjustment</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Amortization of deferred gain on sale-leaseback</w:t>
            </w: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(1,099)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deferred debt issuance costs</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Write-off of deferred debt issuance costs</w:t>
            </w: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18,877</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Stock compensation expense</w:t>
            </w:r>
          </w:p>
        </w:tc>
        <w:tc>
          <w:tcPr>
            <w:tcW w:w="11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1,422</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Board of directors stock compensation</w:t>
            </w:r>
          </w:p>
        </w:tc>
        <w:tc>
          <w:tcPr>
            <w:tcW w:w="1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Accounts receivable</w:t>
            </w: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Inventories</w:t>
            </w:r>
          </w:p>
        </w:tc>
        <w:tc>
          <w:tcPr>
            <w:tcW w:w="11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(13,374)</w:t>
            </w:r>
          </w:p>
        </w:tc>
        <w:tc>
          <w:tcPr>
            <w:tcW w:w="4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(13,039)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(100)</w:t>
            </w:r>
          </w:p>
        </w:tc>
        <w:tc>
          <w:tcPr>
            <w:tcW w:w="4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(1,348)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assets</w:t>
            </w:r>
          </w:p>
        </w:tc>
        <w:tc>
          <w:tcPr>
            <w:tcW w:w="11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(352)</w:t>
            </w:r>
          </w:p>
        </w:tc>
        <w:tc>
          <w:tcPr>
            <w:tcW w:w="4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(7,380)</w:t>
            </w:r>
          </w:p>
        </w:tc>
        <w:tc>
          <w:tcPr>
            <w:tcW w:w="4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(4,270)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Operating leases, net</w:t>
            </w:r>
          </w:p>
        </w:tc>
        <w:tc>
          <w:tcPr>
            <w:tcW w:w="11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(2,992)</w:t>
            </w:r>
          </w:p>
        </w:tc>
        <w:tc>
          <w:tcPr>
            <w:tcW w:w="42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Deferred rent and lease incentives</w:t>
            </w: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(2,780)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11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(2,138)</w:t>
            </w:r>
          </w:p>
        </w:tc>
        <w:tc>
          <w:tcPr>
            <w:tcW w:w="4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used for operating activities</w:t>
            </w:r>
          </w:p>
        </w:tc>
        <w:tc>
          <w:tcPr>
            <w:tcW w:w="11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(14,404)</w:t>
            </w:r>
          </w:p>
        </w:tc>
        <w:tc>
          <w:tcPr>
            <w:tcW w:w="28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spacing w:after="0"/>
              <w:rPr>
                <w:sz w:val="11"/>
                <w:szCs w:val="1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Additions to property and equipment, net</w:t>
            </w:r>
          </w:p>
        </w:tc>
        <w:tc>
          <w:tcPr>
            <w:tcW w:w="11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(10,973)</w:t>
            </w:r>
          </w:p>
        </w:tc>
        <w:tc>
          <w:tcPr>
            <w:tcW w:w="4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(9,842)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used for investing activities</w:t>
            </w:r>
          </w:p>
        </w:tc>
        <w:tc>
          <w:tcPr>
            <w:tcW w:w="11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(10,973)</w:t>
            </w:r>
          </w:p>
        </w:tc>
        <w:tc>
          <w:tcPr>
            <w:tcW w:w="28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spacing w:after="0"/>
              <w:rPr>
                <w:sz w:val="11"/>
                <w:szCs w:val="1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(9,842)</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7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Costs associated with new credit facility</w:t>
            </w:r>
          </w:p>
        </w:tc>
        <w:tc>
          <w:tcPr>
            <w:tcW w:w="11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Proceeds from the issuance of long-term debt</w:t>
            </w: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Principal payments on long-term debt</w:t>
            </w:r>
          </w:p>
        </w:tc>
        <w:tc>
          <w:tcPr>
            <w:tcW w:w="11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(12,251)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borrowings under credit facility</w:t>
            </w: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26,215</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Tax withholdings paid related to net share settlements of RSUs</w:t>
            </w:r>
          </w:p>
        </w:tc>
        <w:tc>
          <w:tcPr>
            <w:tcW w:w="11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(244)</w:t>
            </w:r>
          </w:p>
        </w:tc>
        <w:tc>
          <w:tcPr>
            <w:tcW w:w="4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11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25,971</w:t>
            </w:r>
          </w:p>
        </w:tc>
        <w:tc>
          <w:tcPr>
            <w:tcW w:w="28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spacing w:after="0"/>
              <w:rPr>
                <w:sz w:val="11"/>
                <w:szCs w:val="1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12,129</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1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1"/>
                <w:szCs w:val="11"/>
                <w:color w:val="auto"/>
              </w:rPr>
              <w:t>Beginning of period</w:t>
            </w:r>
          </w:p>
        </w:tc>
        <w:tc>
          <w:tcPr>
            <w:tcW w:w="1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4,868</w:t>
            </w:r>
          </w:p>
        </w:tc>
        <w:tc>
          <w:tcPr>
            <w:tcW w:w="28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End of period</w:t>
            </w:r>
          </w:p>
        </w:tc>
        <w:tc>
          <w:tcPr>
            <w:tcW w:w="1180" w:type="dxa"/>
            <w:vAlign w:val="bottom"/>
            <w:tcBorders>
              <w:bottom w:val="single" w:sz="8" w:color="auto"/>
            </w:tcBorders>
            <w:shd w:val="clear" w:color="auto" w:fill="CFF0FC"/>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5,462</w:t>
            </w:r>
          </w:p>
        </w:tc>
        <w:tc>
          <w:tcPr>
            <w:tcW w:w="2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w:t>
      </w:r>
    </w:p>
    <w:p>
      <w:pPr>
        <w:spacing w:after="0" w:line="1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2019 included in the Company’s Annual Report on Form 10-K, which was filed with the Securities and Exchange Commission on March 22, 2019.</w:t>
      </w:r>
    </w:p>
    <w:p>
      <w:pPr>
        <w:spacing w:after="0" w:line="1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fiscal year is a 52- or 53- week period ending on the Saturday closest to January 31. Fiscal 2019 and fiscal 2018 are 52-week periods ending on February 1, 2020 and February 2, 2019,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The Company has historically had two principal operating segments: its stores and direct businesses. The Company considers these two operating segments to be similar in terms of economic characteristics, production processes and operations, and has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at November 2, 2019, its operating results are aggregated with the retail segment for all periods.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Intangibles</w:t>
      </w:r>
    </w:p>
    <w:p>
      <w:pPr>
        <w:spacing w:after="0" w:line="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color w:val="auto"/>
        </w:rPr>
        <w:t>In the fourth quarter of fiscal 2018, the Company purchased the rights to the domain name “dxl.com.” The domain name has a carrying value of $1.2 million and is considered an indefinite-lived asset. During the first nine months ended November 2, 2019, no event or circumstance occurred which would cause a reduction in the fair value of this intangible asset.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color w:val="auto"/>
        </w:rPr>
        <w:t>ASC Topic 825, Financial Instruments, requires disclosure of the fair value of certain financial instruments. ASC Topic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defines fair value, establishes a framework for measuring fair value and enhances disclosures about fair value measurements.</w:t>
      </w:r>
    </w:p>
    <w:p>
      <w:pPr>
        <w:spacing w:after="0" w:line="1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Level 1 – Quoted prices in active markets for identical assets or liabilities.</w:t>
      </w:r>
    </w:p>
    <w:p>
      <w:pPr>
        <w:spacing w:after="0" w:line="79"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 w:name="page9"/>
    <w:bookmarkEnd w:id="8"/>
    <w:p>
      <w:pPr>
        <w:ind w:right="340"/>
        <w:spacing w:after="0" w:line="286" w:lineRule="auto"/>
        <w:rPr>
          <w:sz w:val="20"/>
          <w:szCs w:val="20"/>
          <w:color w:val="auto"/>
        </w:rPr>
      </w:pPr>
      <w:r>
        <w:rPr>
          <w:rFonts w:ascii="Times New Roman" w:cs="Times New Roman" w:eastAsia="Times New Roman" w:hAnsi="Times New Roman"/>
          <w:sz w:val="12"/>
          <w:szCs w:val="12"/>
          <w:color w:val="auto"/>
        </w:rPr>
        <w:t>The fair value of long-term debt is classified within Level 2 of the valuation hierarchy. At November 2, 2019, the fair value approximated the carrying amount based upon terms available to the Company for borrowings with similar arrangements and remaining maturities.</w:t>
      </w:r>
    </w:p>
    <w:p>
      <w:pPr>
        <w:spacing w:after="0" w:line="1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fair value of the “dxl.com” domain name, an indefinite-lived asset, is measured on a non-recurring basis in connection with the Company’s annual impairment test. The fair value of the domain name was determined to approximate carrying value, due to its recent acquisition in the fourth quarter of fiscal 2018, and is classified within Level 3 of the valuation hierarchy. See Intangibles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Accumulated Other Comprehensive Income (Loss) - (“AOCI”)</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comprehensive income (loss) includes amounts related to foreign currency and pension plans and is reported in the Consolidated Statements of Comprehensive Income (Loss). Other comprehensive income and reclassifications from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AOCI for the three and nine months ended November 2, 2019 and November 3, 2018, respectively,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For the three months ended:</w:t>
            </w:r>
          </w:p>
        </w:tc>
        <w:tc>
          <w:tcPr>
            <w:tcW w:w="9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0"/>
                <w:szCs w:val="10"/>
                <w:color w:val="auto"/>
                <w:w w:val="96"/>
              </w:rPr>
              <w:t>November 2, 2019</w:t>
            </w: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November 3, 2018</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color w:val="auto"/>
                <w:w w:val="94"/>
              </w:rPr>
              <w:t>Pension</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color w:val="auto"/>
                <w:w w:val="96"/>
              </w:rPr>
              <w:t>Foreign</w:t>
            </w:r>
          </w:p>
        </w:tc>
        <w:tc>
          <w:tcPr>
            <w:tcW w:w="20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color w:val="auto"/>
                <w:w w:val="94"/>
              </w:rPr>
              <w:t>Pension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color w:val="auto"/>
                <w:w w:val="96"/>
              </w:rPr>
              <w:t>Foreign</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Balance at beginning of the quarter</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Plans</w:t>
            </w:r>
          </w:p>
        </w:tc>
        <w:tc>
          <w:tcPr>
            <w:tcW w:w="140" w:type="dxa"/>
            <w:vAlign w:val="bottom"/>
          </w:tcPr>
          <w:p>
            <w:pPr>
              <w:spacing w:after="0"/>
              <w:rPr>
                <w:sz w:val="9"/>
                <w:szCs w:val="9"/>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6"/>
              </w:rPr>
              <w:t>Currency</w:t>
            </w:r>
          </w:p>
        </w:tc>
        <w:tc>
          <w:tcPr>
            <w:tcW w:w="200" w:type="dxa"/>
            <w:vAlign w:val="bottom"/>
          </w:tcPr>
          <w:p>
            <w:pPr>
              <w:spacing w:after="0"/>
              <w:rPr>
                <w:sz w:val="9"/>
                <w:szCs w:val="9"/>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Total</w:t>
            </w:r>
          </w:p>
        </w:tc>
        <w:tc>
          <w:tcPr>
            <w:tcW w:w="2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rPr>
              <w:t>Plans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w w:val="96"/>
              </w:rPr>
              <w:t>Currency</w:t>
            </w:r>
          </w:p>
        </w:tc>
        <w:tc>
          <w:tcPr>
            <w:tcW w:w="180" w:type="dxa"/>
            <w:vAlign w:val="bottom"/>
          </w:tcPr>
          <w:p>
            <w:pPr>
              <w:spacing w:after="0"/>
              <w:rPr>
                <w:sz w:val="9"/>
                <w:szCs w:val="9"/>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43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(5,229)</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(5,955)</w:t>
            </w:r>
          </w:p>
        </w:tc>
        <w:tc>
          <w:tcPr>
            <w:tcW w:w="24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24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reclassifications, net of taxes</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Recognition of accumulated foreign currency translation adjustment </w:t>
            </w:r>
            <w:r>
              <w:rPr>
                <w:rFonts w:ascii="Times New Roman" w:cs="Times New Roman" w:eastAsia="Times New Roman" w:hAnsi="Times New Roman"/>
                <w:sz w:val="10"/>
                <w:szCs w:val="10"/>
                <w:color w:val="auto"/>
              </w:rPr>
              <w:t>(1)</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comprehensive income, net of taxes </w:t>
            </w:r>
            <w:r>
              <w:rPr>
                <w:rFonts w:ascii="Times New Roman" w:cs="Times New Roman" w:eastAsia="Times New Roman" w:hAnsi="Times New Roman"/>
                <w:sz w:val="10"/>
                <w:szCs w:val="10"/>
                <w:color w:val="auto"/>
              </w:rPr>
              <w:t>(2)</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36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for the period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end of quarter</w:t>
            </w:r>
          </w:p>
        </w:tc>
        <w:tc>
          <w:tcPr>
            <w:tcW w:w="94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(5,084)</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For the nine months ended:</w:t>
            </w: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0"/>
                <w:szCs w:val="10"/>
                <w:color w:val="auto"/>
                <w:w w:val="96"/>
              </w:rPr>
              <w:t>November 2, 2019</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6"/>
              </w:rPr>
              <w:t>November 3, 2018</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color w:val="auto"/>
                <w:w w:val="94"/>
              </w:rPr>
              <w:t>Pension</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color w:val="auto"/>
                <w:w w:val="96"/>
              </w:rPr>
              <w:t>Foreign</w:t>
            </w:r>
          </w:p>
        </w:tc>
        <w:tc>
          <w:tcPr>
            <w:tcW w:w="20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color w:val="auto"/>
                <w:w w:val="94"/>
              </w:rPr>
              <w:t>Pension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color w:val="auto"/>
                <w:w w:val="96"/>
              </w:rPr>
              <w:t>Foreign</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Balance at beginning of fiscal year</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Plans</w:t>
            </w:r>
          </w:p>
        </w:tc>
        <w:tc>
          <w:tcPr>
            <w:tcW w:w="140" w:type="dxa"/>
            <w:vAlign w:val="bottom"/>
          </w:tcPr>
          <w:p>
            <w:pPr>
              <w:spacing w:after="0"/>
              <w:rPr>
                <w:sz w:val="9"/>
                <w:szCs w:val="9"/>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6"/>
              </w:rPr>
              <w:t>Currency</w:t>
            </w:r>
          </w:p>
        </w:tc>
        <w:tc>
          <w:tcPr>
            <w:tcW w:w="200" w:type="dxa"/>
            <w:vAlign w:val="bottom"/>
          </w:tcPr>
          <w:p>
            <w:pPr>
              <w:spacing w:after="0"/>
              <w:rPr>
                <w:sz w:val="9"/>
                <w:szCs w:val="9"/>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Total</w:t>
            </w:r>
          </w:p>
        </w:tc>
        <w:tc>
          <w:tcPr>
            <w:tcW w:w="2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rPr>
              <w:t>Plans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w w:val="96"/>
              </w:rPr>
              <w:t>Currency</w:t>
            </w:r>
          </w:p>
        </w:tc>
        <w:tc>
          <w:tcPr>
            <w:tcW w:w="180" w:type="dxa"/>
            <w:vAlign w:val="bottom"/>
          </w:tcPr>
          <w:p>
            <w:pPr>
              <w:spacing w:after="0"/>
              <w:rPr>
                <w:sz w:val="9"/>
                <w:szCs w:val="9"/>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43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(6,183)</w:t>
            </w:r>
          </w:p>
        </w:tc>
        <w:tc>
          <w:tcPr>
            <w:tcW w:w="24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24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reclassifications, net of taxes</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(81)</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(210)</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Recognition of accumulated foreign currency translation adjustment </w:t>
            </w:r>
            <w:r>
              <w:rPr>
                <w:rFonts w:ascii="Times New Roman" w:cs="Times New Roman" w:eastAsia="Times New Roman" w:hAnsi="Times New Roman"/>
                <w:sz w:val="10"/>
                <w:szCs w:val="10"/>
                <w:color w:val="auto"/>
              </w:rPr>
              <w:t>(1)</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comprehensive income, net of taxes </w:t>
            </w:r>
            <w:r>
              <w:rPr>
                <w:rFonts w:ascii="Times New Roman" w:cs="Times New Roman" w:eastAsia="Times New Roman" w:hAnsi="Times New Roman"/>
                <w:sz w:val="10"/>
                <w:szCs w:val="10"/>
                <w:color w:val="auto"/>
              </w:rPr>
              <w:t>(2)</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36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for the period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spacing w:after="0"/>
              <w:rPr>
                <w:sz w:val="13"/>
                <w:szCs w:val="13"/>
                <w:color w:val="auto"/>
              </w:rPr>
            </w:pPr>
          </w:p>
        </w:tc>
        <w:tc>
          <w:tcPr>
            <w:tcW w:w="88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spacing w:after="0"/>
              <w:rPr>
                <w:sz w:val="13"/>
                <w:szCs w:val="13"/>
                <w:color w:val="auto"/>
              </w:rPr>
            </w:pPr>
          </w:p>
        </w:tc>
        <w:tc>
          <w:tcPr>
            <w:tcW w:w="240" w:type="dxa"/>
            <w:vAlign w:val="bottom"/>
            <w:gridSpan w:val="2"/>
            <w:shd w:val="clear" w:color="auto" w:fill="CFF0FC"/>
          </w:tcPr>
          <w:p>
            <w:pPr>
              <w:spacing w:after="0"/>
              <w:rPr>
                <w:sz w:val="13"/>
                <w:szCs w:val="13"/>
                <w:color w:val="auto"/>
              </w:rPr>
            </w:pPr>
          </w:p>
        </w:tc>
        <w:tc>
          <w:tcPr>
            <w:tcW w:w="900" w:type="dxa"/>
            <w:vAlign w:val="bottom"/>
            <w:gridSpan w:val="2"/>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end of quarter</w:t>
            </w:r>
          </w:p>
        </w:tc>
        <w:tc>
          <w:tcPr>
            <w:tcW w:w="9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(5,084)</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760" w:right="380" w:hanging="387"/>
        <w:spacing w:after="0" w:line="286" w:lineRule="auto"/>
        <w:tabs>
          <w:tab w:leader="none" w:pos="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Company’s closing its Rochester Clothing store in London, England and exiting its London operations, the Company recognized the accumulated foreign currency translation adjustment as an expense and it has been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2"/>
          <w:szCs w:val="12"/>
          <w:color w:val="auto"/>
        </w:rPr>
        <w:t>included in “Exit costs associated with London operations” on the Consolidated Statement of Operations for the three and nine months ended November 2, 2019.</w:t>
      </w:r>
    </w:p>
    <w:p>
      <w:pPr>
        <w:spacing w:after="0" w:line="107" w:lineRule="exact"/>
        <w:rPr>
          <w:sz w:val="20"/>
          <w:szCs w:val="20"/>
          <w:color w:val="auto"/>
        </w:rPr>
      </w:pPr>
    </w:p>
    <w:p>
      <w:pPr>
        <w:ind w:left="760" w:right="280" w:hanging="387"/>
        <w:spacing w:after="0" w:line="269" w:lineRule="auto"/>
        <w:tabs>
          <w:tab w:leader="none" w:pos="7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$160,000 and $87,000 for the three months ended November 2, 2019 and November 3, 2018, respectively, and $481,000 and $264,000 for the nine months ended November 2, 2019 and November 3, 2018,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 In the first quarter of fiscal 2019, the Company granted performance stock units with a market condition. See Note 6 for disclosure concerning the assumptions and valuation method used to determine the fair value of the award and the associated derived service period over which the associated stock compensation will be recognized.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5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material impairment of long-lived assets in the first nine months of fiscal 2019 or fiscal 2018.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Adopted Accounting Pronouncements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In February 2016, the FASB issued ASU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This ASU is a comprehensive new standard that amends various aspects of existing guidance for leases and requires additional disclosures about leasing arrangements. It requires lessees to recognize lease assets and lease liabilities for most leases, including those leases previously classified as operating leases under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ASU 2016-02 requires a modified retrospective transition for financing or operating leases existing at or entered into after the beginning of the earliest comparative period presented in the financial statements. In July 2018, the FASB issued ASU 2018-11 “</w:t>
      </w:r>
      <w:r>
        <w:rPr>
          <w:rFonts w:ascii="Times New Roman" w:cs="Times New Roman" w:eastAsia="Times New Roman" w:hAnsi="Times New Roman"/>
          <w:sz w:val="12"/>
          <w:szCs w:val="12"/>
          <w:i w:val="1"/>
          <w:iCs w:val="1"/>
          <w:color w:val="auto"/>
        </w:rPr>
        <w:t>Leases (Topic 842): Targeted Improvements</w:t>
      </w:r>
      <w:r>
        <w:rPr>
          <w:rFonts w:ascii="Times New Roman" w:cs="Times New Roman" w:eastAsia="Times New Roman" w:hAnsi="Times New Roman"/>
          <w:sz w:val="12"/>
          <w:szCs w:val="12"/>
          <w:color w:val="auto"/>
        </w:rPr>
        <w:t>” that allows entities to recognize a cumulative-effect adjustment to the opening balance of retained earnings in the period of adoption without adjustment to the financial statements for periods prior to adoption.</w:t>
      </w:r>
    </w:p>
    <w:p>
      <w:pPr>
        <w:spacing w:after="0" w:line="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The Company adopted ASU 2016-02 on February 3, 2019 on a modified retrospective basis and applied the new standard to all leases through a cumulative-effect adjustment to beginning accumulated deficit. As a result, comparative financial information has not been restated and continues to be reported under the accounting standards in effect for the respective periods.</w:t>
      </w:r>
    </w:p>
    <w:p>
      <w:pPr>
        <w:spacing w:after="0" w:line="3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On February 3, 2019, the Company recognized leases, primarily related to its stores and corporate headquarters, on its Consolidated Balance Sheet, as right-of use assets of $214.1 million with corresponding lease liabilities of $254.5 million and eliminated certain existing lease-related asset and liabilities as a net adjustment to the right-of-use assets. In connection with this adoption, the Company recorded a transition adjustment, which was a net credit of $5.3 million to opening accumulated deficit. This adjustment reflected the net of (i) the recognition of the Company’s deferred gain from a sale-leaseback of $10.3 million, (ii) the write-off of initial direct costs of $1.2 million and (iii) the recognition of impairments, upon adoption, on certain right-of-use assets totaling $3.8 million. The new standard had a material impact on the Consolidated Balance Sheet as a result of the recognition of the right-of-use assets, the corresponding lease obligations and the net credit to accumulated deficit of $5.3 million. Because the Company recognized the outstanding deferred gain from a sale-leaseback of $10.3 million, with the adoption of the new standard, results of operations will not have the future benefit of approximately $1.5 million, which was the annual amortization being recognized over the initial 20-year term of the sale-leaseback of the Company’s corporate office. The adoption of the new standard had no material impact on Consolidated Statement of Cash Flows.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color w:val="auto"/>
        </w:rPr>
        <w:t>The following is a discussion of the Company’s lease policy under the new lease accounting standard:</w:t>
      </w:r>
    </w:p>
    <w:p>
      <w:pPr>
        <w:spacing w:after="0" w:line="15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2"/>
          <w:szCs w:val="12"/>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 and distribution center lease, which was entered into in 2006 and was for an initial 20-year term. At the end of the initial term, the Company will have the opportunity to extend this lease for six additional successive periods of five years.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ASU 842 will not be applied to certain, if any, non-store leases, with a term of 12 months or less, recognizing those lease payments on a straight-line basis over the lease term.</w:t>
      </w:r>
    </w:p>
    <w:p>
      <w:pPr>
        <w:spacing w:after="0" w:line="12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fixed lease payment that includes real estate taxes, common area maintenance and insurance. These fixed payments are considered part of the lease payment and included in the right-of-use assets and lease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4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additional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August 2018, the FASB issued ASU 2018-13, “</w:t>
      </w:r>
      <w:r>
        <w:rPr>
          <w:rFonts w:ascii="Times New Roman" w:cs="Times New Roman" w:eastAsia="Times New Roman" w:hAnsi="Times New Roman"/>
          <w:sz w:val="12"/>
          <w:szCs w:val="12"/>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The amendments are effective for all entities for fiscal years, and interim periods within those fiscal years, beginning after December 15, 2019. The Company is currently evaluating the impact this pronouncement will have on its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other new accounting pronouncements, issued or effective during the first nine months of fiscal 2019, have had or are expected to have a significant impact on the Company’s Consolidated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Revenue Recognition</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212121"/>
        </w:rPr>
        <w:t xml:space="preserve">The Company operates as a retailer of big and tall men’s clothing, which includes stores, direct and wholesale. </w:t>
      </w:r>
      <w:r>
        <w:rPr>
          <w:rFonts w:ascii="Times New Roman" w:cs="Times New Roman" w:eastAsia="Times New Roman" w:hAnsi="Times New Roman"/>
          <w:sz w:val="12"/>
          <w:szCs w:val="12"/>
          <w:color w:val="000000"/>
        </w:rPr>
        <w:t>Revenue is recognized by the operating segment that initiates a customer’s order. Store sales are defined as sales that</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Times New Roman" w:cs="Times New Roman" w:eastAsia="Times New Roman" w:hAnsi="Times New Roman"/>
          <w:sz w:val="12"/>
          <w:szCs w:val="12"/>
          <w:color w:val="212121"/>
        </w:rPr>
        <w:t>Generally, all revenues are recognized when control of the promised goods is transferred to customers, in an amount that reflects the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12121"/>
        </w:rPr>
        <w:t xml:space="preserve">consideration in exchange for those goods. </w:t>
      </w:r>
      <w:r>
        <w:rPr>
          <w:rFonts w:ascii="Times New Roman" w:cs="Times New Roman" w:eastAsia="Times New Roman" w:hAnsi="Times New Roman"/>
          <w:sz w:val="12"/>
          <w:szCs w:val="12"/>
          <w:color w:val="000000"/>
        </w:rPr>
        <w:t>Sales tax collected from customers and remitted to taxing authorities is excluded from revenue and is included as part of accrued expenses on the Consolidated Balance Sheets.</w:t>
      </w:r>
    </w:p>
    <w:p>
      <w:pPr>
        <w:spacing w:after="0" w:line="47" w:lineRule="exact"/>
        <w:rPr>
          <w:sz w:val="20"/>
          <w:szCs w:val="20"/>
          <w:color w:val="auto"/>
        </w:rPr>
      </w:pPr>
    </w:p>
    <w:p>
      <w:pPr>
        <w:ind w:left="760" w:hanging="387"/>
        <w:spacing w:after="0"/>
        <w:tabs>
          <w:tab w:leader="none" w:pos="760" w:val="left"/>
        </w:tabs>
        <w:numPr>
          <w:ilvl w:val="0"/>
          <w:numId w:val="4"/>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store operations is recorded upon purchase of merchandise by customers, net of an allowance for sales returns, which is estimated based upon historical experience.</w:t>
      </w:r>
    </w:p>
    <w:p>
      <w:pPr>
        <w:spacing w:after="0" w:line="78" w:lineRule="exact"/>
        <w:rPr>
          <w:rFonts w:ascii="Arial" w:cs="Arial" w:eastAsia="Arial" w:hAnsi="Arial"/>
          <w:sz w:val="12"/>
          <w:szCs w:val="12"/>
          <w:color w:val="212121"/>
        </w:rPr>
      </w:pPr>
    </w:p>
    <w:p>
      <w:pPr>
        <w:ind w:left="760" w:hanging="387"/>
        <w:spacing w:after="0"/>
        <w:tabs>
          <w:tab w:leader="none" w:pos="760" w:val="left"/>
        </w:tabs>
        <w:numPr>
          <w:ilvl w:val="0"/>
          <w:numId w:val="4"/>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direct operations is recognized at the time a customer order is delivered, net of an allowance for sales returns, which is estimated based upon historical experience.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11" w:name="page12"/>
    <w:bookmarkEnd w:id="11"/>
    <w:p>
      <w:pPr>
        <w:ind w:left="760" w:right="120" w:hanging="387"/>
        <w:spacing w:after="0" w:line="285" w:lineRule="auto"/>
        <w:tabs>
          <w:tab w:leader="none" w:pos="760" w:val="left"/>
        </w:tabs>
        <w:numPr>
          <w:ilvl w:val="0"/>
          <w:numId w:val="5"/>
        </w:numPr>
        <w:rPr>
          <w:rFonts w:ascii="Arial" w:cs="Arial" w:eastAsia="Arial" w:hAnsi="Arial"/>
          <w:sz w:val="12"/>
          <w:szCs w:val="12"/>
          <w:color w:val="212121"/>
        </w:rPr>
      </w:pPr>
      <w:r>
        <w:rPr>
          <w:rFonts w:ascii="Times New Roman" w:cs="Times New Roman" w:eastAsia="Times New Roman" w:hAnsi="Times New Roman"/>
          <w:sz w:val="12"/>
          <w:szCs w:val="12"/>
          <w:color w:val="auto"/>
        </w:rPr>
        <w:t>Revenue from the Company’s wholesale operations is recognized at the time the wholesale customer takes physical receipt of the merchandise, net of any identified discounts in accordance with each individual order. An allowance for chargebacks will be established once the Company has sufficient historical experience. For the first nine months of fiscal 2019 and fiscal 2018, chargebacks were immaterial.</w:t>
      </w:r>
    </w:p>
    <w:p>
      <w:pPr>
        <w:spacing w:after="0" w:line="3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2"/>
          <w:szCs w:val="12"/>
          <w:i w:val="1"/>
          <w:iCs w:val="1"/>
          <w:color w:val="auto"/>
        </w:rPr>
        <w:t xml:space="preserve">Unredeemed Gift Cards, Gift Certificates, and Credit Vouchers. </w:t>
      </w:r>
      <w:r>
        <w:rPr>
          <w:rFonts w:ascii="Times New Roman" w:cs="Times New Roman" w:eastAsia="Times New Roman" w:hAnsi="Times New Roman"/>
          <w:sz w:val="12"/>
          <w:szCs w:val="12"/>
          <w:color w:val="auto"/>
        </w:rPr>
        <w:t>Upon issuance of a gift card, gift certificate, or credit voucher, a liability is established for its cash value. The liability is relieved and net sales are recorded upon redemption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$2.1 million and $2.4 million at November 2, 2019 and February 2, 2019, respectively.</w:t>
      </w:r>
    </w:p>
    <w:p>
      <w:pPr>
        <w:spacing w:after="0" w:line="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i w:val="1"/>
          <w:iCs w:val="1"/>
          <w:color w:val="auto"/>
        </w:rPr>
        <w:t xml:space="preserve">Unredeemed Loyalty Coupons. </w:t>
      </w:r>
      <w:r>
        <w:rPr>
          <w:rFonts w:ascii="Times New Roman" w:cs="Times New Roman" w:eastAsia="Times New Roman" w:hAnsi="Times New Roman"/>
          <w:sz w:val="12"/>
          <w:szCs w:val="12"/>
          <w:color w:val="auto"/>
        </w:rPr>
        <w:t>The Company offers a free loyalty program to its customers for which points accumulate based on the purchase of merchandise. Over 90% of the Company’s customers participate in the loyalty program.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Under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$1.3 million and $1.0 million at November 2, 2019 and February 2, 2019, respectively.</w:t>
      </w:r>
    </w:p>
    <w:p>
      <w:pPr>
        <w:spacing w:after="0" w:line="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i w:val="1"/>
          <w:iCs w:val="1"/>
          <w:color w:val="auto"/>
        </w:rPr>
        <w:t xml:space="preserve">Shipping. </w:t>
      </w:r>
      <w:r>
        <w:rPr>
          <w:rFonts w:ascii="Times New Roman" w:cs="Times New Roman" w:eastAsia="Times New Roman" w:hAnsi="Times New Roman"/>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related costs are recorded in cost of goods sold, including occupancy costs, in the Consolidated Statements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212121"/>
        </w:rPr>
        <w:t>Disaggregation of Revenue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212121"/>
        </w:rPr>
        <w:t xml:space="preserve">As noted above under </w:t>
      </w:r>
      <w:r>
        <w:rPr>
          <w:rFonts w:ascii="Times New Roman" w:cs="Times New Roman" w:eastAsia="Times New Roman" w:hAnsi="Times New Roman"/>
          <w:sz w:val="12"/>
          <w:szCs w:val="12"/>
          <w:i w:val="1"/>
          <w:iCs w:val="1"/>
          <w:color w:val="212121"/>
        </w:rPr>
        <w:t>Segment Information</w:t>
      </w:r>
      <w:r>
        <w:rPr>
          <w:rFonts w:ascii="Times New Roman" w:cs="Times New Roman" w:eastAsia="Times New Roman" w:hAnsi="Times New Roman"/>
          <w:sz w:val="12"/>
          <w:szCs w:val="12"/>
          <w:color w:val="212121"/>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for the first nine months of fiscal 2019, but the revenues are separately reported below. Accordingly, the Company has determined that the following sales channels depict the nature, amount, timing, and uncertainty of how revenue and cash flows are affected by economic factors: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ind w:right="103"/>
              <w:spacing w:after="0"/>
              <w:rPr>
                <w:sz w:val="20"/>
                <w:szCs w:val="20"/>
                <w:color w:val="auto"/>
              </w:rPr>
            </w:pPr>
            <w:r>
              <w:rPr>
                <w:rFonts w:ascii="Times New Roman" w:cs="Times New Roman" w:eastAsia="Times New Roman" w:hAnsi="Times New Roman"/>
                <w:sz w:val="12"/>
                <w:szCs w:val="12"/>
                <w:color w:val="auto"/>
              </w:rPr>
              <w:t>For the three months ended</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right"/>
              <w:ind w:right="880"/>
              <w:spacing w:after="0"/>
              <w:rPr>
                <w:sz w:val="20"/>
                <w:szCs w:val="20"/>
                <w:color w:val="auto"/>
              </w:rPr>
            </w:pPr>
            <w:r>
              <w:rPr>
                <w:rFonts w:ascii="Times New Roman" w:cs="Times New Roman" w:eastAsia="Times New Roman" w:hAnsi="Times New Roman"/>
                <w:sz w:val="12"/>
                <w:szCs w:val="12"/>
                <w:color w:val="auto"/>
              </w:rPr>
              <w:t>For the nine months ended</w:t>
            </w:r>
          </w:p>
        </w:tc>
        <w:tc>
          <w:tcPr>
            <w:tcW w:w="1220" w:type="dxa"/>
            <w:vAlign w:val="bottom"/>
          </w:tcPr>
          <w:p>
            <w:pPr>
              <w:spacing w:after="0"/>
              <w:rPr>
                <w:sz w:val="13"/>
                <w:szCs w:val="13"/>
                <w:color w:val="auto"/>
              </w:rPr>
            </w:pPr>
          </w:p>
        </w:tc>
      </w:tr>
      <w:tr>
        <w:trPr>
          <w:trHeight w:val="158"/>
        </w:trPr>
        <w:tc>
          <w:tcPr>
            <w:tcW w:w="358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November 2, 2019</w:t>
            </w:r>
          </w:p>
        </w:tc>
        <w:tc>
          <w:tcPr>
            <w:tcW w:w="7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November 3, 2018</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November 2, 2019</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November 3, 2018</w:t>
            </w:r>
          </w:p>
        </w:tc>
        <w:tc>
          <w:tcPr>
            <w:tcW w:w="122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Store sales</w:t>
            </w:r>
          </w:p>
        </w:tc>
        <w:tc>
          <w:tcPr>
            <w:tcW w:w="94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81,054</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78.1%</w:t>
            </w:r>
          </w:p>
        </w:tc>
        <w:tc>
          <w:tcPr>
            <w:tcW w:w="42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85,106</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79.8%</w:t>
            </w:r>
          </w:p>
        </w:tc>
        <w:tc>
          <w:tcPr>
            <w:tcW w:w="1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262,888</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78.5%</w:t>
            </w:r>
          </w:p>
        </w:tc>
        <w:tc>
          <w:tcPr>
            <w:tcW w:w="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272,413</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79.6%</w:t>
            </w: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Direct sales</w:t>
            </w:r>
          </w:p>
        </w:tc>
        <w:tc>
          <w:tcPr>
            <w:tcW w:w="3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22,676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21.9%</w:t>
            </w:r>
          </w:p>
        </w:tc>
        <w:tc>
          <w:tcPr>
            <w:tcW w:w="4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21,591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20.2%</w:t>
            </w:r>
          </w:p>
        </w:tc>
        <w:tc>
          <w:tcPr>
            <w:tcW w:w="180" w:type="dxa"/>
            <w:vAlign w:val="bottom"/>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71,915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21.5%</w:t>
            </w: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69,772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i w:val="1"/>
                <w:iCs w:val="1"/>
                <w:color w:val="auto"/>
              </w:rPr>
              <w:t>20.4%</w:t>
            </w:r>
          </w:p>
        </w:tc>
      </w:tr>
      <w:tr>
        <w:trPr>
          <w:trHeight w:val="143"/>
        </w:trPr>
        <w:tc>
          <w:tcPr>
            <w:tcW w:w="3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Retail segment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103,730</w:t>
            </w:r>
          </w:p>
        </w:tc>
        <w:tc>
          <w:tcPr>
            <w:tcW w:w="780" w:type="dxa"/>
            <w:vAlign w:val="bottom"/>
          </w:tcPr>
          <w:p>
            <w:pPr>
              <w:spacing w:after="0"/>
              <w:rPr>
                <w:sz w:val="12"/>
                <w:szCs w:val="12"/>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106,697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334,803</w:t>
            </w:r>
          </w:p>
        </w:tc>
        <w:tc>
          <w:tcPr>
            <w:tcW w:w="940" w:type="dxa"/>
            <w:vAlign w:val="bottom"/>
            <w:gridSpan w:val="2"/>
          </w:tcPr>
          <w:p>
            <w:pPr>
              <w:spacing w:after="0"/>
              <w:rPr>
                <w:sz w:val="12"/>
                <w:szCs w:val="12"/>
                <w:color w:val="auto"/>
              </w:rPr>
            </w:pPr>
          </w:p>
        </w:tc>
        <w:tc>
          <w:tcPr>
            <w:tcW w:w="100" w:type="dxa"/>
            <w:vAlign w:val="bottom"/>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342,185</w:t>
            </w:r>
          </w:p>
        </w:tc>
        <w:tc>
          <w:tcPr>
            <w:tcW w:w="12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Wholesale segment</w:t>
            </w:r>
          </w:p>
        </w:tc>
        <w:tc>
          <w:tcPr>
            <w:tcW w:w="3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78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620" w:type="dxa"/>
            <w:vAlign w:val="bottom"/>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7,996</w:t>
            </w:r>
          </w:p>
        </w:tc>
        <w:tc>
          <w:tcPr>
            <w:tcW w:w="9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1220" w:type="dxa"/>
            <w:vAlign w:val="bottom"/>
            <w:shd w:val="clear" w:color="auto" w:fill="CFF0FC"/>
          </w:tcPr>
          <w:p>
            <w:pPr>
              <w:spacing w:after="0"/>
              <w:rPr>
                <w:sz w:val="13"/>
                <w:szCs w:val="13"/>
                <w:color w:val="auto"/>
              </w:rPr>
            </w:pPr>
          </w:p>
        </w:tc>
      </w:tr>
      <w:tr>
        <w:trPr>
          <w:trHeight w:val="150"/>
        </w:trPr>
        <w:tc>
          <w:tcPr>
            <w:tcW w:w="3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Sales</w:t>
            </w: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106,581</w:t>
            </w:r>
          </w:p>
        </w:tc>
        <w:tc>
          <w:tcPr>
            <w:tcW w:w="780" w:type="dxa"/>
            <w:vAlign w:val="bottom"/>
          </w:tcPr>
          <w:p>
            <w:pPr>
              <w:spacing w:after="0"/>
              <w:rPr>
                <w:sz w:val="13"/>
                <w:szCs w:val="13"/>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107,069</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342,799</w:t>
            </w:r>
          </w:p>
        </w:tc>
        <w:tc>
          <w:tcPr>
            <w:tcW w:w="9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342,606</w:t>
            </w:r>
          </w:p>
        </w:tc>
        <w:tc>
          <w:tcPr>
            <w:tcW w:w="1220" w:type="dxa"/>
            <w:vAlign w:val="bottom"/>
          </w:tcPr>
          <w:p>
            <w:pPr>
              <w:spacing w:after="0"/>
              <w:rPr>
                <w:sz w:val="13"/>
                <w:szCs w:val="13"/>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Agreement with Bank of America, N.A.</w:t>
      </w:r>
    </w:p>
    <w:p>
      <w:pPr>
        <w:spacing w:after="0" w:line="1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color w:val="auto"/>
        </w:rPr>
        <w:t>On May 24, 2018, the Company entered into the Seventh Amended and Restated Credit Agreement with Bank of America, N.A., as agent, providing for a secured $140.0 million credit facility. On May 31, 2019, the Credit Facility was amended to expand the definition of its borrowing base to include certain receivables, as defined in the First Amendment. On September 5, 2019, the Company entered into the Second Amendment to the Credit Facility (the “Second Amendment”). The Second Amendment was requested by the Company to improve its Excess Availability over the next two years and impacts only the $15.0 million “first-in, last out” (FILO) term facility (the “FILO loan”), which is discussed below under long-term debt. The Second Amendment also waived a technical occurrence of an Event of Default under the Credit Facility arising from the Company’s disposition of certain immaterial trademark registrations (as amended, the “Credit Facility”)</w:t>
      </w:r>
      <w:r>
        <w:rPr>
          <w:rFonts w:ascii="Times New Roman" w:cs="Times New Roman" w:eastAsia="Times New Roman" w:hAnsi="Times New Roman"/>
          <w:sz w:val="14"/>
          <w:szCs w:val="14"/>
          <w:color w:val="auto"/>
        </w:rPr>
        <w:t>.</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 of credits and up to $15.0 million for swingline loans. The Company’s ability to borrow under the Revolving Facility (the “Loan Cap”) is determined using an availability formula based on eligible assets. Pursuant to the Second Amendment, the Credit Facility requires the Company to maintain a minimum consolidated fixed charge coverage ratio of 1.0:1.0 if its excess availability under the Credit Facility fails to be equal to or greater than the greater of 12.5 % of the Loan Cap and $7.5 million. After May 24, 2021 and through the maturity date, the percentage of the Loan Cap of 12.5% will be reduced to 10%. </w:t>
      </w:r>
      <w:r>
        <w:rPr>
          <w:rFonts w:ascii="Times New Roman" w:cs="Times New Roman" w:eastAsia="Times New Roman" w:hAnsi="Times New Roman"/>
          <w:sz w:val="12"/>
          <w:szCs w:val="12"/>
          <w:color w:val="000033"/>
        </w:rPr>
        <w:t>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000033"/>
        </w:rPr>
        <w:t xml:space="preserve">maturity date of the Credit Facility is May 24, 2023. </w:t>
      </w:r>
      <w:r>
        <w:rPr>
          <w:rFonts w:ascii="Times New Roman" w:cs="Times New Roman" w:eastAsia="Times New Roman" w:hAnsi="Times New Roman"/>
          <w:sz w:val="12"/>
          <w:szCs w:val="12"/>
          <w:color w:val="000000"/>
        </w:rPr>
        <w:t>The Company’s obligations under the Credit Facility are secured by a lien on substantially all of its assets.</w:t>
      </w:r>
    </w:p>
    <w:p>
      <w:pPr>
        <w:spacing w:after="0" w:line="15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2"/>
          <w:szCs w:val="12"/>
          <w:color w:val="auto"/>
        </w:rPr>
        <w:t>At November 2, 2019, the Company had outstanding borrowings under the Revolving Facility of $68.5 million, before unamortized debt issuance costs of $0.3 million. Outstanding standby letters of credit were $2.7 million and outstanding documentary letters of credit were $0.3 million. Unused excess availability at November 2, 2019 was $40.6 million. Average monthly borrowings outstanding under the Revolving Facility during the first nine months of fiscal 2019 were $58.7 million, resulting in an average unused excess availability of approximately $38.5 million. The Company’s ability to borrow under the Revolving Facility was determined using an availability formula based on eligible assets, with increased advance rates based on seasonality.</w:t>
      </w:r>
    </w:p>
    <w:p>
      <w:pPr>
        <w:spacing w:after="0" w:line="12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The Company was also subject to an unused line fee of 0.25%. At November 2, 2019, the Company’s prime-based interest rate was 5.00%. At November 2, 2019, the Company had approximately $65.0 million of its outstanding borrowings in LIBOR-based contracts with an interest rate of 3.06%. The LIBOR-based contracts expired on November 4, 2019. When a LIBOR-based borrowing expires, the borrowings reverted back to prime-based borrowings unless the Company enters into a new LIBOR-based borrowing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 of the amount outstanding under the Revolving Facility at November 2, 2019 approximated the carrying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Long-Term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Long-term debt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62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320" w:type="dxa"/>
            <w:vAlign w:val="bottom"/>
            <w:gridSpan w:val="2"/>
          </w:tcPr>
          <w:p>
            <w:pPr>
              <w:jc w:val="right"/>
              <w:ind w:right="1200"/>
              <w:spacing w:after="0"/>
              <w:rPr>
                <w:sz w:val="20"/>
                <w:szCs w:val="20"/>
                <w:color w:val="auto"/>
              </w:rPr>
            </w:pPr>
            <w:r>
              <w:rPr>
                <w:rFonts w:ascii="Times New Roman" w:cs="Times New Roman" w:eastAsia="Times New Roman" w:hAnsi="Times New Roman"/>
                <w:sz w:val="10"/>
                <w:szCs w:val="10"/>
                <w:color w:val="auto"/>
              </w:rPr>
              <w:t>November 2, 2019</w:t>
            </w:r>
          </w:p>
        </w:tc>
        <w:tc>
          <w:tcPr>
            <w:tcW w:w="400" w:type="dxa"/>
            <w:vAlign w:val="bottom"/>
          </w:tcPr>
          <w:p>
            <w:pPr>
              <w:spacing w:after="0"/>
              <w:rPr>
                <w:sz w:val="10"/>
                <w:szCs w:val="10"/>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0"/>
                <w:szCs w:val="10"/>
                <w:color w:val="auto"/>
              </w:rPr>
              <w:t>February 2, 2019</w:t>
            </w:r>
          </w:p>
        </w:tc>
      </w:tr>
      <w:tr>
        <w:trPr>
          <w:trHeight w:val="143"/>
        </w:trPr>
        <w:tc>
          <w:tcPr>
            <w:tcW w:w="6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FILO Loan</w:t>
            </w:r>
          </w:p>
        </w:tc>
        <w:tc>
          <w:tcPr>
            <w:tcW w:w="20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3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(201)</w:t>
            </w:r>
          </w:p>
        </w:tc>
        <w:tc>
          <w:tcPr>
            <w:tcW w:w="400" w:type="dxa"/>
            <w:vAlign w:val="bottom"/>
          </w:tcPr>
          <w:p>
            <w:pPr>
              <w:spacing w:after="0"/>
              <w:rPr>
                <w:sz w:val="13"/>
                <w:szCs w:val="13"/>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(243)</w:t>
            </w:r>
          </w:p>
        </w:tc>
      </w:tr>
      <w:tr>
        <w:trPr>
          <w:trHeight w:val="143"/>
        </w:trPr>
        <w:tc>
          <w:tcPr>
            <w:tcW w:w="6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long-term debt</w:t>
            </w:r>
          </w:p>
        </w:tc>
        <w:tc>
          <w:tcPr>
            <w:tcW w:w="20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14,799</w:t>
            </w:r>
          </w:p>
        </w:tc>
        <w:tc>
          <w:tcPr>
            <w:tcW w:w="3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14,799</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40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 Second Amendment to the Credit Facility extended these advance rates by approximately a year before they begin to step down. There can be no voluntary prepayments on the FILO loan during the first year. After its one-year anniversary, the FILO loan can be repaid, in whole or in part, subject to certain payment conditions. The term loan expires on May 24, 2023, if not repaid in full prior to that date.</w:t>
      </w:r>
    </w:p>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As a result of extending the advance rates under the FILO loan, the applicable margin rates for borrowings are increased by approximately 50 basis points temporarily through May 24, 2021, at which time the margin rates will revert back to the original terms. Accordingly, borrowings made under the FILO loan will bear interest, calculated under either the Federal Funds rate or the LIBOR rate, at a rate equal to the following: (a) the Federal Funds rate plus a carrying percentage based on the Company’s excess availability, of either 2.25% or 2.50% until May 24, 2021 or 1.75% or 2.00% after May 24, 2021 or (b) the LIBOR rate (the Company being able to select interest periods of 1 week, 1 month, 2 months, 3 months or 6 months) plus a varying percentage based on the Company’s excess availability of either 3.25% or 3.50% until May 24, 2021, or 2.75% or 3.00% after May 24, 2021. At November 2, 2019, the outstanding balance of $15.0 million was in a 1-month LIBOR-based contract with an interest rate of 5.14%. The LIBOR-based contract expired on November 17, 2019. When a LIBOR-based contract expires, the Company can enter into a new LIBOR-based borrowing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172"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auto"/>
        </w:rPr>
        <w:t>The following table is a summary of the Company’s components of net lease cost for the three and nine months ended November 2,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2"/>
                <w:szCs w:val="12"/>
                <w:color w:val="auto"/>
              </w:rPr>
              <w:t>For the three</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40" w:type="dxa"/>
            <w:vAlign w:val="bottom"/>
            <w:gridSpan w:val="3"/>
            <w:shd w:val="clear" w:color="auto" w:fill="CFF0FC"/>
          </w:tcPr>
          <w:p>
            <w:pPr>
              <w:jc w:val="center"/>
              <w:ind w:right="740"/>
              <w:spacing w:after="0"/>
              <w:rPr>
                <w:sz w:val="20"/>
                <w:szCs w:val="20"/>
                <w:color w:val="auto"/>
              </w:rPr>
            </w:pPr>
            <w:r>
              <w:rPr>
                <w:rFonts w:ascii="Times New Roman" w:cs="Times New Roman" w:eastAsia="Times New Roman" w:hAnsi="Times New Roman"/>
                <w:sz w:val="12"/>
                <w:szCs w:val="12"/>
                <w:color w:val="auto"/>
                <w:w w:val="99"/>
              </w:rPr>
              <w:t>For the nine</w:t>
            </w:r>
          </w:p>
        </w:tc>
      </w:tr>
      <w:tr>
        <w:trPr>
          <w:trHeight w:val="154"/>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center"/>
              <w:ind w:right="740"/>
              <w:spacing w:after="0"/>
              <w:rPr>
                <w:sz w:val="20"/>
                <w:szCs w:val="20"/>
                <w:color w:val="auto"/>
              </w:rPr>
            </w:pPr>
            <w:r>
              <w:rPr>
                <w:rFonts w:ascii="Times New Roman" w:cs="Times New Roman" w:eastAsia="Times New Roman" w:hAnsi="Times New Roman"/>
                <w:sz w:val="12"/>
                <w:szCs w:val="12"/>
                <w:color w:val="auto"/>
                <w:w w:val="98"/>
              </w:rPr>
              <w:t>months ended</w:t>
            </w:r>
          </w:p>
        </w:tc>
      </w:tr>
      <w:tr>
        <w:trPr>
          <w:trHeight w:val="134"/>
        </w:trPr>
        <w:tc>
          <w:tcPr>
            <w:tcW w:w="20" w:type="dxa"/>
            <w:vAlign w:val="bottom"/>
          </w:tcPr>
          <w:p>
            <w:pPr>
              <w:spacing w:after="0"/>
              <w:rPr>
                <w:sz w:val="11"/>
                <w:szCs w:val="11"/>
                <w:color w:val="auto"/>
              </w:rPr>
            </w:pPr>
          </w:p>
        </w:tc>
        <w:tc>
          <w:tcPr>
            <w:tcW w:w="3920" w:type="dxa"/>
            <w:vAlign w:val="bottom"/>
            <w:shd w:val="clear" w:color="auto" w:fill="CFF0FC"/>
          </w:tcPr>
          <w:p>
            <w:pPr>
              <w:spacing w:after="0"/>
              <w:rPr>
                <w:sz w:val="11"/>
                <w:szCs w:val="11"/>
                <w:color w:val="auto"/>
              </w:rPr>
            </w:pPr>
          </w:p>
        </w:tc>
        <w:tc>
          <w:tcPr>
            <w:tcW w:w="2740" w:type="dxa"/>
            <w:vAlign w:val="bottom"/>
            <w:shd w:val="clear" w:color="auto" w:fill="CFF0FC"/>
          </w:tcPr>
          <w:p>
            <w:pPr>
              <w:spacing w:after="0"/>
              <w:rPr>
                <w:sz w:val="11"/>
                <w:szCs w:val="11"/>
                <w:color w:val="auto"/>
              </w:rPr>
            </w:pPr>
          </w:p>
        </w:tc>
        <w:tc>
          <w:tcPr>
            <w:tcW w:w="1660" w:type="dxa"/>
            <w:vAlign w:val="bottom"/>
            <w:gridSpan w:val="3"/>
            <w:shd w:val="clear" w:color="auto" w:fill="CFF0FC"/>
          </w:tcPr>
          <w:p>
            <w:pPr>
              <w:jc w:val="center"/>
              <w:ind w:left="422"/>
              <w:spacing w:after="0" w:line="127" w:lineRule="exact"/>
              <w:rPr>
                <w:sz w:val="20"/>
                <w:szCs w:val="20"/>
                <w:color w:val="auto"/>
              </w:rPr>
            </w:pPr>
            <w:r>
              <w:rPr>
                <w:rFonts w:ascii="Times New Roman" w:cs="Times New Roman" w:eastAsia="Times New Roman" w:hAnsi="Times New Roman"/>
                <w:sz w:val="12"/>
                <w:szCs w:val="12"/>
                <w:color w:val="auto"/>
              </w:rPr>
              <w:t>November 2, 2019</w:t>
            </w: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640" w:type="dxa"/>
            <w:vAlign w:val="bottom"/>
            <w:gridSpan w:val="3"/>
            <w:shd w:val="clear" w:color="auto" w:fill="CFF0FC"/>
          </w:tcPr>
          <w:p>
            <w:pPr>
              <w:jc w:val="center"/>
              <w:ind w:right="740"/>
              <w:spacing w:after="0" w:line="127" w:lineRule="exact"/>
              <w:rPr>
                <w:sz w:val="20"/>
                <w:szCs w:val="20"/>
                <w:color w:val="auto"/>
              </w:rPr>
            </w:pPr>
            <w:r>
              <w:rPr>
                <w:rFonts w:ascii="Times New Roman" w:cs="Times New Roman" w:eastAsia="Times New Roman" w:hAnsi="Times New Roman"/>
                <w:sz w:val="12"/>
                <w:szCs w:val="12"/>
                <w:color w:val="auto"/>
              </w:rPr>
              <w:t>November 2, 2019</w:t>
            </w:r>
          </w:p>
        </w:tc>
      </w:tr>
      <w:tr>
        <w:trPr>
          <w:trHeight w:val="154"/>
        </w:trPr>
        <w:tc>
          <w:tcPr>
            <w:tcW w:w="20" w:type="dxa"/>
            <w:vAlign w:val="bottom"/>
          </w:tcPr>
          <w:p>
            <w:pPr>
              <w:spacing w:after="0"/>
              <w:rPr>
                <w:sz w:val="13"/>
                <w:szCs w:val="13"/>
                <w:color w:val="auto"/>
              </w:rPr>
            </w:pPr>
          </w:p>
        </w:tc>
        <w:tc>
          <w:tcPr>
            <w:tcW w:w="3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740" w:type="dxa"/>
            <w:vAlign w:val="bottom"/>
            <w:tcBorders>
              <w:top w:val="single" w:sz="8" w:color="CFF0FC"/>
            </w:tcBorders>
          </w:tcPr>
          <w:p>
            <w:pPr>
              <w:spacing w:after="0"/>
              <w:rPr>
                <w:sz w:val="13"/>
                <w:szCs w:val="13"/>
                <w:color w:val="auto"/>
              </w:rPr>
            </w:pPr>
          </w:p>
        </w:tc>
        <w:tc>
          <w:tcPr>
            <w:tcW w:w="62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4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lease cost</w:t>
            </w:r>
            <w:r>
              <w:rPr>
                <w:rFonts w:ascii="Times New Roman" w:cs="Times New Roman" w:eastAsia="Times New Roman" w:hAnsi="Times New Roman"/>
                <w:sz w:val="10"/>
                <w:szCs w:val="10"/>
                <w:color w:val="auto"/>
              </w:rPr>
              <w:t>(1)</w:t>
            </w:r>
          </w:p>
        </w:tc>
        <w:tc>
          <w:tcPr>
            <w:tcW w:w="336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13,500</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39,968</w:t>
            </w: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Short-term lease costs </w:t>
            </w:r>
            <w:r>
              <w:rPr>
                <w:rFonts w:ascii="Times New Roman" w:cs="Times New Roman" w:eastAsia="Times New Roman" w:hAnsi="Times New Roman"/>
                <w:sz w:val="10"/>
                <w:szCs w:val="10"/>
                <w:color w:val="auto"/>
              </w:rPr>
              <w:t>(2)</w:t>
            </w: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20" w:type="dxa"/>
            <w:vAlign w:val="bottom"/>
          </w:tcPr>
          <w:p>
            <w:pPr>
              <w:spacing w:after="0"/>
              <w:rPr>
                <w:sz w:val="13"/>
                <w:szCs w:val="13"/>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Variable lease costs</w:t>
            </w:r>
            <w:r>
              <w:rPr>
                <w:rFonts w:ascii="Times New Roman" w:cs="Times New Roman" w:eastAsia="Times New Roman" w:hAnsi="Times New Roman"/>
                <w:sz w:val="10"/>
                <w:szCs w:val="10"/>
                <w:color w:val="auto"/>
              </w:rPr>
              <w:t>(1)</w:t>
            </w:r>
          </w:p>
        </w:tc>
        <w:tc>
          <w:tcPr>
            <w:tcW w:w="274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4,201</w:t>
            </w:r>
          </w:p>
        </w:tc>
        <w:tc>
          <w:tcPr>
            <w:tcW w:w="1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12,200</w:t>
            </w:r>
          </w:p>
        </w:tc>
        <w:tc>
          <w:tcPr>
            <w:tcW w:w="120" w:type="dxa"/>
            <w:vAlign w:val="bottom"/>
            <w:shd w:val="clear" w:color="auto" w:fill="CFF0FC"/>
          </w:tcPr>
          <w:p>
            <w:pPr>
              <w:spacing w:after="0"/>
              <w:rPr>
                <w:sz w:val="13"/>
                <w:szCs w:val="13"/>
                <w:color w:val="auto"/>
              </w:rPr>
            </w:pPr>
          </w:p>
        </w:tc>
      </w:tr>
      <w:tr>
        <w:trPr>
          <w:trHeight w:val="150"/>
        </w:trPr>
        <w:tc>
          <w:tcPr>
            <w:tcW w:w="3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lease costs</w:t>
            </w:r>
          </w:p>
        </w:tc>
        <w:tc>
          <w:tcPr>
            <w:tcW w:w="2740" w:type="dxa"/>
            <w:vAlign w:val="bottom"/>
          </w:tcPr>
          <w:p>
            <w:pPr>
              <w:spacing w:after="0"/>
              <w:rPr>
                <w:sz w:val="13"/>
                <w:szCs w:val="13"/>
                <w:color w:val="auto"/>
              </w:rPr>
            </w:pPr>
          </w:p>
        </w:tc>
        <w:tc>
          <w:tcPr>
            <w:tcW w:w="6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17,701</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52,168</w:t>
            </w:r>
          </w:p>
        </w:tc>
        <w:tc>
          <w:tcPr>
            <w:tcW w:w="120" w:type="dxa"/>
            <w:vAlign w:val="bottom"/>
          </w:tcPr>
          <w:p>
            <w:pPr>
              <w:spacing w:after="0"/>
              <w:rPr>
                <w:sz w:val="13"/>
                <w:szCs w:val="13"/>
                <w:color w:val="auto"/>
              </w:rPr>
            </w:pPr>
          </w:p>
        </w:tc>
      </w:tr>
    </w:tbl>
    <w:p>
      <w:pPr>
        <w:spacing w:after="0" w:line="132" w:lineRule="exact"/>
        <w:rPr>
          <w:sz w:val="20"/>
          <w:szCs w:val="20"/>
          <w:color w:val="auto"/>
        </w:rPr>
      </w:pPr>
    </w:p>
    <w:p>
      <w:pPr>
        <w:ind w:left="760" w:right="440" w:hanging="387"/>
        <w:spacing w:after="0" w:line="263" w:lineRule="auto"/>
        <w:tabs>
          <w:tab w:leader="none" w:pos="7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costs related to store locations are included in Cost of Goods Sold Including Occupancy Costs on the Consolidated Statement of Operations and expenses and lease costs related to the corporate headquarters, automobile and equipment leases are included in Selling, General and Administrative expenses on the Consolidated Statement of Operations.</w:t>
      </w:r>
    </w:p>
    <w:p>
      <w:pPr>
        <w:ind w:left="760" w:hanging="387"/>
        <w:spacing w:after="0"/>
        <w:tabs>
          <w:tab w:leader="none" w:pos="7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third quarter and first nine months of fiscal 2019, the Company had no short-term lease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Supplemental cash flow information related to leases for the first nine months ended November 2, 2019 is as follows:</w:t>
            </w:r>
          </w:p>
        </w:tc>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7500" w:type="dxa"/>
            <w:vAlign w:val="bottom"/>
            <w:gridSpan w:val="4"/>
          </w:tcPr>
          <w:p>
            <w:pPr>
              <w:ind w:left="26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50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tc>
        <w:tc>
          <w:tcPr>
            <w:tcW w:w="2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500" w:type="dxa"/>
            <w:vAlign w:val="bottom"/>
            <w:gridSpan w:val="4"/>
          </w:tcPr>
          <w:p>
            <w:pPr>
              <w:ind w:left="420"/>
              <w:spacing w:after="0"/>
              <w:rPr>
                <w:sz w:val="20"/>
                <w:szCs w:val="20"/>
                <w:color w:val="auto"/>
              </w:rPr>
            </w:pPr>
            <w:r>
              <w:rPr>
                <w:rFonts w:ascii="Times New Roman" w:cs="Times New Roman" w:eastAsia="Times New Roman" w:hAnsi="Times New Roman"/>
                <w:sz w:val="12"/>
                <w:szCs w:val="12"/>
                <w:color w:val="auto"/>
              </w:rPr>
              <w:t>Operating cash flows for operating leases</w:t>
            </w:r>
          </w:p>
        </w:tc>
        <w:tc>
          <w:tcPr>
            <w:tcW w:w="21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43,633</w:t>
            </w:r>
          </w:p>
        </w:tc>
        <w:tc>
          <w:tcPr>
            <w:tcW w:w="0" w:type="dxa"/>
            <w:vAlign w:val="bottom"/>
          </w:tcPr>
          <w:p>
            <w:pPr>
              <w:spacing w:after="0"/>
              <w:rPr>
                <w:sz w:val="1"/>
                <w:szCs w:val="1"/>
                <w:color w:val="auto"/>
              </w:rPr>
            </w:pPr>
          </w:p>
        </w:tc>
      </w:tr>
      <w:tr>
        <w:trPr>
          <w:trHeight w:val="154"/>
        </w:trPr>
        <w:tc>
          <w:tcPr>
            <w:tcW w:w="750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Non-cash operating activities:</w:t>
            </w:r>
          </w:p>
        </w:tc>
        <w:tc>
          <w:tcPr>
            <w:tcW w:w="2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gridSpan w:val="4"/>
          </w:tcPr>
          <w:p>
            <w:pPr>
              <w:ind w:left="420"/>
              <w:spacing w:after="0"/>
              <w:rPr>
                <w:sz w:val="20"/>
                <w:szCs w:val="20"/>
                <w:color w:val="auto"/>
              </w:rPr>
            </w:pPr>
            <w:r>
              <w:rPr>
                <w:rFonts w:ascii="Times New Roman" w:cs="Times New Roman" w:eastAsia="Times New Roman" w:hAnsi="Times New Roman"/>
                <w:sz w:val="12"/>
                <w:szCs w:val="12"/>
                <w:color w:val="auto"/>
              </w:rPr>
              <w:t>Right-of-use assets obtained in exchange for operating lease liabilities</w:t>
            </w:r>
          </w:p>
        </w:tc>
        <w:tc>
          <w:tcPr>
            <w:tcW w:w="21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3,245</w:t>
            </w:r>
          </w:p>
        </w:tc>
        <w:tc>
          <w:tcPr>
            <w:tcW w:w="0" w:type="dxa"/>
            <w:vAlign w:val="bottom"/>
          </w:tcPr>
          <w:p>
            <w:pPr>
              <w:spacing w:after="0"/>
              <w:rPr>
                <w:sz w:val="1"/>
                <w:szCs w:val="1"/>
                <w:color w:val="auto"/>
              </w:rPr>
            </w:pPr>
          </w:p>
        </w:tc>
      </w:tr>
      <w:tr>
        <w:trPr>
          <w:trHeight w:val="286"/>
        </w:trPr>
        <w:tc>
          <w:tcPr>
            <w:tcW w:w="75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Supplemental balance sheet information related to leases as of November 2, 2019 is as follows:</w:t>
            </w: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0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460" w:type="dxa"/>
            <w:vAlign w:val="bottom"/>
            <w:gridSpan w:val="2"/>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Operating leases:</w:t>
            </w:r>
          </w:p>
        </w:tc>
        <w:tc>
          <w:tcPr>
            <w:tcW w:w="2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56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remaining lease term</w:t>
            </w:r>
          </w:p>
        </w:tc>
        <w:tc>
          <w:tcPr>
            <w:tcW w:w="2180" w:type="dxa"/>
            <w:vAlign w:val="bottom"/>
          </w:tcPr>
          <w:p>
            <w:pPr>
              <w:spacing w:after="0"/>
              <w:rPr>
                <w:sz w:val="12"/>
                <w:szCs w:val="1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5.5 yrs.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2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reconciles the undiscounted cash flows for each of the first five years and total of the remaining years to the operating lease liabilities recorded on the Consolidated Balance Sheet as of November 2,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2019 (remaining)</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14,395</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2020</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55,304</w:t>
            </w: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4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54,233</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2022</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49,174</w:t>
            </w:r>
          </w:p>
        </w:tc>
        <w:tc>
          <w:tcPr>
            <w:tcW w:w="12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4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41,257</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Thereafter</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68,831</w:t>
            </w:r>
          </w:p>
        </w:tc>
        <w:tc>
          <w:tcPr>
            <w:tcW w:w="120" w:type="dxa"/>
            <w:vAlign w:val="bottom"/>
            <w:shd w:val="clear" w:color="auto" w:fill="CFF0FC"/>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Total minimum lease payments</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283,194</w:t>
            </w:r>
          </w:p>
        </w:tc>
        <w:tc>
          <w:tcPr>
            <w:tcW w:w="1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amount of lease payments representing interest</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49,820</w:t>
            </w:r>
          </w:p>
        </w:tc>
        <w:tc>
          <w:tcPr>
            <w:tcW w:w="120" w:type="dxa"/>
            <w:vAlign w:val="bottom"/>
            <w:shd w:val="clear" w:color="auto" w:fill="CFF0FC"/>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Present value of future minimum lease payments</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233,374</w:t>
            </w:r>
          </w:p>
        </w:tc>
        <w:tc>
          <w:tcPr>
            <w:tcW w:w="1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current obligations under leases</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41,063</w:t>
            </w:r>
          </w:p>
        </w:tc>
        <w:tc>
          <w:tcPr>
            <w:tcW w:w="120" w:type="dxa"/>
            <w:vAlign w:val="bottom"/>
            <w:shd w:val="clear" w:color="auto" w:fill="CFF0FC"/>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obligations</w:t>
            </w:r>
          </w:p>
        </w:tc>
        <w:tc>
          <w:tcPr>
            <w:tcW w:w="42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192,311</w:t>
            </w:r>
          </w:p>
        </w:tc>
        <w:tc>
          <w:tcPr>
            <w:tcW w:w="120" w:type="dxa"/>
            <w:vAlign w:val="bottom"/>
          </w:tcPr>
          <w:p>
            <w:pPr>
              <w:spacing w:after="0"/>
              <w:rPr>
                <w:sz w:val="12"/>
                <w:szCs w:val="12"/>
                <w:color w:val="auto"/>
              </w:rPr>
            </w:pPr>
          </w:p>
        </w:tc>
      </w:tr>
    </w:tbl>
    <w:p>
      <w:pPr>
        <w:spacing w:after="0" w:line="128"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2"/>
          <w:szCs w:val="12"/>
          <w:color w:val="auto"/>
        </w:rPr>
        <w:t>As previously disclosed in the Company's Consolidated Financial Statements for the year ending February 2, 2019, future minimum lease payments for noncancelable operating leases, under the previous lease accounting standard, were as follows at February 2,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6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2019</w:t>
            </w:r>
          </w:p>
        </w:tc>
        <w:tc>
          <w:tcPr>
            <w:tcW w:w="66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57,364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66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52,699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66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50,380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66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45,061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2023</w:t>
            </w:r>
          </w:p>
        </w:tc>
        <w:tc>
          <w:tcPr>
            <w:tcW w:w="66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36,605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6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56,638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minimum lease payments</w:t>
            </w:r>
          </w:p>
        </w:tc>
        <w:tc>
          <w:tcPr>
            <w:tcW w:w="66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298,747</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3580" w:type="dxa"/>
            <w:vAlign w:val="bottom"/>
          </w:tcPr>
          <w:p>
            <w:pPr>
              <w:spacing w:after="0"/>
              <w:rPr>
                <w:sz w:val="24"/>
                <w:szCs w:val="24"/>
                <w:color w:val="auto"/>
              </w:rPr>
            </w:pPr>
          </w:p>
        </w:tc>
        <w:tc>
          <w:tcPr>
            <w:tcW w:w="6640" w:type="dxa"/>
            <w:vAlign w:val="bottom"/>
          </w:tcPr>
          <w:p>
            <w:pPr>
              <w:jc w:val="right"/>
              <w:ind w:right="4360"/>
              <w:spacing w:after="0"/>
              <w:rPr>
                <w:sz w:val="20"/>
                <w:szCs w:val="20"/>
                <w:color w:val="auto"/>
              </w:rPr>
            </w:pPr>
            <w:r>
              <w:rPr>
                <w:rFonts w:ascii="Times New Roman" w:cs="Times New Roman" w:eastAsia="Times New Roman" w:hAnsi="Times New Roman"/>
                <w:sz w:val="12"/>
                <w:szCs w:val="12"/>
                <w:color w:val="auto"/>
              </w:rPr>
              <w:t>14</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3580" w:type="dxa"/>
            <w:vAlign w:val="bottom"/>
            <w:tcBorders>
              <w:bottom w:val="single" w:sz="8" w:color="9A9A9A"/>
            </w:tcBorders>
          </w:tcPr>
          <w:p>
            <w:pPr>
              <w:spacing w:after="0"/>
              <w:rPr>
                <w:sz w:val="6"/>
                <w:szCs w:val="6"/>
                <w:color w:val="auto"/>
              </w:rPr>
            </w:pPr>
          </w:p>
        </w:tc>
        <w:tc>
          <w:tcPr>
            <w:tcW w:w="66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5. Long-Term Incentive Plans</w:t>
      </w:r>
    </w:p>
    <w:p>
      <w:pPr>
        <w:spacing w:after="0" w:line="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At November 2, 2019, the Company has two active LTIPs: 2018-2020 LTIP and 2019-2021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under the 2018-2020 LTIP were restricted stock units (RSUs). For the 2019-2021 LTIP, 50% of the time-based awards granted were RSUs and 50% were cash.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2017-2018 LTIP</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On March 19, 2019, the Compensation Committee of the Board of Directors (the “Compensation Committee”) approved a 25% payout based on the achievement of performance targets under the 2017-2018 LTIP, which ended February 2, 2019. On March 19, 2019, the Company granted 150,299 RSUs with a fair value of $0.5 million. The RSUs vested, net of any forfeitures, on August 31, 2019. In conjunction with the grant of the RSUs, the Company reclassified $0.3 million of the liability accrual from “Accrued expenses and other current liabilities” to “Additional paid-in capital” in the first nine months of fiscal 2019. See the Consolidated Statement of Changes in Stockholders’ Equity. In addition to the performance awards, the Company will have incurred stock-based compensation of approximately $2.0 million for its time-based awards, which is being expensed over thirty-six months, through April 1,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2018-2020 LTIP and 2019-2021 LTIP</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June 2018, the Company amended its LTIP to, among other things, extend the performance period for awards to three years, beginning with grants in fiscal 2018. Performance targets for the 2018-2020 LTIP and the 2019-2021 LTIP were established and approved by the Compensation Committee on October 24, 2018 and August 7, 2019, respectively. Awards for any achievement of performance targets will not be granted until the performance targets are achieved and then will be subject to additional vesting through August 31, 2021 and August 31, 2022, respectively. The time-based awards under the 2018-2020 LTIP and the 2019-2021 LTIP vest in four equal installments through April 1, 2022 and April 1, 2023, respectively.</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Assuming that the Company achieves the performance targets at target levels and all time-based awards vest, the compensation expense associated with the 2018-2020 LTIP is estimated to be approximately $3.8 million. Approximately half of the compensation expense relates to the time-vested RSUs, which is being expensed straight-line over 41 months. Through the end of the third quarter of fiscal 2019, the Company has accrued $0.2 million for performance awards under the 2018-2020 LTIP.</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For the 2019-2021 LTIP, assuming that the Company achieves the performance targets at target levels and all time-based awards vest, the compensation expense is estimated to be approximately $4.1 million. Approximately half of the compensation relates to time-based awards, 50% RSUs and 50% cash, which is being expensed straight-line over 44 months. There was no accrual at November 2, 2019 for performance awards under the 2019-2021 LTIP.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Stock-Based Compensation</w:t>
      </w:r>
    </w:p>
    <w:p>
      <w:pPr>
        <w:spacing w:after="0" w:line="1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During the third quarter of fiscal 2019, on August 8, 2019, the Company’s shareholders approved an amendment to increase the share reserve by an additional 2,800,000 shares. At November 2, 2019, the Company had 3,699,319 shares available under the 2016 Plan.</w:t>
      </w:r>
    </w:p>
    <w:p>
      <w:pPr>
        <w:spacing w:after="0" w:line="120"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November 2, 2019, 784,251 stock options remained outstanding under the 2006 Plan.</w:t>
      </w:r>
    </w:p>
    <w:p>
      <w:pPr>
        <w:spacing w:after="0" w:line="11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0" w:right="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The following tables summarize the share activity and stock option activity for the Company’s 2006 Plan and 2016 Plan, on a combined basis, for the first nine months of fiscal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color w:val="auto"/>
                <w:w w:val="95"/>
              </w:rPr>
              <w:t>Weighted-average</w:t>
            </w:r>
          </w:p>
        </w:tc>
        <w:tc>
          <w:tcPr>
            <w:tcW w:w="0" w:type="dxa"/>
            <w:vAlign w:val="bottom"/>
          </w:tcPr>
          <w:p>
            <w:pPr>
              <w:spacing w:after="0"/>
              <w:rPr>
                <w:sz w:val="1"/>
                <w:szCs w:val="1"/>
                <w:color w:val="auto"/>
              </w:rPr>
            </w:pPr>
          </w:p>
        </w:tc>
      </w:tr>
      <w:tr>
        <w:trPr>
          <w:trHeight w:val="100"/>
        </w:trPr>
        <w:tc>
          <w:tcPr>
            <w:tcW w:w="4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tcPr>
          <w:p>
            <w:pPr>
              <w:jc w:val="right"/>
              <w:ind w:right="380"/>
              <w:spacing w:after="0" w:line="100" w:lineRule="exact"/>
              <w:rPr>
                <w:sz w:val="20"/>
                <w:szCs w:val="20"/>
                <w:color w:val="auto"/>
              </w:rPr>
            </w:pPr>
            <w:r>
              <w:rPr>
                <w:rFonts w:ascii="Times New Roman" w:cs="Times New Roman" w:eastAsia="Times New Roman" w:hAnsi="Times New Roman"/>
                <w:sz w:val="10"/>
                <w:szCs w:val="10"/>
                <w:color w:val="auto"/>
              </w:rPr>
              <w:t>Fully-vested</w:t>
            </w:r>
          </w:p>
        </w:tc>
        <w:tc>
          <w:tcPr>
            <w:tcW w:w="9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0"/>
                <w:szCs w:val="10"/>
                <w:color w:val="auto"/>
                <w:w w:val="93"/>
              </w:rPr>
              <w:t>Performance</w:t>
            </w:r>
          </w:p>
        </w:tc>
        <w:tc>
          <w:tcPr>
            <w:tcW w:w="108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0"/>
                <w:szCs w:val="10"/>
                <w:color w:val="auto"/>
              </w:rPr>
              <w:t>Total number of</w:t>
            </w:r>
          </w:p>
        </w:tc>
        <w:tc>
          <w:tcPr>
            <w:tcW w:w="120" w:type="dxa"/>
            <w:vAlign w:val="bottom"/>
          </w:tcPr>
          <w:p>
            <w:pPr>
              <w:spacing w:after="0"/>
              <w:rPr>
                <w:sz w:val="8"/>
                <w:szCs w:val="8"/>
                <w:color w:val="auto"/>
              </w:rPr>
            </w:pPr>
          </w:p>
        </w:tc>
        <w:tc>
          <w:tcPr>
            <w:tcW w:w="76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0"/>
                <w:szCs w:val="10"/>
                <w:color w:val="auto"/>
                <w:w w:val="98"/>
              </w:rPr>
              <w:t>grant-date</w:t>
            </w:r>
          </w:p>
        </w:tc>
        <w:tc>
          <w:tcPr>
            <w:tcW w:w="0" w:type="dxa"/>
            <w:vAlign w:val="bottom"/>
          </w:tcPr>
          <w:p>
            <w:pPr>
              <w:spacing w:after="0"/>
              <w:rPr>
                <w:sz w:val="1"/>
                <w:szCs w:val="1"/>
                <w:color w:val="auto"/>
              </w:rPr>
            </w:pPr>
          </w:p>
        </w:tc>
      </w:tr>
      <w:tr>
        <w:trPr>
          <w:trHeight w:val="114"/>
        </w:trPr>
        <w:tc>
          <w:tcPr>
            <w:tcW w:w="45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Restricted shares</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 xml:space="preserve">RSUs </w:t>
            </w:r>
            <w:r>
              <w:rPr>
                <w:rFonts w:ascii="Times New Roman" w:cs="Times New Roman" w:eastAsia="Times New Roman" w:hAnsi="Times New Roman"/>
                <w:sz w:val="8"/>
                <w:szCs w:val="8"/>
                <w:color w:val="auto"/>
              </w:rPr>
              <w:t>(1)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 xml:space="preserve">Deferred shares </w:t>
            </w:r>
            <w:r>
              <w:rPr>
                <w:rFonts w:ascii="Times New Roman" w:cs="Times New Roman" w:eastAsia="Times New Roman" w:hAnsi="Times New Roman"/>
                <w:sz w:val="8"/>
                <w:szCs w:val="8"/>
                <w:color w:val="auto"/>
              </w:rPr>
              <w:t>(2)</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 xml:space="preserve">shares </w:t>
            </w:r>
            <w:r>
              <w:rPr>
                <w:rFonts w:ascii="Times New Roman" w:cs="Times New Roman" w:eastAsia="Times New Roman" w:hAnsi="Times New Roman"/>
                <w:sz w:val="8"/>
                <w:szCs w:val="8"/>
                <w:color w:val="auto"/>
              </w:rPr>
              <w:t>(3)</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5"/>
              </w:rPr>
              <w:t xml:space="preserve">Share Units </w:t>
            </w:r>
            <w:r>
              <w:rPr>
                <w:rFonts w:ascii="Times New Roman" w:cs="Times New Roman" w:eastAsia="Times New Roman" w:hAnsi="Times New Roman"/>
                <w:sz w:val="8"/>
                <w:szCs w:val="8"/>
                <w:color w:val="auto"/>
                <w:w w:val="95"/>
              </w:rPr>
              <w:t>(4)</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color w:val="auto"/>
              </w:rPr>
              <w:t>shares</w:t>
            </w:r>
          </w:p>
        </w:tc>
        <w:tc>
          <w:tcPr>
            <w:tcW w:w="120" w:type="dxa"/>
            <w:vAlign w:val="bottom"/>
          </w:tcPr>
          <w:p>
            <w:pPr>
              <w:spacing w:after="0"/>
              <w:rPr>
                <w:sz w:val="9"/>
                <w:szCs w:val="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w w:val="94"/>
              </w:rPr>
              <w:t>fair value</w:t>
            </w:r>
          </w:p>
        </w:tc>
        <w:tc>
          <w:tcPr>
            <w:tcW w:w="0" w:type="dxa"/>
            <w:vAlign w:val="bottom"/>
          </w:tcPr>
          <w:p>
            <w:pPr>
              <w:spacing w:after="0"/>
              <w:rPr>
                <w:sz w:val="1"/>
                <w:szCs w:val="1"/>
                <w:color w:val="auto"/>
              </w:rPr>
            </w:pPr>
          </w:p>
        </w:tc>
      </w:tr>
      <w:tr>
        <w:trPr>
          <w:trHeight w:val="143"/>
        </w:trPr>
        <w:tc>
          <w:tcPr>
            <w:tcW w:w="4500" w:type="dxa"/>
            <w:vAlign w:val="bottom"/>
            <w:vMerge w:val="continue"/>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Outstanding non-vested shares at beginning of year</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1,372,628</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204,040</w:t>
            </w: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1,606,668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granted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1,234,439</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72,668</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110,370</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720,000</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2,137,477</w:t>
            </w:r>
          </w:p>
        </w:tc>
        <w:tc>
          <w:tcPr>
            <w:tcW w:w="24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Shares vested/issued</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(10,000)</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(788,763)</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(8,857)</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(110,370)</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(917,990)</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canceled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(20,000)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(126,052)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(146,052)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00" w:type="dxa"/>
            <w:vAlign w:val="bottom"/>
            <w:tcBorders>
              <w:top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Outstanding non-vested shares at end of quarter</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1,692,252</w:t>
            </w:r>
          </w:p>
        </w:tc>
        <w:tc>
          <w:tcPr>
            <w:tcW w:w="1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267,851</w:t>
            </w:r>
          </w:p>
        </w:tc>
        <w:tc>
          <w:tcPr>
            <w:tcW w:w="2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720,000</w:t>
            </w:r>
          </w:p>
        </w:tc>
        <w:tc>
          <w:tcPr>
            <w:tcW w:w="2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2,680,103</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760" w:right="160" w:hanging="387"/>
        <w:spacing w:after="0" w:line="269" w:lineRule="auto"/>
        <w:tabs>
          <w:tab w:leader="none" w:pos="7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first nine months of fiscal 2019, the Company granted 150,299 RSUs in connection with the partial achievement of performance targets under the 2017-2018 LTIP, see Note 5, </w:t>
      </w:r>
      <w:r>
        <w:rPr>
          <w:rFonts w:ascii="Times New Roman" w:cs="Times New Roman" w:eastAsia="Times New Roman" w:hAnsi="Times New Roman"/>
          <w:sz w:val="12"/>
          <w:szCs w:val="12"/>
          <w:i w:val="1"/>
          <w:iCs w:val="1"/>
          <w:color w:val="auto"/>
        </w:rPr>
        <w:t>Long-Term Incentive Plans</w:t>
      </w:r>
      <w:r>
        <w:rPr>
          <w:rFonts w:ascii="Times New Roman" w:cs="Times New Roman" w:eastAsia="Times New Roman" w:hAnsi="Times New Roman"/>
          <w:sz w:val="12"/>
          <w:szCs w:val="12"/>
          <w:color w:val="auto"/>
        </w:rPr>
        <w:t>. In addition, the Company granted 368,205 time-based RSUs as signing awards. The remainder of the RSUs granted for the first nine-months of fiscal 2019 related to time-based awards granted under the Company’s LTIPs. As a result of net share settlement, of the 788,763 RSUs which vested during the first nine months of fiscal 2019, only 677,742 shares of common stock were issued.</w:t>
      </w:r>
    </w:p>
    <w:p>
      <w:pPr>
        <w:spacing w:after="0" w:line="43" w:lineRule="exact"/>
        <w:rPr>
          <w:rFonts w:ascii="Times New Roman" w:cs="Times New Roman" w:eastAsia="Times New Roman" w:hAnsi="Times New Roman"/>
          <w:sz w:val="12"/>
          <w:szCs w:val="12"/>
          <w:color w:val="auto"/>
        </w:rPr>
      </w:pPr>
    </w:p>
    <w:p>
      <w:pPr>
        <w:ind w:left="760" w:right="40" w:hanging="387"/>
        <w:spacing w:after="0" w:line="286" w:lineRule="auto"/>
        <w:tabs>
          <w:tab w:leader="none" w:pos="7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72,668 shares of deferred stock, with a grant date fair value of $148,133,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33" w:lineRule="exact"/>
        <w:rPr>
          <w:rFonts w:ascii="Times New Roman" w:cs="Times New Roman" w:eastAsia="Times New Roman" w:hAnsi="Times New Roman"/>
          <w:sz w:val="12"/>
          <w:szCs w:val="12"/>
          <w:color w:val="auto"/>
        </w:rPr>
      </w:pPr>
    </w:p>
    <w:p>
      <w:pPr>
        <w:ind w:left="760" w:right="240" w:hanging="387"/>
        <w:spacing w:after="0" w:line="269" w:lineRule="auto"/>
        <w:tabs>
          <w:tab w:leader="none" w:pos="7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first nine months of fiscal 2019, the Company granted 110,370 shares of stock, with a fair value of approximately $224,989, to certain directors as compensation in lieu of cash, in accordance with their irrevocable elections. Directors are required to elect 50% of their quarterly retainer in equity. Any shares in excess of the minimum required election are issued from the Company’s Fourth Amended and Restated Non-Employee Director Compensation Plan (“Non-Employee Director Compensation Plan”).</w:t>
      </w:r>
    </w:p>
    <w:p>
      <w:pPr>
        <w:spacing w:after="0" w:line="43" w:lineRule="exact"/>
        <w:rPr>
          <w:rFonts w:ascii="Times New Roman" w:cs="Times New Roman" w:eastAsia="Times New Roman" w:hAnsi="Times New Roman"/>
          <w:sz w:val="12"/>
          <w:szCs w:val="12"/>
          <w:color w:val="auto"/>
        </w:rPr>
      </w:pPr>
    </w:p>
    <w:p>
      <w:pPr>
        <w:ind w:left="760" w:right="80" w:hanging="387"/>
        <w:spacing w:after="0" w:line="260" w:lineRule="auto"/>
        <w:tabs>
          <w:tab w:leader="none" w:pos="7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19, 2019, the Company granted 720,000 shares of performance stock units (“PSUs”), with a fair value of $1.0 million,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w w:val="95"/>
              </w:rPr>
              <w:t>Weighted-average</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Weighted-average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0"/>
        </w:trPr>
        <w:tc>
          <w:tcPr>
            <w:tcW w:w="39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340" w:type="dxa"/>
            <w:vAlign w:val="bottom"/>
            <w:gridSpan w:val="2"/>
          </w:tcPr>
          <w:p>
            <w:pPr>
              <w:jc w:val="right"/>
              <w:ind w:right="540"/>
              <w:spacing w:after="0" w:line="100" w:lineRule="exact"/>
              <w:rPr>
                <w:sz w:val="20"/>
                <w:szCs w:val="20"/>
                <w:color w:val="auto"/>
              </w:rPr>
            </w:pPr>
            <w:r>
              <w:rPr>
                <w:rFonts w:ascii="Times New Roman" w:cs="Times New Roman" w:eastAsia="Times New Roman" w:hAnsi="Times New Roman"/>
                <w:sz w:val="10"/>
                <w:szCs w:val="10"/>
                <w:color w:val="auto"/>
              </w:rPr>
              <w:t>Number of</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0"/>
                <w:szCs w:val="10"/>
                <w:color w:val="auto"/>
                <w:w w:val="94"/>
              </w:rPr>
              <w:t>exercise price</w:t>
            </w:r>
          </w:p>
        </w:tc>
        <w:tc>
          <w:tcPr>
            <w:tcW w:w="130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color w:val="auto"/>
                <w:w w:val="93"/>
              </w:rPr>
              <w:t>remaining</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0" w:lineRule="exact"/>
              <w:rPr>
                <w:sz w:val="20"/>
                <w:szCs w:val="20"/>
                <w:color w:val="auto"/>
              </w:rPr>
            </w:pPr>
            <w:r>
              <w:rPr>
                <w:rFonts w:ascii="Times New Roman" w:cs="Times New Roman" w:eastAsia="Times New Roman" w:hAnsi="Times New Roman"/>
                <w:sz w:val="10"/>
                <w:szCs w:val="10"/>
                <w:color w:val="auto"/>
                <w:w w:val="95"/>
              </w:rPr>
              <w:t>Aggregate</w:t>
            </w:r>
          </w:p>
        </w:tc>
        <w:tc>
          <w:tcPr>
            <w:tcW w:w="20" w:type="dxa"/>
            <w:vAlign w:val="bottom"/>
          </w:tcPr>
          <w:p>
            <w:pPr>
              <w:spacing w:after="0"/>
              <w:rPr>
                <w:sz w:val="8"/>
                <w:szCs w:val="8"/>
                <w:color w:val="auto"/>
              </w:rPr>
            </w:pPr>
          </w:p>
        </w:tc>
      </w:tr>
      <w:tr>
        <w:trPr>
          <w:trHeight w:val="114"/>
        </w:trPr>
        <w:tc>
          <w:tcPr>
            <w:tcW w:w="39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color w:val="auto"/>
              </w:rPr>
              <w:t>shares</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7"/>
              </w:rPr>
              <w:t>per option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contractual term</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color w:val="auto"/>
                <w:w w:val="98"/>
              </w:rPr>
              <w:t>intrinsic value</w:t>
            </w:r>
          </w:p>
        </w:tc>
        <w:tc>
          <w:tcPr>
            <w:tcW w:w="20" w:type="dxa"/>
            <w:vAlign w:val="bottom"/>
          </w:tcPr>
          <w:p>
            <w:pPr>
              <w:spacing w:after="0"/>
              <w:rPr>
                <w:sz w:val="9"/>
                <w:szCs w:val="9"/>
                <w:color w:val="auto"/>
              </w:rPr>
            </w:pPr>
          </w:p>
        </w:tc>
      </w:tr>
      <w:tr>
        <w:trPr>
          <w:trHeight w:val="14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210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options at beginning of year</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957,400</w:t>
            </w:r>
          </w:p>
        </w:tc>
        <w:tc>
          <w:tcPr>
            <w:tcW w:w="140" w:type="dxa"/>
            <w:vAlign w:val="bottom"/>
          </w:tcPr>
          <w:p>
            <w:pPr>
              <w:spacing w:after="0"/>
              <w:rPr>
                <w:sz w:val="13"/>
                <w:szCs w:val="13"/>
                <w:color w:val="auto"/>
              </w:rPr>
            </w:pP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200" w:type="dxa"/>
            <w:vAlign w:val="bottom"/>
          </w:tcPr>
          <w:p>
            <w:pPr>
              <w:spacing w:after="0"/>
              <w:rPr>
                <w:sz w:val="13"/>
                <w:szCs w:val="13"/>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2"/>
                <w:szCs w:val="12"/>
                <w:color w:val="auto"/>
                <w:w w:val="96"/>
              </w:rPr>
              <w:t>5.1 years</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granted</w:t>
            </w:r>
          </w:p>
        </w:tc>
        <w:tc>
          <w:tcPr>
            <w:tcW w:w="21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4"/>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Options expired and canceled</w:t>
            </w:r>
          </w:p>
        </w:tc>
        <w:tc>
          <w:tcPr>
            <w:tcW w:w="34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(92,592)</w:t>
            </w: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4"/>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exercised</w:t>
            </w:r>
          </w:p>
        </w:tc>
        <w:tc>
          <w:tcPr>
            <w:tcW w:w="3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(46,296)</w:t>
            </w:r>
          </w:p>
        </w:tc>
        <w:tc>
          <w:tcPr>
            <w:tcW w:w="2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43"/>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options at end of quarter</w:t>
            </w:r>
          </w:p>
        </w:tc>
        <w:tc>
          <w:tcPr>
            <w:tcW w:w="2100" w:type="dxa"/>
            <w:vAlign w:val="bottom"/>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818,512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200" w:type="dxa"/>
            <w:vAlign w:val="bottom"/>
          </w:tcPr>
          <w:p>
            <w:pPr>
              <w:spacing w:after="0"/>
              <w:rPr>
                <w:sz w:val="12"/>
                <w:szCs w:val="12"/>
                <w:color w:val="auto"/>
              </w:rPr>
            </w:pPr>
          </w:p>
        </w:tc>
        <w:tc>
          <w:tcPr>
            <w:tcW w:w="13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w w:val="96"/>
              </w:rPr>
              <w:t>3.4 years</w:t>
            </w: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3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exercisable at end of quarter</w:t>
            </w:r>
          </w:p>
        </w:tc>
        <w:tc>
          <w:tcPr>
            <w:tcW w:w="3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813,512</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2"/>
                <w:szCs w:val="12"/>
                <w:color w:val="auto"/>
                <w:w w:val="96"/>
              </w:rPr>
              <w:t>3.3 years</w:t>
            </w:r>
          </w:p>
        </w:tc>
        <w:tc>
          <w:tcPr>
            <w:tcW w:w="32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434"/>
        </w:trPr>
        <w:tc>
          <w:tcPr>
            <w:tcW w:w="3900" w:type="dxa"/>
            <w:vAlign w:val="bottom"/>
          </w:tcPr>
          <w:p>
            <w:pPr>
              <w:spacing w:after="0"/>
              <w:rPr>
                <w:sz w:val="24"/>
                <w:szCs w:val="24"/>
                <w:color w:val="auto"/>
              </w:rPr>
            </w:pPr>
          </w:p>
        </w:tc>
        <w:tc>
          <w:tcPr>
            <w:tcW w:w="21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16</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3900" w:type="dxa"/>
            <w:vAlign w:val="bottom"/>
            <w:tcBorders>
              <w:bottom w:val="single" w:sz="8" w:color="9A9A9A"/>
            </w:tcBorders>
          </w:tcPr>
          <w:p>
            <w:pPr>
              <w:spacing w:after="0"/>
              <w:rPr>
                <w:sz w:val="6"/>
                <w:szCs w:val="6"/>
                <w:color w:val="auto"/>
              </w:rPr>
            </w:pPr>
          </w:p>
        </w:tc>
        <w:tc>
          <w:tcPr>
            <w:tcW w:w="21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2" w:right="1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i w:val="1"/>
          <w:iCs w:val="1"/>
          <w:u w:val="single" w:color="auto"/>
          <w:color w:val="auto"/>
        </w:rPr>
        <w:t>Valuation Assumptions</w:t>
      </w:r>
    </w:p>
    <w:p>
      <w:pPr>
        <w:spacing w:after="0" w:line="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color w:val="auto"/>
        </w:rPr>
        <w:t>For the first nine months of fiscal 2019, the Company granted 720,000 PSUs, 1,234,439 RSUs and 72,668 shares of deferred stock. For the first nine months of fiscal 2018, the Company granted 153,888 stock options, 30,000 shares of restricted stock, 1,050,650 RSUs and 82,289 shares of deferred stock.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specified by the Compensation Committee, RSUs, restricted stock and deferred stock are valued using the closing price of the Company’s common stock on the trading day immediately preceding the date of grant.</w:t>
      </w:r>
    </w:p>
    <w:p>
      <w:pPr>
        <w:spacing w:after="0" w:line="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color w:val="auto"/>
        </w:rPr>
        <w:t>The fair value of each option granted is estimated on the date of grant using the Black-Scholes option-pricing model. There were no stock options granted in the first nine months of fiscal 2019. The following assumptions were used for grants for the first nine months of fiscal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440" w:type="dxa"/>
            <w:vAlign w:val="bottom"/>
          </w:tcPr>
          <w:p>
            <w:pPr>
              <w:spacing w:after="0"/>
              <w:rPr>
                <w:sz w:val="11"/>
                <w:szCs w:val="11"/>
                <w:color w:val="auto"/>
              </w:rPr>
            </w:pPr>
          </w:p>
        </w:tc>
        <w:tc>
          <w:tcPr>
            <w:tcW w:w="204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November 3, 2018</w:t>
            </w:r>
          </w:p>
        </w:tc>
      </w:tr>
      <w:tr>
        <w:trPr>
          <w:trHeight w:val="147"/>
        </w:trPr>
        <w:tc>
          <w:tcPr>
            <w:tcW w:w="9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Expected volatility</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48.9% - 57.1%</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9440" w:type="dxa"/>
            <w:vAlign w:val="bottom"/>
          </w:tcPr>
          <w:p>
            <w:pPr>
              <w:spacing w:after="0"/>
              <w:rPr>
                <w:sz w:val="20"/>
                <w:szCs w:val="20"/>
                <w:color w:val="auto"/>
              </w:rPr>
            </w:pPr>
            <w:r>
              <w:rPr>
                <w:rFonts w:ascii="Times New Roman" w:cs="Times New Roman" w:eastAsia="Times New Roman" w:hAnsi="Times New Roman"/>
                <w:sz w:val="11"/>
                <w:szCs w:val="11"/>
                <w:color w:val="auto"/>
              </w:rPr>
              <w:t>Risk-free interest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 - 2.63%</w:t>
            </w:r>
          </w:p>
        </w:tc>
        <w:tc>
          <w:tcPr>
            <w:tcW w:w="120" w:type="dxa"/>
            <w:vAlign w:val="bottom"/>
          </w:tcPr>
          <w:p>
            <w:pPr>
              <w:spacing w:after="0"/>
              <w:rPr>
                <w:sz w:val="13"/>
                <w:szCs w:val="13"/>
                <w:color w:val="auto"/>
              </w:rPr>
            </w:pPr>
          </w:p>
        </w:tc>
      </w:tr>
      <w:tr>
        <w:trPr>
          <w:trHeight w:val="154"/>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Expected life</w:t>
            </w:r>
          </w:p>
        </w:tc>
        <w:tc>
          <w:tcPr>
            <w:tcW w:w="20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2"/>
                <w:szCs w:val="12"/>
                <w:color w:val="auto"/>
              </w:rPr>
              <w:t>3.0 - 4.5 yrs</w:t>
            </w:r>
          </w:p>
        </w:tc>
      </w:tr>
      <w:tr>
        <w:trPr>
          <w:trHeight w:val="141"/>
        </w:trPr>
        <w:tc>
          <w:tcPr>
            <w:tcW w:w="9440" w:type="dxa"/>
            <w:vAlign w:val="bottom"/>
          </w:tcPr>
          <w:p>
            <w:pPr>
              <w:spacing w:after="0"/>
              <w:rPr>
                <w:sz w:val="20"/>
                <w:szCs w:val="20"/>
                <w:color w:val="auto"/>
              </w:rPr>
            </w:pPr>
            <w:r>
              <w:rPr>
                <w:rFonts w:ascii="Times New Roman" w:cs="Times New Roman" w:eastAsia="Times New Roman" w:hAnsi="Times New Roman"/>
                <w:sz w:val="11"/>
                <w:szCs w:val="11"/>
                <w:color w:val="auto"/>
              </w:rPr>
              <w:t>Dividend rate</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Non-Employee Director Compensation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granted 25,751 shares of common stock, with a fair value of approximately $52,493, to certain of its non-employee directors as compensation in lieu of cash in the first nine months of fiscal 2019.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Stock Compensation Expense</w:t>
      </w:r>
    </w:p>
    <w:p>
      <w:pPr>
        <w:spacing w:after="0" w:line="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The Company recognized total stock-based compensation expense of $1.4 million and $1.1 million for the first nine months of fiscal 2019 and fiscal 2018, respectively. The total compensation cost related to time-vested stock options, restricted stock, RSU and PSU awards not yet recognized as of November 2, 2019 was approximately $3.2 million, net of estimated forfeitures, which will be expensed over a weighted average remaining life of 30 months.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Earnings per Share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number of shares outstanding for basic and diluted earnings per share:</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920" w:type="dxa"/>
            <w:vAlign w:val="bottom"/>
          </w:tcPr>
          <w:p>
            <w:pPr>
              <w:spacing w:after="0"/>
              <w:rPr>
                <w:sz w:val="12"/>
                <w:szCs w:val="12"/>
                <w:color w:val="auto"/>
              </w:rPr>
            </w:pPr>
          </w:p>
        </w:tc>
        <w:tc>
          <w:tcPr>
            <w:tcW w:w="2780" w:type="dxa"/>
            <w:vAlign w:val="bottom"/>
            <w:gridSpan w:val="4"/>
          </w:tcPr>
          <w:p>
            <w:pPr>
              <w:ind w:left="660"/>
              <w:spacing w:after="0"/>
              <w:rPr>
                <w:sz w:val="20"/>
                <w:szCs w:val="20"/>
                <w:color w:val="auto"/>
              </w:rPr>
            </w:pPr>
            <w:r>
              <w:rPr>
                <w:rFonts w:ascii="Times New Roman" w:cs="Times New Roman" w:eastAsia="Times New Roman" w:hAnsi="Times New Roman"/>
                <w:sz w:val="11"/>
                <w:szCs w:val="11"/>
                <w:color w:val="auto"/>
              </w:rPr>
              <w:t>For the three months ended</w:t>
            </w:r>
          </w:p>
        </w:tc>
        <w:tc>
          <w:tcPr>
            <w:tcW w:w="2700" w:type="dxa"/>
            <w:vAlign w:val="bottom"/>
            <w:gridSpan w:val="4"/>
          </w:tcPr>
          <w:p>
            <w:pPr>
              <w:ind w:left="700"/>
              <w:spacing w:after="0"/>
              <w:rPr>
                <w:sz w:val="20"/>
                <w:szCs w:val="20"/>
                <w:color w:val="auto"/>
              </w:rPr>
            </w:pPr>
            <w:r>
              <w:rPr>
                <w:rFonts w:ascii="Times New Roman" w:cs="Times New Roman" w:eastAsia="Times New Roman" w:hAnsi="Times New Roman"/>
                <w:sz w:val="11"/>
                <w:szCs w:val="11"/>
                <w:color w:val="auto"/>
              </w:rPr>
              <w:t>For the nine months ended</w:t>
            </w:r>
          </w:p>
        </w:tc>
      </w:tr>
      <w:tr>
        <w:trPr>
          <w:trHeight w:val="145"/>
        </w:trPr>
        <w:tc>
          <w:tcPr>
            <w:tcW w:w="5920" w:type="dxa"/>
            <w:vAlign w:val="bottom"/>
          </w:tcPr>
          <w:p>
            <w:pPr>
              <w:spacing w:after="0"/>
              <w:rPr>
                <w:sz w:val="12"/>
                <w:szCs w:val="12"/>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November 2, 2019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November 3, 2018</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November 2, 2019</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November 3, 2018</w:t>
            </w:r>
          </w:p>
        </w:tc>
      </w:tr>
      <w:tr>
        <w:trPr>
          <w:trHeight w:val="134"/>
        </w:trPr>
        <w:tc>
          <w:tcPr>
            <w:tcW w:w="5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r>
              <w:rPr>
                <w:rFonts w:ascii="Times New Roman" w:cs="Times New Roman" w:eastAsia="Times New Roman" w:hAnsi="Times New Roman"/>
                <w:sz w:val="11"/>
                <w:szCs w:val="11"/>
                <w:b w:val="1"/>
                <w:bCs w:val="1"/>
                <w:i w:val="1"/>
                <w:iCs w:val="1"/>
                <w:color w:val="auto"/>
              </w:rPr>
              <w:t>)</w:t>
            </w: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outstanding:</w:t>
            </w: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1"/>
        </w:trPr>
        <w:tc>
          <w:tcPr>
            <w:tcW w:w="5920" w:type="dxa"/>
            <w:vAlign w:val="bottom"/>
          </w:tcPr>
          <w:p>
            <w:pPr>
              <w:spacing w:after="0"/>
              <w:rPr>
                <w:sz w:val="20"/>
                <w:szCs w:val="20"/>
                <w:color w:val="auto"/>
              </w:rPr>
            </w:pPr>
            <w:r>
              <w:rPr>
                <w:rFonts w:ascii="Times New Roman" w:cs="Times New Roman" w:eastAsia="Times New Roman" w:hAnsi="Times New Roman"/>
                <w:sz w:val="11"/>
                <w:szCs w:val="11"/>
                <w:color w:val="auto"/>
              </w:rPr>
              <w:t>Basic weighted average common 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50,089</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49,352</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49,853</w:t>
            </w:r>
          </w:p>
        </w:tc>
        <w:tc>
          <w:tcPr>
            <w:tcW w:w="2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49,068</w:t>
            </w:r>
          </w:p>
        </w:tc>
        <w:tc>
          <w:tcPr>
            <w:tcW w:w="120" w:type="dxa"/>
            <w:vAlign w:val="bottom"/>
          </w:tcPr>
          <w:p>
            <w:pPr>
              <w:spacing w:after="0"/>
              <w:rPr>
                <w:sz w:val="12"/>
                <w:szCs w:val="12"/>
                <w:color w:val="auto"/>
              </w:rPr>
            </w:pPr>
          </w:p>
        </w:tc>
      </w:tr>
      <w:tr>
        <w:trPr>
          <w:trHeight w:val="149"/>
        </w:trPr>
        <w:tc>
          <w:tcPr>
            <w:tcW w:w="5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0"/>
                <w:szCs w:val="10"/>
                <w:color w:val="auto"/>
              </w:rPr>
              <w:t xml:space="preserve">Common stock equivalents – stock options and restricted stock </w:t>
            </w:r>
            <w:r>
              <w:rPr>
                <w:rFonts w:ascii="Times New Roman" w:cs="Times New Roman" w:eastAsia="Times New Roman" w:hAnsi="Times New Roman"/>
                <w:sz w:val="17"/>
                <w:szCs w:val="17"/>
                <w:color w:val="auto"/>
                <w:vertAlign w:val="superscript"/>
              </w:rPr>
              <w:t>(1)</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5920" w:type="dxa"/>
            <w:vAlign w:val="bottom"/>
          </w:tcPr>
          <w:p>
            <w:pPr>
              <w:spacing w:after="0"/>
              <w:rPr>
                <w:sz w:val="20"/>
                <w:szCs w:val="20"/>
                <w:color w:val="auto"/>
              </w:rPr>
            </w:pPr>
            <w:r>
              <w:rPr>
                <w:rFonts w:ascii="Times New Roman" w:cs="Times New Roman" w:eastAsia="Times New Roman" w:hAnsi="Times New Roman"/>
                <w:sz w:val="11"/>
                <w:szCs w:val="11"/>
                <w:color w:val="auto"/>
              </w:rPr>
              <w:t>Diluted weighted average common shares outstanding</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50,089</w:t>
            </w:r>
          </w:p>
        </w:tc>
        <w:tc>
          <w:tcPr>
            <w:tcW w:w="240" w:type="dxa"/>
            <w:vAlign w:val="bottom"/>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49,352</w:t>
            </w:r>
          </w:p>
        </w:tc>
        <w:tc>
          <w:tcPr>
            <w:tcW w:w="240" w:type="dxa"/>
            <w:vAlign w:val="bottom"/>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49,853</w:t>
            </w:r>
          </w:p>
        </w:tc>
        <w:tc>
          <w:tcPr>
            <w:tcW w:w="260" w:type="dxa"/>
            <w:vAlign w:val="bottom"/>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49,068</w:t>
            </w:r>
          </w:p>
        </w:tc>
        <w:tc>
          <w:tcPr>
            <w:tcW w:w="120" w:type="dxa"/>
            <w:vAlign w:val="bottom"/>
          </w:tcPr>
          <w:p>
            <w:pPr>
              <w:spacing w:after="0"/>
              <w:rPr>
                <w:sz w:val="11"/>
                <w:szCs w:val="11"/>
                <w:color w:val="auto"/>
              </w:rPr>
            </w:pPr>
          </w:p>
        </w:tc>
      </w:tr>
    </w:tbl>
    <w:p>
      <w:pPr>
        <w:spacing w:after="0" w:line="140" w:lineRule="exact"/>
        <w:rPr>
          <w:sz w:val="20"/>
          <w:szCs w:val="20"/>
          <w:color w:val="auto"/>
        </w:rPr>
      </w:pPr>
    </w:p>
    <w:p>
      <w:pPr>
        <w:ind w:left="1020" w:right="20" w:hanging="511"/>
        <w:spacing w:after="0" w:line="280" w:lineRule="auto"/>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Common stock equivalents of 324 shares and 581 shares for the three months ended November 2, 2019 and November 3, 2018, respectively, and 404 shares and 494 shares for the first nine months ended November 2, 2019 and November 3, 2018, respectively, were excluded due to the net loss in each period.</w:t>
      </w:r>
    </w:p>
    <w:p>
      <w:pPr>
        <w:spacing w:after="0" w:line="11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2"/>
          <w:szCs w:val="12"/>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960" w:type="dxa"/>
            <w:vAlign w:val="bottom"/>
          </w:tcPr>
          <w:p>
            <w:pPr>
              <w:spacing w:after="0"/>
              <w:rPr>
                <w:sz w:val="12"/>
                <w:szCs w:val="12"/>
                <w:color w:val="auto"/>
              </w:rPr>
            </w:pPr>
          </w:p>
        </w:tc>
        <w:tc>
          <w:tcPr>
            <w:tcW w:w="2820" w:type="dxa"/>
            <w:vAlign w:val="bottom"/>
            <w:gridSpan w:val="4"/>
          </w:tcPr>
          <w:p>
            <w:pPr>
              <w:ind w:left="680"/>
              <w:spacing w:after="0"/>
              <w:rPr>
                <w:sz w:val="20"/>
                <w:szCs w:val="20"/>
                <w:color w:val="auto"/>
              </w:rPr>
            </w:pPr>
            <w:r>
              <w:rPr>
                <w:rFonts w:ascii="Times New Roman" w:cs="Times New Roman" w:eastAsia="Times New Roman" w:hAnsi="Times New Roman"/>
                <w:sz w:val="11"/>
                <w:szCs w:val="11"/>
                <w:color w:val="auto"/>
              </w:rPr>
              <w:t>For the three months ended</w:t>
            </w:r>
          </w:p>
        </w:tc>
        <w:tc>
          <w:tcPr>
            <w:tcW w:w="2700" w:type="dxa"/>
            <w:vAlign w:val="bottom"/>
            <w:gridSpan w:val="4"/>
          </w:tcPr>
          <w:p>
            <w:pPr>
              <w:ind w:left="700"/>
              <w:spacing w:after="0"/>
              <w:rPr>
                <w:sz w:val="20"/>
                <w:szCs w:val="20"/>
                <w:color w:val="auto"/>
              </w:rPr>
            </w:pPr>
            <w:r>
              <w:rPr>
                <w:rFonts w:ascii="Times New Roman" w:cs="Times New Roman" w:eastAsia="Times New Roman" w:hAnsi="Times New Roman"/>
                <w:sz w:val="11"/>
                <w:szCs w:val="11"/>
                <w:color w:val="auto"/>
              </w:rPr>
              <w:t>For the nine months ended</w:t>
            </w:r>
          </w:p>
        </w:tc>
      </w:tr>
      <w:tr>
        <w:trPr>
          <w:trHeight w:val="145"/>
        </w:trPr>
        <w:tc>
          <w:tcPr>
            <w:tcW w:w="5960" w:type="dxa"/>
            <w:vAlign w:val="bottom"/>
          </w:tcPr>
          <w:p>
            <w:pPr>
              <w:spacing w:after="0"/>
              <w:rPr>
                <w:sz w:val="12"/>
                <w:szCs w:val="12"/>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November 2, 2019</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November 3, 2018</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November 2, 2019</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November 3, 2018</w:t>
            </w:r>
          </w:p>
        </w:tc>
      </w:tr>
      <w:tr>
        <w:trPr>
          <w:trHeight w:val="134"/>
        </w:trPr>
        <w:tc>
          <w:tcPr>
            <w:tcW w:w="59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exercise prices)</w:t>
            </w: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1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819</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963</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963</w:t>
            </w:r>
          </w:p>
        </w:tc>
        <w:tc>
          <w:tcPr>
            <w:tcW w:w="120" w:type="dxa"/>
            <w:vAlign w:val="bottom"/>
            <w:shd w:val="clear" w:color="auto" w:fill="CFF0FC"/>
          </w:tcPr>
          <w:p>
            <w:pPr>
              <w:spacing w:after="0"/>
              <w:rPr>
                <w:sz w:val="12"/>
                <w:szCs w:val="12"/>
                <w:color w:val="auto"/>
              </w:rPr>
            </w:pPr>
          </w:p>
        </w:tc>
      </w:tr>
      <w:tr>
        <w:trPr>
          <w:trHeight w:val="141"/>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units</w:t>
            </w: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1,242</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120" w:type="dxa"/>
            <w:vAlign w:val="bottom"/>
          </w:tcPr>
          <w:p>
            <w:pPr>
              <w:spacing w:after="0"/>
              <w:rPr>
                <w:sz w:val="12"/>
                <w:szCs w:val="12"/>
                <w:color w:val="auto"/>
              </w:rPr>
            </w:pPr>
          </w:p>
        </w:tc>
      </w:tr>
      <w:tr>
        <w:trPr>
          <w:trHeight w:val="14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and deferred stock</w:t>
            </w:r>
          </w:p>
        </w:tc>
        <w:tc>
          <w:tcPr>
            <w:tcW w:w="1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114</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shd w:val="clear" w:color="auto" w:fill="CFF0FC"/>
          </w:tcPr>
          <w:p>
            <w:pPr>
              <w:spacing w:after="0"/>
              <w:rPr>
                <w:sz w:val="12"/>
                <w:szCs w:val="12"/>
                <w:color w:val="auto"/>
              </w:rPr>
            </w:pPr>
          </w:p>
        </w:tc>
      </w:tr>
      <w:tr>
        <w:trPr>
          <w:trHeight w:val="141"/>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Range of exercise prices of such options</w:t>
            </w:r>
          </w:p>
        </w:tc>
        <w:tc>
          <w:tcPr>
            <w:tcW w:w="1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$1.85 - $7.02</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 $7.02</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$7.02</w:t>
            </w: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 $7.02</w:t>
            </w:r>
          </w:p>
        </w:tc>
        <w:tc>
          <w:tcPr>
            <w:tcW w:w="120" w:type="dxa"/>
            <w:vAlign w:val="bottom"/>
          </w:tcPr>
          <w:p>
            <w:pPr>
              <w:spacing w:after="0"/>
              <w:rPr>
                <w:sz w:val="12"/>
                <w:szCs w:val="12"/>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options, which were outstanding at November 2, 2019, expire from March 19, 2020 to June 29, 2028.</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26" w:right="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Shares of unvested restricted stock of 30,000 shares at November 3, 2018 were excluded from the computation of basic earnings per share. There were no unvested shares of restricted stock outstanding at November 2, 2019.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720,000 PSUs are excluded from basic and diluted earnings per share until the market condition is achieved.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Income Taxes</w:t>
      </w:r>
    </w:p>
    <w:p>
      <w:pPr>
        <w:spacing w:after="0" w:line="15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2"/>
          <w:szCs w:val="12"/>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based on the Company’s forecast for fiscal 2019, the Company believes that a full valuation allowance remains appropriate at this time. Realization of the Company’s deferred tax assets is dependent on generating sufficient taxable income in the near term. At November 2, 2019, the Company had total deferred tax assets of $58.6 million, total deferred tax liabilities of $9.9 million and a valuation allowance of $48.7 million.</w:t>
      </w:r>
    </w:p>
    <w:p>
      <w:pPr>
        <w:spacing w:after="0" w:line="1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As of November 2, 2019, for federal income tax purposes, the Company has net operating loss carryforwards of $141.5 million, which will expire from fiscal 2022 through fiscal 2036 and net operating loss carryforwards of $26.6 million that are not subject to expiration. For state income tax purposes, the Company has $94.8 million of net operating losses that are available to offset future taxable income, which will expire from fiscal 2019 through fiscal 2039. Additionally, the Company has $2.9 million of net operating loss carryforwards related to the Company’s operations in Canada, which will expire from fiscal 2025 through fiscal 2039.</w:t>
      </w:r>
    </w:p>
    <w:p>
      <w:pPr>
        <w:spacing w:after="0" w:line="116"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2"/>
          <w:szCs w:val="12"/>
          <w:color w:val="auto"/>
        </w:rPr>
        <w:t>The Company’s financial statements reflect the expected future tax consequences of uncertain tax positions that the Company has taken or expects to take on a tax return, based solely on the technical merits of the tax position. The liability for unrecognized tax benefits at November 2, 2019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2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2"/>
          <w:szCs w:val="12"/>
          <w:color w:val="auto"/>
        </w:rPr>
        <w:t>The discrete tax rate method was used for calculating tax expense for the third quarter and first nine months of fiscal 2019 and fiscal 2018. The Company’s net tax benefit for the third quarter and first nine months of fiscal 2019 was the result of the deferred tax impact of $70,000 and $151,000, respectively, in other comprehensive income (loss), which resulted in a corresponding decrease in valuation allowance. This income tax benefit was partially offset by tax expense, primarily for certain states’ margin tax. The net tax benefit for the third quarter and first nine months of fiscal 2018, primarily related to certain states’ margin tax, which was partially offset by the tax benefit recognized as a result of the deferred tax impact of $45,000 and $92,000, respectively, in other comprehensive income (loss) which resulted in a corresponding decrease in valuation allowance.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CEO Transition Costs</w:t>
      </w:r>
    </w:p>
    <w:p>
      <w:pPr>
        <w:spacing w:after="0" w:line="8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2"/>
          <w:szCs w:val="12"/>
          <w:color w:val="auto"/>
        </w:rPr>
        <w:t>In connection with Mr. Levin’s retirement and the appointment of Mr. Kanter as the Company’s President and Chief Executive Officer, the Company has incurred certain transition costs. For the first nine months of fiscal 2019 and 2018, the Company has incurred $0.7 million and $0.6 million, respectively, related to CEO search costs, Acting CEO consulting costs, housing allowance and legal fees. In addition, in accordance with the terms of the transition agreement between the Company and Mr. Levin, the Company is accruing for estimated future cash payments that Mr. Levin will be entitled to under his transition agreement and existing performance plans, if and when such targets are achieved.</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0"/>
          </w:cols>
          <w:pgMar w:left="220" w:top="272"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10. Corporate Restructuring</w:t>
      </w:r>
    </w:p>
    <w:p>
      <w:pPr>
        <w:spacing w:after="0" w:line="8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color w:val="auto"/>
        </w:rPr>
        <w:t>Results for the third quarter and first nine months of fiscal 2018 included a charge of $0.3 million and $1.9 million, respectively, in connection with its corporate restructuring in May 2018, which reduced its corporate work force by approximately 15%. The charge represented employee severance, one-time termination benefits and other employee-related costs associated with the restructuring.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Exit Costs Associated with London Operations</w:t>
      </w:r>
    </w:p>
    <w:p>
      <w:pPr>
        <w:spacing w:after="0" w:line="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During the third quarter of fiscal 2019, the Company closed its Rochester Clothing store located in London, England. In connection with this store closure, the Company incurred a charge of approximately $1.7 million, which included a non-cash charge of $0.8 million related to the recognition of the accumulated foreign currency translation adjustment. The remainder of the charge primarily related to lease termination and inventory liquidation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00"/>
          </w:cols>
          <w:pgMar w:left="220" w:top="414"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our strategic plans to grow our customer base and drive top-line sales; store counts and store closures, comparable sales growth and free cash flow for fiscal 2019, targeted marketing spend, capital investments, and the impact of the wholesale business on future growth.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2, 2019, included in our Annual Report on Form 10-K for the year ended February 2, 2019, as filed with the Securities and Exchange Commission on March 22, 2019 (our “Fiscal 2018 Annual Report”).</w:t>
      </w:r>
    </w:p>
    <w:p>
      <w:pPr>
        <w:spacing w:after="0" w:line="5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2"/>
          <w:szCs w:val="12"/>
          <w:color w:val="auto"/>
        </w:rPr>
        <w:t>Numerous factors could cause our actual results to differ materially from such forward-looking statements. We encourage readers to refer to the “Risk Factors” section in Part I, Item 1A of our Fiscal 2018 Annual Report, that sets forth certain risks and uncertainties that may have an impact on future results and direction of our Company, including, without limitation, risks relating to the execution of our corporate strategy, and our ability to grow our wholesale segment, predict customer tastes and fashion trends, forecast sales growth trends, maintain and build our brand awareness and compete successfully in our market.</w:t>
      </w:r>
    </w:p>
    <w:p>
      <w:pPr>
        <w:spacing w:after="0" w:line="11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SUMMARY</w:t>
      </w:r>
    </w:p>
    <w:p>
      <w:pPr>
        <w:spacing w:after="0" w:line="81"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2"/>
          <w:szCs w:val="12"/>
          <w:color w:val="auto"/>
        </w:rPr>
        <w:t>Destination XL Group, Inc., together with our consolidated subsidiaries (the “Company”), is the largest specialty retailer of big and tall men’s clothing with retail, wholesale and direct operations in the United States and Canada. We operate under the trade names of Destination 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DXL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DXL Outlets, Casual Male XL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Casual Male XL Outlets and Rochester Clothing. At November 2, 2019, we operated 229 Destination XL stores, 17 DXL outlet stores, 50 Casual Male XL retail stores, 28 Casual Male XL outlet stores and 2 Rochester Clothing stores. Our e-commerce site, dxl.com, supports our stores, brands and product extensions.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2"/>
          <w:szCs w:val="12"/>
          <w:color w:val="auto"/>
        </w:rPr>
        <w:t>Unless the context indicates otherwise, all references to “we,” “our,” “us” and “the Company” refer to Destination XL Group, Inc. and our consolidated subsidiaries. We refer to our fiscal years, which end on February 1, 2020 and February 2, 2019 as “fiscal 2019” and “fiscal 2018,” respectively. Both fiscal 2019 and fiscal 2018 are 52-week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REPORTING</w:t>
      </w:r>
    </w:p>
    <w:p>
      <w:pPr>
        <w:spacing w:after="0" w:line="8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2"/>
          <w:szCs w:val="12"/>
          <w:color w:val="auto"/>
        </w:rPr>
        <w:t>Historically, we have had two principal operating segments: our stores and direct businesses. We consider these two operating segments to be similar in terms of economic characteristics, production processes and operations, and have therefore aggregated them into one reportable segment, retail segment, consistent with our omni-channel business approach. In fiscal 2018, we launched a wholesale segment, which we consider a third operating segment. However, due to the immateriality of the wholesale segment’s revenues, profits and assets for the nine months ended November 2, 2019 and November 3, 2018, its operating results have been aggregated with the retail segment for both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COMPARABLE SALES</w:t>
      </w:r>
    </w:p>
    <w:p>
      <w:pPr>
        <w:spacing w:after="0" w:line="8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2"/>
          <w:szCs w:val="12"/>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After our announcement in the beginning of fiscal 2019 that we would be closing our Rochester Clothing stores, we removed these stores from the comparable sales base. The method of calculating comparable sales varies across the retail industry and, as a result, our calculation of comparable sales is not necessarily comparable to similarly titled measures reported by other retailers.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270" w:right="219" w:bottom="1440" w:gutter="0" w:footer="0" w:header="0"/>
        </w:sectPr>
      </w:pPr>
    </w:p>
    <w:bookmarkStart w:id="20" w:name="page21"/>
    <w:bookmarkEnd w:id="20"/>
    <w:p>
      <w:pPr>
        <w:ind w:right="40"/>
        <w:spacing w:after="0" w:line="258" w:lineRule="auto"/>
        <w:rPr>
          <w:sz w:val="20"/>
          <w:szCs w:val="20"/>
          <w:color w:val="auto"/>
        </w:rPr>
      </w:pPr>
      <w:r>
        <w:rPr>
          <w:rFonts w:ascii="Times New Roman" w:cs="Times New Roman" w:eastAsia="Times New Roman" w:hAnsi="Times New Roman"/>
          <w:sz w:val="12"/>
          <w:szCs w:val="12"/>
          <w:color w:val="auto"/>
        </w:rPr>
        <w:t>Our customer’s shopping experience continues to evolve across multiple channels and we are continually adapting to meet his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Because this omni-channel approach to retailing is changing the boundaries of where a sale originates and where a sale is ultimately settled, we do not report comparable sales separately for our retail segment. However, as we continue to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following is a summary of results for the third quarter and first nine months of fiscal 2019 as compared to the third quarter and first nine months of the prior year, including adjusted EBITDA, which is a non-GAAP measure. Please see “Non-GAAP Financial Measures” below for a reconciliation of net loss to adjusted EBITDA.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80" w:type="dxa"/>
            <w:vAlign w:val="bottom"/>
            <w:gridSpan w:val="3"/>
          </w:tcPr>
          <w:p>
            <w:pPr>
              <w:jc w:val="right"/>
              <w:ind w:right="791"/>
              <w:spacing w:after="0"/>
              <w:rPr>
                <w:sz w:val="20"/>
                <w:szCs w:val="20"/>
                <w:color w:val="auto"/>
              </w:rPr>
            </w:pPr>
            <w:r>
              <w:rPr>
                <w:rFonts w:ascii="Times New Roman" w:cs="Times New Roman" w:eastAsia="Times New Roman" w:hAnsi="Times New Roman"/>
                <w:sz w:val="10"/>
                <w:szCs w:val="10"/>
                <w:color w:val="auto"/>
                <w:w w:val="94"/>
              </w:rPr>
              <w:t>For the three months ended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For the nine months ended</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November 2, 2019</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November 3, 2018</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November 2, 2019</w:t>
            </w:r>
          </w:p>
        </w:tc>
        <w:tc>
          <w:tcPr>
            <w:tcW w:w="400" w:type="dxa"/>
            <w:vAlign w:val="bottom"/>
          </w:tcPr>
          <w:p>
            <w:pPr>
              <w:spacing w:after="0"/>
              <w:rPr>
                <w:sz w:val="9"/>
                <w:szCs w:val="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color w:val="auto"/>
                <w:w w:val="93"/>
              </w:rPr>
              <w:t>November 3, 2018</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0" w:type="dxa"/>
            <w:vAlign w:val="bottom"/>
            <w:tcBorders>
              <w:top w:val="single" w:sz="8" w:color="CFF0FC"/>
            </w:tcBorders>
            <w:gridSpan w:val="3"/>
            <w:shd w:val="clear" w:color="auto" w:fill="CFF0FC"/>
          </w:tcPr>
          <w:p>
            <w:pPr>
              <w:spacing w:after="0" w:line="89" w:lineRule="exact"/>
              <w:rPr>
                <w:sz w:val="20"/>
                <w:szCs w:val="20"/>
                <w:color w:val="auto"/>
              </w:rPr>
            </w:pPr>
            <w:r>
              <w:rPr>
                <w:rFonts w:ascii="Times New Roman" w:cs="Times New Roman" w:eastAsia="Times New Roman" w:hAnsi="Times New Roman"/>
                <w:sz w:val="10"/>
                <w:szCs w:val="10"/>
                <w:i w:val="1"/>
                <w:iCs w:val="1"/>
                <w:color w:val="auto"/>
              </w:rPr>
              <w:t>(in millions, except per share data)</w:t>
            </w:r>
          </w:p>
        </w:tc>
        <w:tc>
          <w:tcPr>
            <w:tcW w:w="1100" w:type="dxa"/>
            <w:vAlign w:val="bottom"/>
            <w:tcBorders>
              <w:top w:val="single" w:sz="8" w:color="auto"/>
            </w:tcBorders>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122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24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11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3280" w:type="dxa"/>
            <w:vAlign w:val="bottom"/>
            <w:tcBorders>
              <w:top w:val="single" w:sz="8" w:color="CFF0FC"/>
            </w:tcBorders>
          </w:tcPr>
          <w:p>
            <w:pPr>
              <w:spacing w:after="0"/>
              <w:rPr>
                <w:sz w:val="8"/>
                <w:szCs w:val="8"/>
                <w:color w:val="auto"/>
              </w:rPr>
            </w:pPr>
          </w:p>
        </w:tc>
        <w:tc>
          <w:tcPr>
            <w:tcW w:w="1100" w:type="dxa"/>
            <w:vAlign w:val="bottom"/>
            <w:tcBorders>
              <w:top w:val="single" w:sz="8" w:color="CFF0FC"/>
            </w:tcBorders>
          </w:tcPr>
          <w:p>
            <w:pPr>
              <w:jc w:val="right"/>
              <w:ind w:right="1031"/>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CFF0FC"/>
            </w:tcBorders>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(7.2)</w:t>
            </w:r>
          </w:p>
        </w:tc>
        <w:tc>
          <w:tcPr>
            <w:tcW w:w="1220" w:type="dxa"/>
            <w:vAlign w:val="bottom"/>
            <w:tcBorders>
              <w:top w:val="single" w:sz="8" w:color="CFF0FC"/>
            </w:tcBorders>
          </w:tcPr>
          <w:p>
            <w:pPr>
              <w:jc w:val="right"/>
              <w:ind w:right="1151"/>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CFF0FC"/>
            </w:tcBorders>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(2.0)</w:t>
            </w:r>
          </w:p>
        </w:tc>
        <w:tc>
          <w:tcPr>
            <w:tcW w:w="200" w:type="dxa"/>
            <w:vAlign w:val="bottom"/>
            <w:tcBorders>
              <w:top w:val="single" w:sz="8" w:color="CFF0FC"/>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540" w:type="dxa"/>
            <w:vAlign w:val="bottom"/>
            <w:tcBorders>
              <w:top w:val="single" w:sz="8" w:color="CFF0FC"/>
            </w:tcBorders>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(10.2)</w:t>
            </w:r>
          </w:p>
        </w:tc>
        <w:tc>
          <w:tcPr>
            <w:tcW w:w="400" w:type="dxa"/>
            <w:vAlign w:val="bottom"/>
            <w:tcBorders>
              <w:top w:val="single" w:sz="8" w:color="CFF0FC"/>
            </w:tcBorders>
          </w:tcPr>
          <w:p>
            <w:pPr>
              <w:jc w:val="right"/>
              <w:ind w:right="2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CFF0FC"/>
            </w:tcBorders>
            <w:gridSpan w:val="2"/>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(6.3)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Adjusted EBITDA (Non-GAAP basis)</w:t>
            </w:r>
          </w:p>
        </w:tc>
        <w:tc>
          <w:tcPr>
            <w:tcW w:w="11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30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1151"/>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6.6</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13.6</w:t>
            </w: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2"/>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20.7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4600" w:type="dxa"/>
            <w:vAlign w:val="bottom"/>
            <w:gridSpan w:val="3"/>
            <w:shd w:val="clear" w:color="auto" w:fill="CFF0FC"/>
          </w:tcPr>
          <w:p>
            <w:pPr>
              <w:spacing w:after="0" w:line="100" w:lineRule="exact"/>
              <w:rPr>
                <w:sz w:val="20"/>
                <w:szCs w:val="20"/>
                <w:color w:val="auto"/>
              </w:rPr>
            </w:pPr>
            <w:r>
              <w:rPr>
                <w:rFonts w:ascii="Times New Roman" w:cs="Times New Roman" w:eastAsia="Times New Roman" w:hAnsi="Times New Roman"/>
                <w:sz w:val="10"/>
                <w:szCs w:val="10"/>
                <w:color w:val="auto"/>
              </w:rPr>
              <w:t>Per diluted share:</w:t>
            </w:r>
          </w:p>
        </w:tc>
        <w:tc>
          <w:tcPr>
            <w:tcW w:w="1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0"/>
                <w:szCs w:val="10"/>
                <w:color w:val="auto"/>
              </w:rPr>
              <w:t>Net loss</w:t>
            </w:r>
          </w:p>
        </w:tc>
        <w:tc>
          <w:tcPr>
            <w:tcW w:w="3960" w:type="dxa"/>
            <w:vAlign w:val="bottom"/>
            <w:tcBorders>
              <w:top w:val="single" w:sz="8" w:color="CFF0FC"/>
            </w:tcBorders>
            <w:gridSpan w:val="2"/>
          </w:tcPr>
          <w:p>
            <w:pPr>
              <w:spacing w:after="0"/>
              <w:rPr>
                <w:sz w:val="8"/>
                <w:szCs w:val="8"/>
                <w:color w:val="auto"/>
              </w:rPr>
            </w:pPr>
          </w:p>
        </w:tc>
        <w:tc>
          <w:tcPr>
            <w:tcW w:w="1100" w:type="dxa"/>
            <w:vAlign w:val="bottom"/>
            <w:tcBorders>
              <w:top w:val="single" w:sz="8" w:color="CFF0FC"/>
            </w:tcBorders>
          </w:tcPr>
          <w:p>
            <w:pPr>
              <w:jc w:val="right"/>
              <w:ind w:right="1031"/>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CFF0FC"/>
            </w:tcBorders>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(0.14)</w:t>
            </w:r>
          </w:p>
        </w:tc>
        <w:tc>
          <w:tcPr>
            <w:tcW w:w="1220" w:type="dxa"/>
            <w:vAlign w:val="bottom"/>
            <w:tcBorders>
              <w:top w:val="single" w:sz="8" w:color="CFF0FC"/>
            </w:tcBorders>
          </w:tcPr>
          <w:p>
            <w:pPr>
              <w:jc w:val="right"/>
              <w:ind w:right="1151"/>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CFF0FC"/>
            </w:tcBorders>
            <w:gridSpan w:val="2"/>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(0.04)</w:t>
            </w:r>
          </w:p>
        </w:tc>
        <w:tc>
          <w:tcPr>
            <w:tcW w:w="200" w:type="dxa"/>
            <w:vAlign w:val="bottom"/>
            <w:tcBorders>
              <w:top w:val="single" w:sz="8" w:color="CFF0FC"/>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540" w:type="dxa"/>
            <w:vAlign w:val="bottom"/>
            <w:tcBorders>
              <w:top w:val="single" w:sz="8" w:color="CFF0FC"/>
            </w:tcBorders>
            <w:gridSpan w:val="2"/>
          </w:tcPr>
          <w:p>
            <w:pPr>
              <w:jc w:val="right"/>
              <w:ind w:right="260"/>
              <w:spacing w:after="0" w:line="98" w:lineRule="exact"/>
              <w:rPr>
                <w:sz w:val="20"/>
                <w:szCs w:val="20"/>
                <w:color w:val="auto"/>
              </w:rPr>
            </w:pPr>
            <w:r>
              <w:rPr>
                <w:rFonts w:ascii="Times New Roman" w:cs="Times New Roman" w:eastAsia="Times New Roman" w:hAnsi="Times New Roman"/>
                <w:sz w:val="10"/>
                <w:szCs w:val="10"/>
                <w:color w:val="auto"/>
              </w:rPr>
              <w:t>(0.21)</w:t>
            </w:r>
          </w:p>
        </w:tc>
        <w:tc>
          <w:tcPr>
            <w:tcW w:w="400" w:type="dxa"/>
            <w:vAlign w:val="bottom"/>
            <w:tcBorders>
              <w:top w:val="single" w:sz="8" w:color="CFF0FC"/>
            </w:tcBorders>
          </w:tcPr>
          <w:p>
            <w:pPr>
              <w:jc w:val="right"/>
              <w:ind w:right="2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CFF0FC"/>
            </w:tcBorders>
            <w:gridSpan w:val="2"/>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(0.13)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Adjusted net loss (Non-GAAP basis)</w:t>
            </w:r>
          </w:p>
        </w:tc>
        <w:tc>
          <w:tcPr>
            <w:tcW w:w="11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rPr>
              <w:t>(0.08)</w:t>
            </w:r>
          </w:p>
        </w:tc>
        <w:tc>
          <w:tcPr>
            <w:tcW w:w="1220" w:type="dxa"/>
            <w:vAlign w:val="bottom"/>
            <w:shd w:val="clear" w:color="auto" w:fill="CFF0FC"/>
          </w:tcPr>
          <w:p>
            <w:pPr>
              <w:jc w:val="right"/>
              <w:ind w:right="1151"/>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(0.02)</w:t>
            </w:r>
          </w:p>
        </w:tc>
        <w:tc>
          <w:tcPr>
            <w:tcW w:w="2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540" w:type="dxa"/>
            <w:vAlign w:val="bottom"/>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rPr>
              <w:t>(0.12)</w:t>
            </w:r>
          </w:p>
        </w:tc>
        <w:tc>
          <w:tcPr>
            <w:tcW w:w="400" w:type="dxa"/>
            <w:vAlign w:val="bottom"/>
            <w:shd w:val="clear" w:color="auto" w:fill="CFF0FC"/>
          </w:tcPr>
          <w:p>
            <w:pPr>
              <w:jc w:val="right"/>
              <w:ind w:right="292"/>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(0.06)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Summary</w:t>
      </w:r>
    </w:p>
    <w:p>
      <w:pPr>
        <w:spacing w:after="0" w:line="8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2"/>
          <w:szCs w:val="12"/>
          <w:color w:val="auto"/>
        </w:rPr>
        <w:t>While we were disappointed with our results for the third quarter, we were pleased to see quarter-over-quarter improvement in sales, with an increase in our comparable sales for the third quarter of 0.2%. Comparable sales were low single-digit negative at the start of the third quarter, but improved over the 13 weeks, with positive comparable sales in October in the low single-digits. We were also pleased with the growth in our direct business during the third quarter, which increased mid-single digits over the prior year driven by double-digit DXL.com (DTC) traffic. Contributing to our total sales during the third quarter of fiscal 2019 was our wholesale business, which generated $2.9 million, or an increase of $2.5 million over the prior year quarter. We are pleased with the steady progress we are making with this new business, with total sales for the first nine months of fiscal 2019 of $8.0 million.</w:t>
      </w:r>
    </w:p>
    <w:p>
      <w:pPr>
        <w:spacing w:after="0" w:line="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Gross margin for the third quarter decreased approximately 310 basis points from last year’s third quarter. During the quarter, we tested a variety of new promotional events to further drive the omni-channel retail experience, aligning direct and store promotions. While the promotional events were unsuccessful in driving the sales results we had hoped for, we did gain some valuable insights that will benefit our future promotions. We had expected the tests we developed and implemented in-store could be capable of driving incremental traffic and while they did achieve that directionally, the promotions were not sufficiently offset by traffic. We also saw a higher sell through of clearance merchandise. Lastly, our gross margin also was impacted by a change to our internal inventory aging policy as part of our ongoing "diagnostic" of the inventory mix. In recent years, our tailored clothing assortments have struggled from a noticeable shift and continued shift in customer preference to casual sportswear. As a result, the inventory diagnostic in the third quarter resulted in an increase in our lower of cost or market reserves on certain aged inventory, particularly in tailored clothing. As a result of this exercise, we recorded a $0.9 million non-cash charge to gross margin to maintain a healthy inventory position. As we previously mentioned, as our wholesale business grows, it will continue to negatively impact our gross margin rate, due to the nature of those margins being significantly lower than our retail business.</w:t>
      </w:r>
    </w:p>
    <w:p>
      <w:pPr>
        <w:spacing w:after="0" w:line="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color w:val="auto"/>
        </w:rPr>
        <w:t>Our results for the third quarter of fiscal 2019 also included a charge of $1.7 million related to the closure of our London Rochester Clothing store and the exit from our London operations. The largest component of this charge was the recognition of the accumulated foreign currency translation adjustment of approximately $0.8 million. The remainder of the charge related primarily to lease termination and inventory liquidation costs.</w:t>
      </w:r>
    </w:p>
    <w:p>
      <w:pPr>
        <w:spacing w:after="0" w:line="33"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12"/>
          <w:szCs w:val="12"/>
          <w:color w:val="auto"/>
        </w:rPr>
        <w:t>For the first nine months of fiscal 2019, our cash flow from operations decreased by $13.1 million as compared to the prior year’s first nine months, primarily due to a decrease in Adjusted EBITDA and the timing of working capital, namely accrued expenses and accounts payable. Our inventory on November 2, 2019 increased approximately $3.8 million as compared to November 3, 2018. This increase was due to an increase in wholesale inventory as well as an increase in style-presentation levels in our better and best collections in our stores as we drive branded collections.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Outlook</w:t>
      </w:r>
    </w:p>
    <w:p>
      <w:pPr>
        <w:spacing w:after="0" w:line="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For fiscal 2019, we expect comparable sales in our omni-channel retail business to be flat and free cash flow to be breakeven. Since Harvey Kanter joined the Company on April 1, 2019, we have made progress in developing the mission, vision and strategic plan, which informs and defines our transformation as we have begun to execute the strategy to engage big and tall men across the omni-</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1" w:name="page22"/>
    <w:bookmarkEnd w:id="21"/>
    <w:p>
      <w:pPr>
        <w:jc w:val="both"/>
        <w:ind w:right="220"/>
        <w:spacing w:after="0" w:line="269" w:lineRule="auto"/>
        <w:rPr>
          <w:sz w:val="20"/>
          <w:szCs w:val="20"/>
          <w:color w:val="auto"/>
        </w:rPr>
      </w:pPr>
      <w:r>
        <w:rPr>
          <w:rFonts w:ascii="Times New Roman" w:cs="Times New Roman" w:eastAsia="Times New Roman" w:hAnsi="Times New Roman"/>
          <w:sz w:val="12"/>
          <w:szCs w:val="12"/>
          <w:color w:val="auto"/>
        </w:rPr>
        <w:t>channel landscape. We are making capital investments in both our customer relationship and our data infrastructure and analytics capabilities. We believe these investments are required as we move forward in the digitally-driven retail environment in which we operate today. A significant step toward this ongoing commitment to building out a digitally-centric marketing organization was the appointment in October 2019 of Erica Thompson as our Chief Marketing Officer and the appointment in November 2019 of Ujjwal Dhoot as Chief Digital Officer.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fourth quarter of fiscal 2019, we plan to close the two remaining Rochester Clothing stores and one DXL retail store.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Summary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0"/>
                <w:szCs w:val="10"/>
                <w:color w:val="auto"/>
              </w:rPr>
              <w:t>Third Quarter</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color w:val="auto"/>
              </w:rPr>
              <w:t>First Nine Months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jc w:val="right"/>
              <w:ind w:right="105"/>
              <w:spacing w:after="0" w:line="98" w:lineRule="exact"/>
              <w:rPr>
                <w:sz w:val="20"/>
                <w:szCs w:val="20"/>
                <w:color w:val="auto"/>
              </w:rPr>
            </w:pPr>
            <w:r>
              <w:rPr>
                <w:rFonts w:ascii="Times New Roman" w:cs="Times New Roman" w:eastAsia="Times New Roman" w:hAnsi="Times New Roman"/>
                <w:sz w:val="10"/>
                <w:szCs w:val="10"/>
                <w:i w:val="1"/>
                <w:iCs w:val="1"/>
                <w:color w:val="auto"/>
              </w:rPr>
              <w:t>(in millions)</w:t>
            </w:r>
          </w:p>
        </w:tc>
        <w:tc>
          <w:tcPr>
            <w:tcW w:w="1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Sales for fiscal 2018</w:t>
            </w:r>
          </w:p>
        </w:tc>
        <w:tc>
          <w:tcPr>
            <w:tcW w:w="1180" w:type="dxa"/>
            <w:vAlign w:val="bottom"/>
            <w:shd w:val="clear" w:color="auto" w:fill="CFF0FC"/>
          </w:tcPr>
          <w:p>
            <w:pPr>
              <w:jc w:val="right"/>
              <w:ind w:right="10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107.1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342.6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2"/>
                <w:szCs w:val="12"/>
                <w:color w:val="auto"/>
              </w:rPr>
              <w:t>Less 2018 sales for stores that have closed /converted</w:t>
            </w:r>
          </w:p>
        </w:tc>
        <w:tc>
          <w:tcPr>
            <w:tcW w:w="11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w:t>
            </w:r>
          </w:p>
        </w:tc>
        <w:tc>
          <w:tcPr>
            <w:tcW w:w="26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6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ind w:right="10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105.1</w:t>
            </w: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337.3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 in comparable sales</w:t>
            </w:r>
          </w:p>
        </w:tc>
        <w:tc>
          <w:tcPr>
            <w:tcW w:w="11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2"/>
                <w:szCs w:val="12"/>
                <w:color w:val="auto"/>
              </w:rPr>
              <w:t>Change in wholesale revenue</w:t>
            </w: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Non-comparable sales</w:t>
            </w:r>
          </w:p>
        </w:tc>
        <w:tc>
          <w:tcPr>
            <w:tcW w:w="1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(0.1)</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2"/>
                <w:szCs w:val="12"/>
                <w:color w:val="auto"/>
              </w:rPr>
              <w:t>Other, net</w:t>
            </w:r>
          </w:p>
        </w:tc>
        <w:tc>
          <w:tcPr>
            <w:tcW w:w="11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Sales for fiscal 2019</w:t>
            </w:r>
          </w:p>
        </w:tc>
        <w:tc>
          <w:tcPr>
            <w:tcW w:w="1180" w:type="dxa"/>
            <w:vAlign w:val="bottom"/>
            <w:tcBorders>
              <w:top w:val="single" w:sz="8" w:color="auto"/>
              <w:bottom w:val="single" w:sz="8" w:color="auto"/>
            </w:tcBorders>
            <w:shd w:val="clear" w:color="auto" w:fill="CFF0FC"/>
          </w:tcPr>
          <w:p>
            <w:pPr>
              <w:jc w:val="right"/>
              <w:ind w:right="10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106.6</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342.8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Total sales for the third quarter of fiscal 2019 decreased 0.5% to $106.6 million from $107.1 million in the third quarter of fiscal 2018. The decrease of $0.5 million in total sales was principally due to a decrease in sales of $2.0 million from closed stores and a decrease in other revenue, which includes loyalty and alterations, of approximately $1.1 million. These decreases were partially offset by an increase in wholesale revenue of $2.5 million and comparable sales increase for the third quarter of 0.2%, or $0.2 million. Comparable sales during the third quarter of fiscal 2019 improved during the quarter with comparable sales in August down 2.3%, September up 0.2% and October up 2.5%. While traffic continues to be down, our conversion rate and number of transactions were up low single digits. We did see a decrease in our dollars per transaction, which was primarily driven by our promotional and clearance activity. With respect to our direct business, we saw a double-digit percentage increase in site traffic, which resulted in a mid-single digit increase in direct sales for the third quarter of fiscal 2019.</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color w:val="auto"/>
        </w:rPr>
        <w:t>For the first nine months of fiscal 2019, our total sales increased 0.1% to $342.8 million as compared to $342.6 million for the first nine months of fiscal 2018. The increase of $0.2 million was principally due to an increase in wholesale revenue of $7.6 million partially offset by a decrease in sales from closed stores of $5.3 million and a decrease in comparable sales of (0.3)%, or $1.1 million for the first nine months of fiscal 2019.</w:t>
      </w:r>
    </w:p>
    <w:p>
      <w:pPr>
        <w:spacing w:after="0" w:line="3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color w:val="auto"/>
        </w:rPr>
        <w:t>On a trailing twelve-month basis, direct sales as a percentage of total retail sales were 22.4% at the end of the third quarter of fiscal 2019 as compared to 21.2% at the end of the third quarter of the prior year. For the first nine months of fiscal 2019, our direct sales were 21.5%, up from 20.4% for the first nine months of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Gross Profit Margin</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For the third quarter of fiscal 2019, our gross margin rate, inclusive of occupancy costs, was 41.1% as compared to a gross margin rate of 44.0% for the third quarter of fiscal 2018. The decrease of 290 basis points was due to a decrease in merchandise margins of 310 basis points partially offset by a 20 basis point improvement in occupancy costs as a percent of sales. The 310 basis point decrease in merchandise margin, as compared to the prior year’s third quarter, was due, in part, to approximately 110 basis points related to higher clearance selling and promotional activity. The remainder of the merchandise margin decrease came from an inventory diagnostic that resulted in an 80 basis point decrease related to the write-off of aged inventory and 120 basis points due to the growth of our wholesale segment, which by its nature has lower merchandise margins than our retail business. The 80 basis point decrease for the write-off of aged inventory was due to a change to our inventory aging policy for which we incurred a charge of approximately $0.9 million, which represented approximately 0.8% of our total inventory cost. The improvement in occupancy costs, as a percentage of sales, was due to a decrease of $0.4 million in total occupancy costs, primarily related to closed stores, as compared to the prior year’s third quarter.</w:t>
      </w:r>
    </w:p>
    <w:p>
      <w:pPr>
        <w:spacing w:after="0" w:line="5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For the first nine months of fiscal 2019, our gross margin rate, inclusive of occupancy costs, was 43.1% as compared to a gross margin rate of 45.0% for the first nine months of fiscal 2018. The decrease of 190 basis points was due to a decrease in merchandise margins of 240 basis points partially offset by a 50 basis point improvement in occupancy costs as a percent of sales. The 240 basis point decrease in merchandise margin was due to approximately 110 basis points related to higher clearance selling and promotional activity, 30 basis points related to the write-off of aged inventory and 100 basis points due to the growth of our wholesale segment.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The improvement in occupancy costs, as a percentage of sales, was due to a decrease of $1.8 million in total occupancy costs, primarily related to closed stores, as compared to the prior year’s first nine months.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7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2"/>
          <w:szCs w:val="12"/>
          <w:color w:val="auto"/>
        </w:rPr>
        <w:t>As a percentage of sales, SG&amp;A expenses for the third quarter of fiscal 2019 were 39.5% as compared to 37.8% for the third quarter of fiscal 2018. On a dollar basis, SG&amp;A increased by $1.7 million for the third quarter of fiscal 2019. This increase was primarily attributable to increases in corporate severance of $0.5 million, $0.3 million in marketing costs, $0.4 million in information technology and an increase of $0.2 million in expenses related to our wholesale segment. In addition, as a result of adopting the new lease accounting standard (ASC 842) at the beginning of fiscal 2019, we are no longer receiving a $0.4 million quarterly benefit from amortizing a deferred gain related to the sale-leaseback of our corporate office.</w:t>
      </w:r>
    </w:p>
    <w:p>
      <w:pPr>
        <w:spacing w:after="0" w:line="4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2"/>
          <w:szCs w:val="12"/>
          <w:color w:val="auto"/>
        </w:rPr>
        <w:t>For the first nine months of fiscal 2019, SG&amp;A expenses were 39.1% as compared to 39.0% for the first nine months of fiscal 2018. On a dollar basis, SG&amp;A expense increased $0.6 million, primarily due to the prior period’s recognition of $1.1 million of deferred gain on the sale-leaseback, as discussed above, and an insurance gain of $0.6 million in the prior year, which did not repeat in fiscal 2019. In addition, wholesale business expenses increased $0.6 million, corporate severance increased $0.5 million and supporting costs for our direct business increased $0.5 million, which ties directly to our growth in the direct business. Partially offsetting these increases in SG&amp;A expenses were savings of $2.3 million recognized in the first half of fiscal 2019 due to the corporate restructuring in May 2018, a decrease of approximately $0.2 million in marketing and a decrease of $0.3 million in incentive accruals.</w:t>
      </w:r>
    </w:p>
    <w:p>
      <w:pPr>
        <w:spacing w:after="0" w:line="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SG&amp;A expenses are managed through two primary cost centers: Customer Facing Costs and Corporate Supporting Costs. Customer Facing Costs, which include store payroll, marketing, and other store operating costs, represented 22.9% of sales for the first nine months of fiscal 2019 as compared to 23.0% of sales for the first nine months of last year. On an annual basis, management targets marketing expenses to be at approximately 5% of sales. Corporate Supporting Costs, which include the distribution center, support, and other corporate overhead costs, represented 16.2% of sales for the first nine months of fiscal 2019 compared to 16.0% of sales for the first nine months of last year. The Company continues to examine and rationalize its entire SG&amp;A cost structure to improve its EBITDA margins and overall profitability.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Depreciation and amortization for the third quarter and first nine months of fiscal 2019 of $6.3 million and $18.9 million, respectively, decreased from $7.2 million and $21.9 million, respectively, for the third quarter and first nine months of fiscal 2018. With the majority of our new store growth complete, our depreciation costs are decreasing. In addition, depreciation and amortization in the prior year included amortization on our Casual Male trademark, which is now fully amortized.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Net</w:t>
      </w:r>
    </w:p>
    <w:p>
      <w:pPr>
        <w:spacing w:after="0" w:line="7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Net interest expense for the third quarter of fiscal 2019 increased to $0.9 million as compared to $0.8 million for the third quarter of fiscal 2018 due to an increase in both average borrowings and effective borrowing rates. Net interest expense for the first nine months of fiscal 2019 decreased by less than $0.1 million to $2.6 million as compared to the first nine months of fiscal 2018. This slight decrease in interest costs was due to the write-off of debt issuance costs in fiscal 2018 associated with the prepayment of our term loan, partially offset by a slight increase in average borrowings and an increase in effective borrowing rates for the first nine months of fiscal 2019 as compared to the prior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established a full valuation allowance against our deferred tax assets at the end of fiscal 2013. Based on our forecast for fiscal 2019, we believe that a full valuation allowance continues to remain appropriate at this time.</w:t>
      </w:r>
    </w:p>
    <w:p>
      <w:pPr>
        <w:spacing w:after="0" w:line="1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The discrete tax rate method was used for calculating tax expense. Due to current period losses, our current tax provision for the first nine months of fiscal 2019 and fiscal 2018 was primarily due to current state margin tax, based on gross receipts less certain deductions. The total income tax benefit for the third quarter and first nine months of fiscal 2019 included a deferred tax impact of $70,000 and $151,000, respectively, in other comprehensive income (loss), which resulted in a tax benefit on the Consolidated Statement of Operations related to the corresponding decrease in valuation allowance. Similarly, the total income tax benefit for the third quarter and first nine months of fiscal 2018 included a deferred tax impact of $45,000 and $92,000, respectively, in other comprehensive income (loss) which resulted in a tax benefit due to its corresponding decrease in valuation allowance.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Loss</w:t>
      </w:r>
    </w:p>
    <w:p>
      <w:pPr>
        <w:spacing w:after="0" w:line="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For the third quarter of fiscal 2019, we had a net loss of $(7.2) million, or $(0.14) per diluted share, compared with a net loss of $(2.0) million, or $(0.04) per diluted share, for the third quarter of fiscal 2018. For the first nine months of fiscal 2019, we had a net loss of $(10.2) million, or $(0.21) per diluted share, as compared with a net loss of $(6.3) million, or $(0.13) per diluted share.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23" w:name="page24"/>
    <w:bookmarkEnd w:id="23"/>
    <w:p>
      <w:pPr>
        <w:jc w:val="both"/>
        <w:ind w:right="240"/>
        <w:spacing w:after="0" w:line="269" w:lineRule="auto"/>
        <w:rPr>
          <w:sz w:val="20"/>
          <w:szCs w:val="20"/>
          <w:color w:val="auto"/>
        </w:rPr>
      </w:pPr>
      <w:r>
        <w:rPr>
          <w:rFonts w:ascii="Times New Roman" w:cs="Times New Roman" w:eastAsia="Times New Roman" w:hAnsi="Times New Roman"/>
          <w:sz w:val="12"/>
          <w:szCs w:val="12"/>
          <w:color w:val="auto"/>
        </w:rPr>
        <w:t>On a non-GAAP basis, before exit costs associated with our London operations, CEO transition costs, corporate restructuring charges and assuming a normalized tax rate of 26% for all periods, adjusted net loss per share for the third quarter and first nine months of fiscal 2019 was ($0.08) per diluted share and ($0.12) per diluted share, respectively, as compared to adjusted net loss of ($0.02) per diluted share and ($0.06) per diluted share, respectively, for the third quarter and first nine months of 2018.</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Inventory</w:t>
      </w:r>
    </w:p>
    <w:p>
      <w:pPr>
        <w:spacing w:after="0" w:line="7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2"/>
          <w:szCs w:val="12"/>
          <w:color w:val="auto"/>
        </w:rPr>
        <w:t>Our inventory on November 2, 2019, increased approximately $3.8 million to $120.2 million, as compared to $116.4 million at November 3, 2018. The increase was primarily due to an increase in wholesale inventory as well as an increase in style-presentation levels in our better and best collections in our retail stores as we drive branded collections. At November 2, 2019, our clearance inventory represented 10.0% of our total inventory, as compared to 11.3% at November 3,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2"/>
          <w:szCs w:val="12"/>
          <w:color w:val="auto"/>
        </w:rPr>
        <w:t>Our primary sources of liquidity are cash generated from operations and availability under our credit facility with Bank of America, N.A., (“Credit Facility”), which was most recently amended in September 2019 (“Credit Facility”). Our current cash needs are primarily for working capital (essentially inventory requirements), capital expenditures and growth initiatives. We plan to manage our working capital and it is expected that excess cash from operations will be directed toward our growth initiatives and debt reductions. We currently believe that our existing cash generated by operations together with our Credit Facility will be sufficient within current forecasts for us to meet our foreseeable liquidity requirements.</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For the first nine months of fiscal 2019, cash flow from operations decreased by approximately $13.1 million to $(14.4) million as compared to $(1.3) million for the first nine months of fiscal 2018. Free cash flow, a non-GAAP measure, decreased by $14.3 million to $(25.4) million for the first nine months of fiscal 2019 as compared to $(11.1) million for the first nine months of fiscal 2018. The primary reason for this decrease of $14.3 million in free cash flow was due to a decrease in Adjusted EBITDA and the timing of working capital, namely accounts payable, accrued expenses and incentive payments earned in fiscal 2018 but paid out in fiscal 2019. At November 2, 2019, accrued expenses were substantially lower than the prior year due to certain rent and lease related liabilities that were eliminated upon adoption of ASC 842. As mentioned above, our inventory levels increased as compared to prior year levels as a result of increasing in-store style presentation for certain brands in our better and best collections, as well as an increase related to our wholesale inventory. Capital expenditures for the first nine months of fiscal 2019 increased slightly to $11.0 million as compared to $9.8 million for the first nine months of fiscal 2018.</w:t>
      </w:r>
    </w:p>
    <w:p>
      <w:pPr>
        <w:spacing w:after="0" w:line="12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color w:val="auto"/>
        </w:rPr>
        <w:t>This decrease in free cash flow, as a result of the timing in working capital, resulted in an increase of $10.9 million in total debt outstanding at November 2, 2019 as compared to November 3, 2018. The following is a summary of our total debt outstanding at November 2, 2019 with the associated unamortized debt issuance costs: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00" w:type="dxa"/>
            <w:vAlign w:val="bottom"/>
          </w:tcPr>
          <w:p>
            <w:pPr>
              <w:spacing w:after="0"/>
              <w:rPr>
                <w:sz w:val="10"/>
                <w:szCs w:val="10"/>
                <w:color w:val="auto"/>
              </w:rPr>
            </w:pPr>
          </w:p>
        </w:tc>
        <w:tc>
          <w:tcPr>
            <w:tcW w:w="1720" w:type="dxa"/>
            <w:vAlign w:val="bottom"/>
          </w:tcPr>
          <w:p>
            <w:pPr>
              <w:jc w:val="right"/>
              <w:ind w:right="503"/>
              <w:spacing w:after="0"/>
              <w:rPr>
                <w:sz w:val="20"/>
                <w:szCs w:val="20"/>
                <w:color w:val="auto"/>
              </w:rPr>
            </w:pPr>
            <w:r>
              <w:rPr>
                <w:rFonts w:ascii="Times New Roman" w:cs="Times New Roman" w:eastAsia="Times New Roman" w:hAnsi="Times New Roman"/>
                <w:sz w:val="10"/>
                <w:szCs w:val="10"/>
                <w:color w:val="auto"/>
              </w:rPr>
              <w:t>Gross Debt Outstanding</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Less Debt Issuance Costs</w:t>
            </w:r>
          </w:p>
        </w:tc>
        <w:tc>
          <w:tcPr>
            <w:tcW w:w="240" w:type="dxa"/>
            <w:vAlign w:val="bottom"/>
          </w:tcPr>
          <w:p>
            <w:pPr>
              <w:spacing w:after="0"/>
              <w:rPr>
                <w:sz w:val="10"/>
                <w:szCs w:val="10"/>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Net Debt Outstanding</w:t>
            </w:r>
          </w:p>
        </w:tc>
      </w:tr>
      <w:tr>
        <w:trPr>
          <w:trHeight w:val="143"/>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Credit facility</w:t>
            </w:r>
          </w:p>
        </w:tc>
        <w:tc>
          <w:tcPr>
            <w:tcW w:w="1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68,483</w:t>
            </w:r>
          </w:p>
        </w:tc>
        <w:tc>
          <w:tcPr>
            <w:tcW w:w="2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w w:val="76"/>
              </w:rPr>
              <w:t>(298)</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68,185</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FILO Loan</w:t>
            </w: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(201)</w:t>
            </w: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14,799</w:t>
            </w:r>
          </w:p>
        </w:tc>
        <w:tc>
          <w:tcPr>
            <w:tcW w:w="120" w:type="dxa"/>
            <w:vAlign w:val="bottom"/>
          </w:tcPr>
          <w:p>
            <w:pPr>
              <w:spacing w:after="0"/>
              <w:rPr>
                <w:sz w:val="13"/>
                <w:szCs w:val="13"/>
                <w:color w:val="auto"/>
              </w:rPr>
            </w:pPr>
          </w:p>
        </w:tc>
      </w:tr>
      <w:tr>
        <w:trPr>
          <w:trHeight w:val="143"/>
        </w:trPr>
        <w:tc>
          <w:tcPr>
            <w:tcW w:w="53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debt</w:t>
            </w: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83,483</w:t>
            </w:r>
          </w:p>
        </w:tc>
        <w:tc>
          <w:tcPr>
            <w:tcW w:w="2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w w:val="76"/>
              </w:rPr>
              <w:t>(499)</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82,984</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13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will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The current maturity date is May 24, 2023.</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2"/>
          <w:szCs w:val="12"/>
          <w:color w:val="auto"/>
        </w:rPr>
        <w:t>We had outstanding borrowings of $68.5 million under the Credit Facility at November 2, 2019. At November 2, 2019, outstanding standby letters of credit were $2.7 million and outstanding documentary letters of credit were $0.3 million. The average monthly borrowing outstanding under the Credit Facility during the first nine months ended November 2, 2019 was approximately $58.7</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2"/>
          <w:szCs w:val="12"/>
          <w:color w:val="auto"/>
        </w:rPr>
        <w:t>million, resulting in an average unused excess availability of approximately $38.5 million. Unused excess availability at November 2, 2019 was $40.6 million.</w:t>
      </w:r>
    </w:p>
    <w:p>
      <w:pPr>
        <w:spacing w:after="0" w:line="222"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FILO Loan</w:t>
      </w:r>
    </w:p>
    <w:p>
      <w:pPr>
        <w:spacing w:after="0" w:line="154" w:lineRule="exact"/>
        <w:rPr>
          <w:sz w:val="20"/>
          <w:szCs w:val="20"/>
          <w:color w:val="auto"/>
        </w:rPr>
      </w:pPr>
    </w:p>
    <w:p>
      <w:pPr>
        <w:ind w:left="8" w:right="140"/>
        <w:spacing w:after="0" w:line="263" w:lineRule="auto"/>
        <w:rPr>
          <w:sz w:val="20"/>
          <w:szCs w:val="20"/>
          <w:color w:val="auto"/>
        </w:rPr>
      </w:pPr>
      <w:r>
        <w:rPr>
          <w:rFonts w:ascii="Times New Roman" w:cs="Times New Roman" w:eastAsia="Times New Roman" w:hAnsi="Times New Roman"/>
          <w:sz w:val="12"/>
          <w:szCs w:val="12"/>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steps down over time, plus a specified percentage of the value of eligible inventory that steps down over time. During the third quarter of fiscal 2019, we entered into an amendment that extended these advance rates for approximately one year before they begin to step down. There can be no voluntary prepayments on the FILO loan during the first year. After its one-year anniversary, the FILO loan can be repaid, in whole or in part, subject to certain payment conditions.</w:t>
      </w:r>
    </w:p>
    <w:p>
      <w:pPr>
        <w:spacing w:after="0" w:line="120" w:lineRule="exact"/>
        <w:rPr>
          <w:sz w:val="20"/>
          <w:szCs w:val="20"/>
          <w:color w:val="auto"/>
        </w:rPr>
      </w:pPr>
    </w:p>
    <w:p>
      <w:pPr>
        <w:ind w:left="8" w:right="40"/>
        <w:spacing w:after="0" w:line="263" w:lineRule="auto"/>
        <w:rPr>
          <w:sz w:val="20"/>
          <w:szCs w:val="20"/>
          <w:color w:val="auto"/>
        </w:rPr>
      </w:pPr>
      <w:r>
        <w:rPr>
          <w:rFonts w:ascii="Times New Roman" w:cs="Times New Roman" w:eastAsia="Times New Roman" w:hAnsi="Times New Roman"/>
          <w:sz w:val="12"/>
          <w:szCs w:val="12"/>
          <w:color w:val="auto"/>
        </w:rPr>
        <w:t>As a result of extending the advance rates under the FILO loan, the applicable margin rates for borrowings are increased by approximately 50 basis points temporarily through May 24, 2021, at which time the margin rates will revert back to the original terms. Accordingly, current b</w:t>
      </w:r>
      <w:r>
        <w:rPr>
          <w:rFonts w:ascii="Times New Roman" w:cs="Times New Roman" w:eastAsia="Times New Roman" w:hAnsi="Times New Roman"/>
          <w:sz w:val="12"/>
          <w:szCs w:val="12"/>
          <w:color w:val="000033"/>
        </w:rPr>
        <w:t>orrowings made under the FILO loan will bear interest,</w:t>
      </w:r>
      <w:r>
        <w:rPr>
          <w:rFonts w:ascii="Times New Roman" w:cs="Times New Roman" w:eastAsia="Times New Roman" w:hAnsi="Times New Roman"/>
          <w:sz w:val="12"/>
          <w:szCs w:val="12"/>
          <w:color w:val="auto"/>
        </w:rPr>
        <w:t xml:space="preserve"> calculated under either the Federal Funds rate or the LIBOR rate, at a rate equal to the following: (a) the Federal Funds rate plus a varying percentage based on the Company’s excess availability, of either 2.25% or 2.50% or (b) the LIBOR rate (the Company being able to select interest periods of 1 week, 1 month, 2 months, 3 months or 6 months) plus a varying percentage based on the Company’s excess availability, of either 3.25% or 3.50%. At November 2, 2019, the outstanding balance of $15.0 million was in a 1-month LIBOR-based contract with an interest rate of 5.14%.</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Capital Expenditures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sets forth the open stores and related square footage at November 2, 2019 and November 3, 2018, respectively:</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November 2, 2019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November 3, 2018</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4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right"/>
              <w:ind w:right="140"/>
              <w:spacing w:after="0" w:line="100" w:lineRule="exact"/>
              <w:rPr>
                <w:sz w:val="20"/>
                <w:szCs w:val="20"/>
                <w:color w:val="auto"/>
              </w:rPr>
            </w:pPr>
            <w:r>
              <w:rPr>
                <w:rFonts w:ascii="Times New Roman" w:cs="Times New Roman" w:eastAsia="Times New Roman" w:hAnsi="Times New Roman"/>
                <w:sz w:val="10"/>
                <w:szCs w:val="10"/>
                <w:color w:val="auto"/>
              </w:rPr>
              <w:t>Number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gridSpan w:val="2"/>
          </w:tcPr>
          <w:p>
            <w:pPr>
              <w:jc w:val="right"/>
              <w:ind w:right="100"/>
              <w:spacing w:after="0" w:line="100" w:lineRule="exact"/>
              <w:rPr>
                <w:sz w:val="20"/>
                <w:szCs w:val="20"/>
                <w:color w:val="auto"/>
              </w:rPr>
            </w:pPr>
            <w:r>
              <w:rPr>
                <w:rFonts w:ascii="Times New Roman" w:cs="Times New Roman" w:eastAsia="Times New Roman" w:hAnsi="Times New Roman"/>
                <w:sz w:val="10"/>
                <w:szCs w:val="10"/>
                <w:color w:val="auto"/>
              </w:rPr>
              <w:t>Square</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5"/>
          </w:tcPr>
          <w:p>
            <w:pPr>
              <w:jc w:val="right"/>
              <w:ind w:right="880"/>
              <w:spacing w:after="0" w:line="100" w:lineRule="exact"/>
              <w:rPr>
                <w:sz w:val="20"/>
                <w:szCs w:val="20"/>
                <w:color w:val="auto"/>
              </w:rPr>
            </w:pPr>
            <w:r>
              <w:rPr>
                <w:rFonts w:ascii="Times New Roman" w:cs="Times New Roman" w:eastAsia="Times New Roman" w:hAnsi="Times New Roman"/>
                <w:sz w:val="10"/>
                <w:szCs w:val="10"/>
                <w:color w:val="auto"/>
                <w:w w:val="91"/>
              </w:rPr>
              <w:t>Number of</w:t>
            </w:r>
          </w:p>
        </w:tc>
        <w:tc>
          <w:tcPr>
            <w:tcW w:w="1040" w:type="dxa"/>
            <w:vAlign w:val="bottom"/>
            <w:gridSpan w:val="2"/>
          </w:tcPr>
          <w:p>
            <w:pPr>
              <w:jc w:val="right"/>
              <w:ind w:right="580"/>
              <w:spacing w:after="0" w:line="100" w:lineRule="exact"/>
              <w:rPr>
                <w:sz w:val="20"/>
                <w:szCs w:val="20"/>
                <w:color w:val="auto"/>
              </w:rPr>
            </w:pPr>
            <w:r>
              <w:rPr>
                <w:rFonts w:ascii="Times New Roman" w:cs="Times New Roman" w:eastAsia="Times New Roman" w:hAnsi="Times New Roman"/>
                <w:sz w:val="10"/>
                <w:szCs w:val="10"/>
                <w:color w:val="auto"/>
              </w:rPr>
              <w:t>Square</w:t>
            </w:r>
          </w:p>
        </w:tc>
      </w:tr>
      <w:tr>
        <w:trPr>
          <w:trHeight w:val="114"/>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Store Concept</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Stores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9"/>
              </w:rPr>
              <w:t>Footage</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5"/>
          </w:tcPr>
          <w:p>
            <w:pPr>
              <w:jc w:val="right"/>
              <w:ind w:right="960"/>
              <w:spacing w:after="0"/>
              <w:rPr>
                <w:sz w:val="20"/>
                <w:szCs w:val="20"/>
                <w:color w:val="auto"/>
              </w:rPr>
            </w:pPr>
            <w:r>
              <w:rPr>
                <w:rFonts w:ascii="Times New Roman" w:cs="Times New Roman" w:eastAsia="Times New Roman" w:hAnsi="Times New Roman"/>
                <w:sz w:val="10"/>
                <w:szCs w:val="10"/>
                <w:color w:val="auto"/>
              </w:rPr>
              <w:t>Stores</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color w:val="auto"/>
              </w:rPr>
              <w:t>Footage</w:t>
            </w:r>
          </w:p>
        </w:tc>
      </w:tr>
      <w:tr>
        <w:trPr>
          <w:trHeight w:val="126"/>
        </w:trPr>
        <w:tc>
          <w:tcPr>
            <w:tcW w:w="4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i w:val="1"/>
                <w:iCs w:val="1"/>
                <w:color w:val="auto"/>
              </w:rPr>
              <w:t>(square footage in thousands)</w:t>
            </w: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DXL Retail</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1,683</w:t>
            </w:r>
          </w:p>
        </w:tc>
        <w:tc>
          <w:tcPr>
            <w:tcW w:w="120" w:type="dxa"/>
            <w:vAlign w:val="bottom"/>
            <w:shd w:val="clear" w:color="auto" w:fill="CFF0FC"/>
          </w:tcPr>
          <w:p>
            <w:pPr>
              <w:spacing w:after="0"/>
              <w:rPr>
                <w:sz w:val="14"/>
                <w:szCs w:val="14"/>
                <w:color w:val="auto"/>
              </w:rPr>
            </w:pPr>
          </w:p>
        </w:tc>
      </w:tr>
      <w:tr>
        <w:trPr>
          <w:trHeight w:val="154"/>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DXL Outlets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20" w:type="dxa"/>
            <w:vAlign w:val="bottom"/>
          </w:tcPr>
          <w:p>
            <w:pPr>
              <w:spacing w:after="0"/>
              <w:rPr>
                <w:sz w:val="13"/>
                <w:szCs w:val="13"/>
                <w:color w:val="auto"/>
              </w:rPr>
            </w:pPr>
          </w:p>
        </w:tc>
      </w:tr>
      <w:tr>
        <w:trPr>
          <w:trHeight w:val="15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Casual Male XL Retail</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20" w:type="dxa"/>
            <w:vAlign w:val="bottom"/>
            <w:shd w:val="clear" w:color="auto" w:fill="CFF0FC"/>
          </w:tcPr>
          <w:p>
            <w:pPr>
              <w:spacing w:after="0"/>
              <w:rPr>
                <w:sz w:val="13"/>
                <w:szCs w:val="13"/>
                <w:color w:val="auto"/>
              </w:rPr>
            </w:pPr>
          </w:p>
        </w:tc>
      </w:tr>
      <w:tr>
        <w:trPr>
          <w:trHeight w:val="154"/>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Casual Male Outlets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20" w:type="dxa"/>
            <w:vAlign w:val="bottom"/>
          </w:tcPr>
          <w:p>
            <w:pPr>
              <w:spacing w:after="0"/>
              <w:rPr>
                <w:sz w:val="13"/>
                <w:szCs w:val="13"/>
                <w:color w:val="auto"/>
              </w:rPr>
            </w:pPr>
          </w:p>
        </w:tc>
      </w:tr>
      <w:tr>
        <w:trPr>
          <w:trHeight w:val="154"/>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Rochester Clothing</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FF0FC"/>
          </w:tcPr>
          <w:p>
            <w:pPr>
              <w:spacing w:after="0"/>
              <w:rPr>
                <w:sz w:val="13"/>
                <w:szCs w:val="13"/>
                <w:color w:val="auto"/>
              </w:rPr>
            </w:pPr>
          </w:p>
        </w:tc>
      </w:tr>
      <w:tr>
        <w:trPr>
          <w:trHeight w:val="147"/>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Stores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2,128</w:t>
            </w:r>
          </w:p>
        </w:tc>
        <w:tc>
          <w:tcPr>
            <w:tcW w:w="120" w:type="dxa"/>
            <w:vAlign w:val="bottom"/>
          </w:tcPr>
          <w:p>
            <w:pPr>
              <w:spacing w:after="0"/>
              <w:rPr>
                <w:sz w:val="12"/>
                <w:szCs w:val="12"/>
                <w:color w:val="auto"/>
              </w:rPr>
            </w:pPr>
          </w:p>
        </w:tc>
      </w:tr>
      <w:tr>
        <w:trPr>
          <w:trHeight w:val="286"/>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Below is a summary of store openings and closings from February 2, 2019 to November 2, 2019: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7"/>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0"/>
                <w:szCs w:val="10"/>
                <w:color w:val="auto"/>
                <w:w w:val="99"/>
              </w:rPr>
              <w:t>Casual Male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right"/>
              <w:ind w:right="280"/>
              <w:spacing w:after="0"/>
              <w:rPr>
                <w:sz w:val="20"/>
                <w:szCs w:val="20"/>
                <w:color w:val="auto"/>
              </w:rPr>
            </w:pPr>
            <w:r>
              <w:rPr>
                <w:rFonts w:ascii="Times New Roman" w:cs="Times New Roman" w:eastAsia="Times New Roman" w:hAnsi="Times New Roman"/>
                <w:sz w:val="10"/>
                <w:szCs w:val="10"/>
                <w:color w:val="auto"/>
              </w:rPr>
              <w:t>Casual Male</w:t>
            </w:r>
          </w:p>
        </w:tc>
        <w:tc>
          <w:tcPr>
            <w:tcW w:w="160" w:type="dxa"/>
            <w:vAlign w:val="bottom"/>
          </w:tcPr>
          <w:p>
            <w:pPr>
              <w:spacing w:after="0"/>
              <w:rPr>
                <w:sz w:val="14"/>
                <w:szCs w:val="14"/>
                <w:color w:val="auto"/>
              </w:rPr>
            </w:pPr>
          </w:p>
        </w:tc>
        <w:tc>
          <w:tcPr>
            <w:tcW w:w="114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color w:val="auto"/>
              </w:rPr>
              <w:t>Rochester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4"/>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Number of Stores:</w:t>
            </w:r>
          </w:p>
        </w:tc>
        <w:tc>
          <w:tcPr>
            <w:tcW w:w="1160" w:type="dxa"/>
            <w:vAlign w:val="bottom"/>
            <w:gridSpan w:val="4"/>
          </w:tcPr>
          <w:p>
            <w:pPr>
              <w:ind w:left="340"/>
              <w:spacing w:after="0"/>
              <w:rPr>
                <w:sz w:val="20"/>
                <w:szCs w:val="20"/>
                <w:color w:val="auto"/>
              </w:rPr>
            </w:pPr>
            <w:r>
              <w:rPr>
                <w:rFonts w:ascii="Times New Roman" w:cs="Times New Roman" w:eastAsia="Times New Roman" w:hAnsi="Times New Roman"/>
                <w:sz w:val="10"/>
                <w:szCs w:val="10"/>
                <w:color w:val="auto"/>
              </w:rPr>
              <w:t>DXL</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DXL Outlets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0"/>
                <w:szCs w:val="10"/>
                <w:color w:val="auto"/>
                <w:w w:val="95"/>
              </w:rPr>
              <w:t>XL Retail</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color w:val="auto"/>
              </w:rPr>
              <w:t>XL Outlets</w:t>
            </w:r>
          </w:p>
        </w:tc>
        <w:tc>
          <w:tcPr>
            <w:tcW w:w="160" w:type="dxa"/>
            <w:vAlign w:val="bottom"/>
          </w:tcPr>
          <w:p>
            <w:pPr>
              <w:spacing w:after="0"/>
              <w:rPr>
                <w:sz w:val="9"/>
                <w:szCs w:val="9"/>
                <w:color w:val="auto"/>
              </w:rPr>
            </w:pPr>
          </w:p>
        </w:tc>
        <w:tc>
          <w:tcPr>
            <w:tcW w:w="1140" w:type="dxa"/>
            <w:vAlign w:val="bottom"/>
            <w:gridSpan w:val="4"/>
          </w:tcPr>
          <w:p>
            <w:pPr>
              <w:jc w:val="right"/>
              <w:ind w:right="520"/>
              <w:spacing w:after="0"/>
              <w:rPr>
                <w:sz w:val="20"/>
                <w:szCs w:val="20"/>
                <w:color w:val="auto"/>
              </w:rPr>
            </w:pPr>
            <w:r>
              <w:rPr>
                <w:rFonts w:ascii="Times New Roman" w:cs="Times New Roman" w:eastAsia="Times New Roman" w:hAnsi="Times New Roman"/>
                <w:sz w:val="10"/>
                <w:szCs w:val="10"/>
                <w:color w:val="auto"/>
              </w:rPr>
              <w:t>Clothing</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Total Stores</w:t>
            </w:r>
          </w:p>
        </w:tc>
      </w:tr>
      <w:tr>
        <w:trPr>
          <w:trHeight w:val="143"/>
        </w:trPr>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At February 2, 2019</w:t>
            </w:r>
          </w:p>
        </w:tc>
        <w:tc>
          <w:tcPr>
            <w:tcW w:w="1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20" w:type="dxa"/>
            <w:vAlign w:val="bottom"/>
            <w:tcBorders>
              <w:top w:val="single" w:sz="8" w:color="CFF0FC"/>
            </w:tcBorders>
            <w:shd w:val="clear" w:color="auto" w:fill="CFF0FC"/>
          </w:tcPr>
          <w:p>
            <w:pPr>
              <w:spacing w:after="0"/>
              <w:rPr>
                <w:sz w:val="12"/>
                <w:szCs w:val="12"/>
                <w:color w:val="auto"/>
              </w:rPr>
            </w:pPr>
          </w:p>
        </w:tc>
      </w:tr>
      <w:tr>
        <w:trPr>
          <w:trHeight w:val="172"/>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New stores</w:t>
            </w:r>
            <w:r>
              <w:rPr>
                <w:rFonts w:ascii="Times New Roman" w:cs="Times New Roman" w:eastAsia="Times New Roman" w:hAnsi="Times New Roman"/>
                <w:sz w:val="10"/>
                <w:szCs w:val="10"/>
                <w:color w:val="auto"/>
              </w:rPr>
              <w:t>(1)</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2"/>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 xml:space="preserve">Rebranded stores </w:t>
            </w:r>
            <w:r>
              <w:rPr>
                <w:rFonts w:ascii="Times New Roman" w:cs="Times New Roman" w:eastAsia="Times New Roman" w:hAnsi="Times New Roman"/>
                <w:sz w:val="10"/>
                <w:szCs w:val="10"/>
                <w:color w:val="auto"/>
              </w:rPr>
              <w:t>(2)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(12)</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Replaced stores</w:t>
            </w:r>
            <w:r>
              <w:rPr>
                <w:rFonts w:ascii="Times New Roman" w:cs="Times New Roman" w:eastAsia="Times New Roman" w:hAnsi="Times New Roman"/>
                <w:sz w:val="10"/>
                <w:szCs w:val="10"/>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Closed retail stores</w:t>
            </w:r>
            <w:r>
              <w:rPr>
                <w:rFonts w:ascii="Times New Roman" w:cs="Times New Roman" w:eastAsia="Times New Roman" w:hAnsi="Times New Roman"/>
                <w:sz w:val="10"/>
                <w:szCs w:val="10"/>
                <w:color w:val="auto"/>
              </w:rPr>
              <w:t>(4)</w:t>
            </w:r>
          </w:p>
        </w:tc>
        <w:tc>
          <w:tcPr>
            <w:tcW w:w="116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r>
      <w:tr>
        <w:trPr>
          <w:trHeight w:val="147"/>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 November 2, 2019</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20" w:type="dxa"/>
            <w:vAlign w:val="bottom"/>
          </w:tcPr>
          <w:p>
            <w:pPr>
              <w:spacing w:after="0"/>
              <w:rPr>
                <w:sz w:val="12"/>
                <w:szCs w:val="12"/>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Pr>
          <w:p>
            <w:pPr>
              <w:spacing w:after="0"/>
              <w:rPr>
                <w:sz w:val="12"/>
                <w:szCs w:val="12"/>
                <w:color w:val="auto"/>
              </w:rPr>
            </w:pPr>
          </w:p>
        </w:tc>
      </w:tr>
    </w:tbl>
    <w:p>
      <w:pPr>
        <w:spacing w:after="0" w:line="56" w:lineRule="exact"/>
        <w:rPr>
          <w:sz w:val="20"/>
          <w:szCs w:val="20"/>
          <w:color w:val="auto"/>
        </w:rPr>
      </w:pPr>
    </w:p>
    <w:p>
      <w:pPr>
        <w:ind w:left="508" w:hanging="508"/>
        <w:spacing w:after="0"/>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stores opened in new markets.</w:t>
      </w:r>
    </w:p>
    <w:p>
      <w:pPr>
        <w:spacing w:after="0" w:line="19"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Casual Male XL stores that were remodeled and rebranded to DXL stores.</w:t>
      </w:r>
    </w:p>
    <w:p>
      <w:pPr>
        <w:spacing w:after="0" w:line="6"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DXL stores opened in existing markets with the corresponding Casual Male XL stores closed in such markets in connection with those DXL store openings.</w:t>
      </w:r>
    </w:p>
    <w:p>
      <w:pPr>
        <w:spacing w:after="0" w:line="6"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closed stores for which there were no corresponding openings in the same market.</w:t>
      </w:r>
    </w:p>
    <w:p>
      <w:pPr>
        <w:spacing w:after="0" w:line="139" w:lineRule="exact"/>
        <w:rPr>
          <w:sz w:val="20"/>
          <w:szCs w:val="20"/>
          <w:color w:val="auto"/>
        </w:rPr>
      </w:pPr>
    </w:p>
    <w:p>
      <w:pPr>
        <w:ind w:left="8" w:right="160"/>
        <w:spacing w:after="0" w:line="269" w:lineRule="auto"/>
        <w:rPr>
          <w:sz w:val="20"/>
          <w:szCs w:val="20"/>
          <w:color w:val="auto"/>
        </w:rPr>
      </w:pPr>
      <w:r>
        <w:rPr>
          <w:rFonts w:ascii="Times New Roman" w:cs="Times New Roman" w:eastAsia="Times New Roman" w:hAnsi="Times New Roman"/>
          <w:sz w:val="12"/>
          <w:szCs w:val="12"/>
          <w:color w:val="auto"/>
        </w:rPr>
        <w:t>Our capital expenditures for the first nine months of fiscal 2019 were $11.0 million as compared to $9.8 million for the first nine months of fiscal 2018. During the first nine months of fiscal 2019, we opened two DXL retail stores, rebranded 14 Casual Male XL retail and outlet stores to 11 DXL retail stores and three DXL outlet stores as compared to opening two DXL retail stores, one DXL outlet and three Casual Male XL stores rebranded to DXL stores during the first nine months of fiscal 2018.</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the fourth quarter of fiscal 2019, we plan to close our two remaining Rochester Clothing stores and one DXL retail store.</w:t>
      </w:r>
    </w:p>
    <w:p>
      <w:pPr>
        <w:spacing w:after="0" w:line="2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32853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8"/>
          </w:cols>
          <w:pgMar w:left="212" w:top="272" w:right="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February 3, 2019, the Company adopted ASU 2016-02, “Leases (Topic 842).” As a result of the adoption, we established our leases as right-of-use assets of $214.1 million and established corresponding lease liabilities of</w:t>
      </w:r>
    </w:p>
    <w:p>
      <w:pPr>
        <w:spacing w:after="0" w:line="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the first nine months of fiscal 2019, we recognized a net credit to opening accumulated deficit of $5.3 million to recognize: (i) the remaining deferred gain of $10.3 million from a sale-leaseback transaction (ii) the recognition of impairments, upon adoption, of certain right-to-use assets of $3.8 million and (iii) the write-off of initial direct costs of $1.2 million. See Note 1 to the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Non-GAAP Financial Measures</w:t>
      </w:r>
    </w:p>
    <w:p>
      <w:pPr>
        <w:spacing w:after="0" w:line="1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 xml:space="preserve">Adjusted net loss, adjusted net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Times New Roman" w:cs="Times New Roman" w:eastAsia="Times New Roman" w:hAnsi="Times New Roman"/>
          <w:sz w:val="12"/>
          <w:szCs w:val="12"/>
          <w:i w:val="1"/>
          <w:iCs w:val="1"/>
          <w:color w:val="auto"/>
        </w:rPr>
        <w:t>(certain columns may not foot due to rounding)</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120" w:firstLine="16"/>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Adjusted net loss and adjusted net loss per diluted share</w:t>
      </w:r>
      <w:r>
        <w:rPr>
          <w:rFonts w:ascii="Times New Roman" w:cs="Times New Roman" w:eastAsia="Times New Roman" w:hAnsi="Times New Roman"/>
          <w:sz w:val="12"/>
          <w:szCs w:val="12"/>
          <w:color w:val="auto"/>
        </w:rPr>
        <w:t>. Adjusted net loss and adjusted net loss per share reflect an adjustment assuming a normal tax rate of 26% and the add-back of exit costs associated with London operations, CEO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transition and corporate restructuring costs.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5"/>
          </w:tcPr>
          <w:p>
            <w:pPr>
              <w:jc w:val="right"/>
              <w:ind w:right="440"/>
              <w:spacing w:after="0"/>
              <w:rPr>
                <w:sz w:val="20"/>
                <w:szCs w:val="20"/>
                <w:color w:val="auto"/>
              </w:rPr>
            </w:pPr>
            <w:r>
              <w:rPr>
                <w:rFonts w:ascii="Times New Roman" w:cs="Times New Roman" w:eastAsia="Times New Roman" w:hAnsi="Times New Roman"/>
                <w:sz w:val="10"/>
                <w:szCs w:val="10"/>
                <w:color w:val="auto"/>
              </w:rPr>
              <w:t>For the three months ended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For the nine months ended</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color w:val="auto"/>
                <w:w w:val="98"/>
              </w:rPr>
              <w:t>November 2, 2019</w:t>
            </w:r>
          </w:p>
        </w:tc>
        <w:tc>
          <w:tcPr>
            <w:tcW w:w="180" w:type="dxa"/>
            <w:vAlign w:val="bottom"/>
          </w:tcPr>
          <w:p>
            <w:pPr>
              <w:spacing w:after="0"/>
              <w:rPr>
                <w:sz w:val="9"/>
                <w:szCs w:val="9"/>
                <w:color w:val="auto"/>
              </w:rPr>
            </w:pPr>
          </w:p>
        </w:tc>
        <w:tc>
          <w:tcPr>
            <w:tcW w:w="152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color w:val="auto"/>
              </w:rPr>
              <w:t>November 3, 2018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color w:val="auto"/>
              </w:rPr>
              <w:t>November 2, 2019</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gridSpan w:val="5"/>
          </w:tcPr>
          <w:p>
            <w:pPr>
              <w:jc w:val="right"/>
              <w:ind w:right="540"/>
              <w:spacing w:after="0"/>
              <w:rPr>
                <w:sz w:val="20"/>
                <w:szCs w:val="20"/>
                <w:color w:val="auto"/>
              </w:rPr>
            </w:pPr>
            <w:r>
              <w:rPr>
                <w:rFonts w:ascii="Times New Roman" w:cs="Times New Roman" w:eastAsia="Times New Roman" w:hAnsi="Times New Roman"/>
                <w:sz w:val="10"/>
                <w:szCs w:val="10"/>
                <w:color w:val="auto"/>
                <w:w w:val="96"/>
              </w:rPr>
              <w:t>November 3, 2018</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7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9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5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73"/>
              <w:spacing w:after="0" w:line="84" w:lineRule="exact"/>
              <w:rPr>
                <w:sz w:val="20"/>
                <w:szCs w:val="20"/>
                <w:color w:val="auto"/>
              </w:rPr>
            </w:pPr>
            <w:r>
              <w:rPr>
                <w:rFonts w:ascii="Times New Roman" w:cs="Times New Roman" w:eastAsia="Times New Roman" w:hAnsi="Times New Roman"/>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3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share</w:t>
            </w:r>
          </w:p>
        </w:tc>
        <w:tc>
          <w:tcPr>
            <w:tcW w:w="180" w:type="dxa"/>
            <w:vAlign w:val="bottom"/>
          </w:tcPr>
          <w:p>
            <w:pPr>
              <w:spacing w:after="0"/>
              <w:rPr>
                <w:sz w:val="9"/>
                <w:szCs w:val="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share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share</w:t>
            </w:r>
          </w:p>
        </w:tc>
        <w:tc>
          <w:tcPr>
            <w:tcW w:w="5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share</w:t>
            </w:r>
          </w:p>
        </w:tc>
        <w:tc>
          <w:tcPr>
            <w:tcW w:w="0" w:type="dxa"/>
            <w:vAlign w:val="bottom"/>
          </w:tcPr>
          <w:p>
            <w:pPr>
              <w:spacing w:after="0"/>
              <w:rPr>
                <w:sz w:val="1"/>
                <w:szCs w:val="1"/>
                <w:color w:val="auto"/>
              </w:rPr>
            </w:pPr>
          </w:p>
        </w:tc>
      </w:tr>
      <w:tr>
        <w:trPr>
          <w:trHeight w:val="89"/>
        </w:trPr>
        <w:tc>
          <w:tcPr>
            <w:tcW w:w="338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00" w:type="dxa"/>
            <w:vAlign w:val="bottom"/>
            <w:tcBorders>
              <w:top w:val="single" w:sz="8" w:color="auto"/>
            </w:tcBorders>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Net loss (GAAP basis)</w:t>
            </w:r>
          </w:p>
        </w:tc>
        <w:tc>
          <w:tcPr>
            <w:tcW w:w="196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276"/>
              <w:spacing w:after="0" w:line="98"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FF0FC"/>
          </w:tcPr>
          <w:p>
            <w:pPr>
              <w:jc w:val="right"/>
              <w:ind w:right="100"/>
              <w:spacing w:after="0" w:line="98" w:lineRule="exact"/>
              <w:rPr>
                <w:sz w:val="20"/>
                <w:szCs w:val="20"/>
                <w:color w:val="auto"/>
              </w:rPr>
            </w:pPr>
            <w:r>
              <w:rPr>
                <w:rFonts w:ascii="Times New Roman" w:cs="Times New Roman" w:eastAsia="Times New Roman" w:hAnsi="Times New Roman"/>
                <w:sz w:val="10"/>
                <w:szCs w:val="10"/>
                <w:color w:val="auto"/>
                <w:w w:val="95"/>
              </w:rPr>
              <w:t>(7,190)</w:t>
            </w:r>
          </w:p>
        </w:tc>
        <w:tc>
          <w:tcPr>
            <w:tcW w:w="180" w:type="dxa"/>
            <w:vAlign w:val="bottom"/>
            <w:gridSpan w:val="2"/>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FF0FC"/>
          </w:tcPr>
          <w:p>
            <w:pPr>
              <w:jc w:val="right"/>
              <w:ind w:right="200"/>
              <w:spacing w:after="0" w:line="98" w:lineRule="exact"/>
              <w:rPr>
                <w:sz w:val="20"/>
                <w:szCs w:val="20"/>
                <w:color w:val="auto"/>
              </w:rPr>
            </w:pPr>
            <w:r>
              <w:rPr>
                <w:rFonts w:ascii="Times New Roman" w:cs="Times New Roman" w:eastAsia="Times New Roman" w:hAnsi="Times New Roman"/>
                <w:sz w:val="10"/>
                <w:szCs w:val="10"/>
                <w:color w:val="auto"/>
              </w:rPr>
              <w:t>(0.14)</w:t>
            </w:r>
          </w:p>
        </w:tc>
        <w:tc>
          <w:tcPr>
            <w:tcW w:w="180" w:type="dxa"/>
            <w:vAlign w:val="bottom"/>
            <w:shd w:val="clear" w:color="auto" w:fill="CFF0FC"/>
          </w:tcPr>
          <w:p>
            <w:pPr>
              <w:jc w:val="right"/>
              <w:ind w:right="7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FF0FC"/>
          </w:tcPr>
          <w:p>
            <w:pPr>
              <w:jc w:val="right"/>
              <w:ind w:right="200"/>
              <w:spacing w:after="0" w:line="98" w:lineRule="exact"/>
              <w:rPr>
                <w:sz w:val="20"/>
                <w:szCs w:val="20"/>
                <w:color w:val="auto"/>
              </w:rPr>
            </w:pPr>
            <w:r>
              <w:rPr>
                <w:rFonts w:ascii="Times New Roman" w:cs="Times New Roman" w:eastAsia="Times New Roman" w:hAnsi="Times New Roman"/>
                <w:sz w:val="10"/>
                <w:szCs w:val="10"/>
                <w:color w:val="auto"/>
              </w:rPr>
              <w:t>(2,005)</w:t>
            </w:r>
          </w:p>
        </w:tc>
        <w:tc>
          <w:tcPr>
            <w:tcW w:w="80" w:type="dxa"/>
            <w:vAlign w:val="bottom"/>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FF0FC"/>
          </w:tcPr>
          <w:p>
            <w:pPr>
              <w:jc w:val="right"/>
              <w:ind w:right="120"/>
              <w:spacing w:after="0" w:line="98" w:lineRule="exact"/>
              <w:rPr>
                <w:sz w:val="20"/>
                <w:szCs w:val="20"/>
                <w:color w:val="auto"/>
              </w:rPr>
            </w:pPr>
            <w:r>
              <w:rPr>
                <w:rFonts w:ascii="Times New Roman" w:cs="Times New Roman" w:eastAsia="Times New Roman" w:hAnsi="Times New Roman"/>
                <w:sz w:val="10"/>
                <w:szCs w:val="10"/>
                <w:color w:val="auto"/>
              </w:rPr>
              <w:t>(0.04)</w:t>
            </w:r>
          </w:p>
        </w:tc>
        <w:tc>
          <w:tcPr>
            <w:tcW w:w="280" w:type="dxa"/>
            <w:vAlign w:val="bottom"/>
            <w:gridSpan w:val="2"/>
            <w:shd w:val="clear" w:color="auto" w:fill="CFF0FC"/>
          </w:tcPr>
          <w:p>
            <w:pPr>
              <w:jc w:val="right"/>
              <w:ind w:right="116"/>
              <w:spacing w:after="0" w:line="98"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FF0FC"/>
          </w:tcPr>
          <w:p>
            <w:pPr>
              <w:jc w:val="right"/>
              <w:ind w:right="220"/>
              <w:spacing w:after="0" w:line="98" w:lineRule="exact"/>
              <w:rPr>
                <w:sz w:val="20"/>
                <w:szCs w:val="20"/>
                <w:color w:val="auto"/>
              </w:rPr>
            </w:pPr>
            <w:r>
              <w:rPr>
                <w:rFonts w:ascii="Times New Roman" w:cs="Times New Roman" w:eastAsia="Times New Roman" w:hAnsi="Times New Roman"/>
                <w:sz w:val="10"/>
                <w:szCs w:val="10"/>
                <w:color w:val="auto"/>
              </w:rPr>
              <w:t>(10,233)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FF0FC"/>
          </w:tcPr>
          <w:p>
            <w:pPr>
              <w:jc w:val="right"/>
              <w:ind w:right="120"/>
              <w:spacing w:after="0" w:line="98" w:lineRule="exact"/>
              <w:rPr>
                <w:sz w:val="20"/>
                <w:szCs w:val="20"/>
                <w:color w:val="auto"/>
              </w:rPr>
            </w:pPr>
            <w:r>
              <w:rPr>
                <w:rFonts w:ascii="Times New Roman" w:cs="Times New Roman" w:eastAsia="Times New Roman" w:hAnsi="Times New Roman"/>
                <w:sz w:val="10"/>
                <w:szCs w:val="10"/>
                <w:color w:val="auto"/>
              </w:rPr>
              <w:t>(0.21)</w:t>
            </w:r>
          </w:p>
        </w:tc>
        <w:tc>
          <w:tcPr>
            <w:tcW w:w="520" w:type="dxa"/>
            <w:vAlign w:val="bottom"/>
            <w:gridSpan w:val="2"/>
            <w:shd w:val="clear" w:color="auto" w:fill="CFF0FC"/>
          </w:tcPr>
          <w:p>
            <w:pPr>
              <w:jc w:val="right"/>
              <w:ind w:right="312"/>
              <w:spacing w:after="0" w:line="9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FF0FC"/>
          </w:tcPr>
          <w:p>
            <w:pPr>
              <w:jc w:val="right"/>
              <w:ind w:right="200"/>
              <w:spacing w:after="0" w:line="98" w:lineRule="exact"/>
              <w:rPr>
                <w:sz w:val="20"/>
                <w:szCs w:val="20"/>
                <w:color w:val="auto"/>
              </w:rPr>
            </w:pPr>
            <w:r>
              <w:rPr>
                <w:rFonts w:ascii="Times New Roman" w:cs="Times New Roman" w:eastAsia="Times New Roman" w:hAnsi="Times New Roman"/>
                <w:sz w:val="10"/>
                <w:szCs w:val="10"/>
                <w:color w:val="auto"/>
                <w:w w:val="95"/>
              </w:rPr>
              <w:t>(6,300)</w:t>
            </w:r>
          </w:p>
        </w:tc>
        <w:tc>
          <w:tcPr>
            <w:tcW w:w="80" w:type="dxa"/>
            <w:vAlign w:val="bottom"/>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FF0FC"/>
          </w:tcPr>
          <w:p>
            <w:pPr>
              <w:jc w:val="right"/>
              <w:ind w:right="80"/>
              <w:spacing w:after="0" w:line="98" w:lineRule="exact"/>
              <w:rPr>
                <w:sz w:val="20"/>
                <w:szCs w:val="20"/>
                <w:color w:val="auto"/>
              </w:rPr>
            </w:pPr>
            <w:r>
              <w:rPr>
                <w:rFonts w:ascii="Times New Roman" w:cs="Times New Roman" w:eastAsia="Times New Roman" w:hAnsi="Times New Roman"/>
                <w:sz w:val="10"/>
                <w:szCs w:val="10"/>
                <w:color w:val="auto"/>
              </w:rPr>
              <w:t>(0.13)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Adjust:</w:t>
            </w: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CEO transition costs</w:t>
            </w: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430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702</w:t>
            </w: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560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Corporate restructuring</w:t>
            </w: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262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1,892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Exit costs associated with London operations</w:t>
            </w: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1,737</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1,737</w:t>
            </w: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Add back actual income tax benefit</w:t>
            </w: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(22)</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0"/>
                <w:szCs w:val="10"/>
                <w:color w:val="auto"/>
              </w:rPr>
              <w:t>(78)</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Add income tax benefit, assuming a normal tax rate of 26%</w:t>
            </w: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1,431</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347</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2,047</w:t>
            </w: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1,005</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20" w:type="dxa"/>
            <w:vAlign w:val="bottom"/>
            <w:gridSpan w:val="2"/>
          </w:tcPr>
          <w:p>
            <w:pPr>
              <w:spacing w:after="0"/>
              <w:rPr>
                <w:sz w:val="9"/>
                <w:szCs w:val="9"/>
                <w:color w:val="auto"/>
              </w:rPr>
            </w:pPr>
          </w:p>
        </w:tc>
        <w:tc>
          <w:tcPr>
            <w:tcW w:w="1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360" w:type="dxa"/>
            <w:vAlign w:val="bottom"/>
            <w:tcBorders>
              <w:top w:val="single" w:sz="8" w:color="CFF0FC"/>
            </w:tcBorders>
            <w:gridSpan w:val="2"/>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Adjusted net loss (non-GAAP basis)</w:t>
            </w:r>
          </w:p>
        </w:tc>
        <w:tc>
          <w:tcPr>
            <w:tcW w:w="110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82"/>
              </w:rPr>
              <w:t>(4,071)</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(0.08)</w:t>
            </w:r>
          </w:p>
        </w:tc>
        <w:tc>
          <w:tcPr>
            <w:tcW w:w="24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7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(988)</w:t>
            </w:r>
          </w:p>
        </w:tc>
        <w:tc>
          <w:tcPr>
            <w:tcW w:w="2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(0.02)</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(5,825)</w:t>
            </w:r>
          </w:p>
        </w:tc>
        <w:tc>
          <w:tcPr>
            <w:tcW w:w="26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(0.12)</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jc w:val="right"/>
              <w:ind w:right="31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82"/>
              </w:rPr>
              <w:t>(2,862)</w:t>
            </w:r>
          </w:p>
        </w:tc>
        <w:tc>
          <w:tcPr>
            <w:tcW w:w="24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(0.06)</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36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Weighted average number of common shares</w:t>
            </w: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outstanding on a diluted basis</w:t>
            </w: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50,089</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49,352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49,853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2"/>
          <w:szCs w:val="12"/>
          <w:i w:val="1"/>
          <w:iCs w:val="1"/>
          <w:u w:val="single" w:color="auto"/>
          <w:color w:val="auto"/>
        </w:rPr>
        <w:t>Free Cash Flow.</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define free cash flow as cash flow from operating activities less capital expenditures. Free cash flow excludes the mandatory and discretionary repayment of debt. Free cash flow is a metric that management uses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monitor liquidity. We expect to fund our ongoing capital expenditures with cash flow from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free cash flow: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400" w:type="dxa"/>
            <w:vAlign w:val="bottom"/>
          </w:tcPr>
          <w:p>
            <w:pPr>
              <w:spacing w:after="0"/>
              <w:rPr>
                <w:sz w:val="10"/>
                <w:szCs w:val="10"/>
                <w:color w:val="auto"/>
              </w:rPr>
            </w:pPr>
          </w:p>
        </w:tc>
        <w:tc>
          <w:tcPr>
            <w:tcW w:w="2660" w:type="dxa"/>
            <w:vAlign w:val="bottom"/>
            <w:gridSpan w:val="4"/>
          </w:tcPr>
          <w:p>
            <w:pPr>
              <w:jc w:val="right"/>
              <w:ind w:right="194"/>
              <w:spacing w:after="0"/>
              <w:rPr>
                <w:sz w:val="20"/>
                <w:szCs w:val="20"/>
                <w:color w:val="auto"/>
              </w:rPr>
            </w:pPr>
            <w:r>
              <w:rPr>
                <w:rFonts w:ascii="Times New Roman" w:cs="Times New Roman" w:eastAsia="Times New Roman" w:hAnsi="Times New Roman"/>
                <w:sz w:val="10"/>
                <w:szCs w:val="10"/>
                <w:color w:val="auto"/>
              </w:rPr>
              <w:t>For the nine months ended</w:t>
            </w: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6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gridSpan w:val="2"/>
          </w:tcPr>
          <w:p>
            <w:pPr>
              <w:jc w:val="right"/>
              <w:ind w:right="1100"/>
              <w:spacing w:after="0"/>
              <w:rPr>
                <w:sz w:val="20"/>
                <w:szCs w:val="20"/>
                <w:color w:val="auto"/>
              </w:rPr>
            </w:pPr>
            <w:r>
              <w:rPr>
                <w:rFonts w:ascii="Times New Roman" w:cs="Times New Roman" w:eastAsia="Times New Roman" w:hAnsi="Times New Roman"/>
                <w:sz w:val="10"/>
                <w:szCs w:val="10"/>
                <w:color w:val="auto"/>
              </w:rPr>
              <w:t>November 2, 2019</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0"/>
                <w:szCs w:val="10"/>
                <w:color w:val="auto"/>
              </w:rPr>
              <w:t>November 3, 2018</w:t>
            </w:r>
          </w:p>
        </w:tc>
        <w:tc>
          <w:tcPr>
            <w:tcW w:w="0" w:type="dxa"/>
            <w:vAlign w:val="bottom"/>
          </w:tcPr>
          <w:p>
            <w:pPr>
              <w:spacing w:after="0"/>
              <w:rPr>
                <w:sz w:val="1"/>
                <w:szCs w:val="1"/>
                <w:color w:val="auto"/>
              </w:rPr>
            </w:pPr>
          </w:p>
        </w:tc>
      </w:tr>
      <w:tr>
        <w:trPr>
          <w:trHeight w:val="98"/>
        </w:trPr>
        <w:tc>
          <w:tcPr>
            <w:tcW w:w="6660" w:type="dxa"/>
            <w:vAlign w:val="bottom"/>
            <w:tcBorders>
              <w:top w:val="single" w:sz="8" w:color="CFF0FC"/>
            </w:tcBorders>
            <w:shd w:val="clear" w:color="auto" w:fill="CFF0FC"/>
          </w:tcPr>
          <w:p>
            <w:pPr>
              <w:spacing w:after="0" w:line="98" w:lineRule="exact"/>
              <w:rPr>
                <w:sz w:val="20"/>
                <w:szCs w:val="20"/>
                <w:color w:val="auto"/>
              </w:rPr>
            </w:pPr>
            <w:r>
              <w:rPr>
                <w:rFonts w:ascii="Times New Roman" w:cs="Times New Roman" w:eastAsia="Times New Roman" w:hAnsi="Times New Roman"/>
                <w:sz w:val="10"/>
                <w:szCs w:val="10"/>
                <w:color w:val="auto"/>
              </w:rPr>
              <w:t>Cash flow from operating activities (GAAP basis)</w:t>
            </w:r>
          </w:p>
        </w:tc>
        <w:tc>
          <w:tcPr>
            <w:tcW w:w="400" w:type="dxa"/>
            <w:vAlign w:val="bottom"/>
            <w:tcBorders>
              <w:top w:val="single" w:sz="8" w:color="auto"/>
            </w:tcBorders>
            <w:shd w:val="clear" w:color="auto" w:fill="CFF0FC"/>
          </w:tcPr>
          <w:p>
            <w:pPr>
              <w:jc w:val="right"/>
              <w:ind w:right="2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78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(14.4)</w:t>
            </w:r>
          </w:p>
        </w:tc>
        <w:tc>
          <w:tcPr>
            <w:tcW w:w="36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ind w:right="474"/>
              <w:spacing w:after="0"/>
              <w:rPr>
                <w:sz w:val="20"/>
                <w:szCs w:val="20"/>
                <w:color w:val="auto"/>
              </w:rPr>
            </w:pPr>
            <w:r>
              <w:rPr>
                <w:rFonts w:ascii="Times New Roman" w:cs="Times New Roman" w:eastAsia="Times New Roman" w:hAnsi="Times New Roman"/>
                <w:sz w:val="1"/>
                <w:szCs w:val="1"/>
                <w:color w:val="auto"/>
                <w:w w:val="4294967286"/>
              </w:rPr>
              <w:t>$</w:t>
            </w:r>
          </w:p>
        </w:tc>
        <w:tc>
          <w:tcPr>
            <w:tcW w:w="1640" w:type="dxa"/>
            <w:vAlign w:val="bottom"/>
            <w:tcBorders>
              <w:top w:val="single" w:sz="8" w:color="auto"/>
            </w:tcBorders>
            <w:shd w:val="clear" w:color="auto" w:fill="CFF0FC"/>
          </w:tcPr>
          <w:p>
            <w:pPr>
              <w:jc w:val="right"/>
              <w:spacing w:after="0" w:line="98" w:lineRule="exact"/>
              <w:rPr>
                <w:sz w:val="20"/>
                <w:szCs w:val="20"/>
                <w:color w:val="auto"/>
              </w:rPr>
            </w:pPr>
            <w:r>
              <w:rPr>
                <w:rFonts w:ascii="Times New Roman" w:cs="Times New Roman" w:eastAsia="Times New Roman" w:hAnsi="Times New Roman"/>
                <w:sz w:val="10"/>
                <w:szCs w:val="10"/>
                <w:color w:val="auto"/>
              </w:rPr>
              <w:t>(1.3)</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66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Capital expenditures, infrastructure projects</w:t>
            </w:r>
          </w:p>
        </w:tc>
        <w:tc>
          <w:tcPr>
            <w:tcW w:w="400" w:type="dxa"/>
            <w:vAlign w:val="bottom"/>
          </w:tcPr>
          <w:p>
            <w:pPr>
              <w:spacing w:after="0"/>
              <w:rPr>
                <w:sz w:val="9"/>
                <w:szCs w:val="9"/>
                <w:color w:val="auto"/>
              </w:rPr>
            </w:pPr>
          </w:p>
        </w:tc>
        <w:tc>
          <w:tcPr>
            <w:tcW w:w="214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0"/>
                <w:szCs w:val="10"/>
                <w:color w:val="auto"/>
              </w:rPr>
              <w:t>(7.2)</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(8.0)</w:t>
            </w:r>
          </w:p>
        </w:tc>
        <w:tc>
          <w:tcPr>
            <w:tcW w:w="0" w:type="dxa"/>
            <w:vAlign w:val="bottom"/>
          </w:tcPr>
          <w:p>
            <w:pPr>
              <w:spacing w:after="0"/>
              <w:rPr>
                <w:sz w:val="1"/>
                <w:szCs w:val="1"/>
                <w:color w:val="auto"/>
              </w:rPr>
            </w:pPr>
          </w:p>
        </w:tc>
      </w:tr>
      <w:tr>
        <w:trPr>
          <w:trHeight w:val="109"/>
        </w:trPr>
        <w:tc>
          <w:tcPr>
            <w:tcW w:w="66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Capital expenditures for DXL stores</w:t>
            </w:r>
          </w:p>
        </w:tc>
        <w:tc>
          <w:tcPr>
            <w:tcW w:w="400" w:type="dxa"/>
            <w:vAlign w:val="bottom"/>
            <w:shd w:val="clear" w:color="auto" w:fill="CFF0FC"/>
          </w:tcPr>
          <w:p>
            <w:pPr>
              <w:spacing w:after="0"/>
              <w:rPr>
                <w:sz w:val="9"/>
                <w:szCs w:val="9"/>
                <w:color w:val="auto"/>
              </w:rPr>
            </w:pPr>
          </w:p>
        </w:tc>
        <w:tc>
          <w:tcPr>
            <w:tcW w:w="2140" w:type="dxa"/>
            <w:vAlign w:val="bottom"/>
            <w:gridSpan w:val="2"/>
            <w:shd w:val="clear" w:color="auto" w:fill="CFF0FC"/>
          </w:tcPr>
          <w:p>
            <w:pPr>
              <w:jc w:val="right"/>
              <w:ind w:right="320"/>
              <w:spacing w:after="0" w:line="109" w:lineRule="exact"/>
              <w:rPr>
                <w:sz w:val="20"/>
                <w:szCs w:val="20"/>
                <w:color w:val="auto"/>
              </w:rPr>
            </w:pPr>
            <w:r>
              <w:rPr>
                <w:rFonts w:ascii="Times New Roman" w:cs="Times New Roman" w:eastAsia="Times New Roman" w:hAnsi="Times New Roman"/>
                <w:sz w:val="10"/>
                <w:szCs w:val="10"/>
                <w:color w:val="auto"/>
              </w:rPr>
              <w:t>(3.8)</w:t>
            </w:r>
          </w:p>
        </w:tc>
        <w:tc>
          <w:tcPr>
            <w:tcW w:w="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05"/>
        </w:trPr>
        <w:tc>
          <w:tcPr>
            <w:tcW w:w="6660" w:type="dxa"/>
            <w:vAlign w:val="bottom"/>
          </w:tcPr>
          <w:p>
            <w:pPr>
              <w:ind w:left="60"/>
              <w:spacing w:after="0" w:line="98" w:lineRule="exact"/>
              <w:rPr>
                <w:sz w:val="20"/>
                <w:szCs w:val="20"/>
                <w:color w:val="auto"/>
              </w:rPr>
            </w:pPr>
            <w:r>
              <w:rPr>
                <w:rFonts w:ascii="Times New Roman" w:cs="Times New Roman" w:eastAsia="Times New Roman" w:hAnsi="Times New Roman"/>
                <w:sz w:val="10"/>
                <w:szCs w:val="10"/>
                <w:color w:val="auto"/>
              </w:rPr>
              <w:t>Free Cash Flow (non-GAAP basis)</w:t>
            </w:r>
          </w:p>
        </w:tc>
        <w:tc>
          <w:tcPr>
            <w:tcW w:w="400" w:type="dxa"/>
            <w:vAlign w:val="bottom"/>
            <w:tcBorders>
              <w:top w:val="single" w:sz="8" w:color="auto"/>
              <w:bottom w:val="single" w:sz="8" w:color="auto"/>
            </w:tcBorders>
          </w:tcPr>
          <w:p>
            <w:pPr>
              <w:jc w:val="right"/>
              <w:ind w:right="292"/>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17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(25.4)</w:t>
            </w:r>
          </w:p>
        </w:tc>
        <w:tc>
          <w:tcPr>
            <w:tcW w:w="3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
                <w:szCs w:val="1"/>
                <w:color w:val="auto"/>
                <w:w w:val="4294967286"/>
              </w:rPr>
              <w:t>$</w:t>
            </w:r>
          </w:p>
        </w:tc>
        <w:tc>
          <w:tcPr>
            <w:tcW w:w="164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(11.1)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26" w:name="page27"/>
    <w:bookmarkEnd w:id="26"/>
    <w:p>
      <w:pPr>
        <w:ind w:right="40"/>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Adjusted EBITDA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Adjusted EBITDA is calculated as earnings before interest, taxes, depreciation and amortization and is before exit costs associated with London operations, CEO transition costs, corporate restructuring charges and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impairment of assets. We believe that adjusted EBITDA is useful to investors in 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80" w:type="dxa"/>
            <w:vAlign w:val="bottom"/>
            <w:gridSpan w:val="4"/>
          </w:tcPr>
          <w:p>
            <w:pPr>
              <w:jc w:val="right"/>
              <w:ind w:right="784"/>
              <w:spacing w:after="0"/>
              <w:rPr>
                <w:sz w:val="20"/>
                <w:szCs w:val="20"/>
                <w:color w:val="auto"/>
              </w:rPr>
            </w:pPr>
            <w:r>
              <w:rPr>
                <w:rFonts w:ascii="Times New Roman" w:cs="Times New Roman" w:eastAsia="Times New Roman" w:hAnsi="Times New Roman"/>
                <w:sz w:val="10"/>
                <w:szCs w:val="10"/>
                <w:color w:val="auto"/>
                <w:w w:val="94"/>
              </w:rPr>
              <w:t>For the three months ended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60" w:type="dxa"/>
            <w:vAlign w:val="bottom"/>
            <w:gridSpan w:val="5"/>
          </w:tcPr>
          <w:p>
            <w:pPr>
              <w:jc w:val="right"/>
              <w:ind w:right="1180"/>
              <w:spacing w:after="0"/>
              <w:rPr>
                <w:sz w:val="20"/>
                <w:szCs w:val="20"/>
                <w:color w:val="auto"/>
              </w:rPr>
            </w:pPr>
            <w:r>
              <w:rPr>
                <w:rFonts w:ascii="Times New Roman" w:cs="Times New Roman" w:eastAsia="Times New Roman" w:hAnsi="Times New Roman"/>
                <w:sz w:val="10"/>
                <w:szCs w:val="10"/>
                <w:color w:val="auto"/>
              </w:rPr>
              <w:t>For the nine months ended</w:t>
            </w:r>
          </w:p>
        </w:tc>
        <w:tc>
          <w:tcPr>
            <w:tcW w:w="0" w:type="dxa"/>
            <w:vAlign w:val="bottom"/>
          </w:tcPr>
          <w:p>
            <w:pPr>
              <w:spacing w:after="0"/>
              <w:rPr>
                <w:sz w:val="1"/>
                <w:szCs w:val="1"/>
                <w:color w:val="auto"/>
              </w:rPr>
            </w:pPr>
          </w:p>
        </w:tc>
      </w:tr>
      <w:tr>
        <w:trPr>
          <w:trHeight w:val="114"/>
        </w:trPr>
        <w:tc>
          <w:tcPr>
            <w:tcW w:w="46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November 2, 2019</w:t>
            </w: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rPr>
              <w:t>November 3, 2018</w:t>
            </w: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color w:val="auto"/>
              </w:rPr>
              <w:t>November 2, 2019</w:t>
            </w: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0"/>
                <w:szCs w:val="10"/>
                <w:color w:val="auto"/>
              </w:rPr>
              <w:t>November 3, 2018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54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i w:val="1"/>
                <w:iCs w:val="1"/>
                <w:color w:val="auto"/>
              </w:rPr>
              <w:t>(in millions)</w:t>
            </w:r>
          </w:p>
        </w:tc>
        <w:tc>
          <w:tcPr>
            <w:tcW w:w="1080" w:type="dxa"/>
            <w:vAlign w:val="bottom"/>
            <w:vMerge w:val="restart"/>
          </w:tcPr>
          <w:p>
            <w:pPr>
              <w:jc w:val="right"/>
              <w:ind w:right="1008"/>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(7.2)</w:t>
            </w:r>
          </w:p>
        </w:tc>
        <w:tc>
          <w:tcPr>
            <w:tcW w:w="1340" w:type="dxa"/>
            <w:vAlign w:val="bottom"/>
            <w:gridSpan w:val="2"/>
            <w:vMerge w:val="restart"/>
          </w:tcPr>
          <w:p>
            <w:pPr>
              <w:jc w:val="right"/>
              <w:ind w:right="1124"/>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color w:val="auto"/>
              </w:rPr>
              <w:t>(2.0)</w:t>
            </w:r>
          </w:p>
        </w:tc>
        <w:tc>
          <w:tcPr>
            <w:tcW w:w="200" w:type="dxa"/>
            <w:vAlign w:val="bottom"/>
            <w:vMerge w:val="restart"/>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color w:val="auto"/>
              </w:rPr>
              <w:t>(10.2)</w:t>
            </w:r>
          </w:p>
        </w:tc>
        <w:tc>
          <w:tcPr>
            <w:tcW w:w="200" w:type="dxa"/>
            <w:vAlign w:val="bottom"/>
            <w:vMerge w:val="restart"/>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(6.3)</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54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color w:val="auto"/>
              </w:rPr>
              <w:t>Net loss (GAAP basis)</w:t>
            </w:r>
          </w:p>
        </w:tc>
        <w:tc>
          <w:tcPr>
            <w:tcW w:w="10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Add back:</w:t>
            </w:r>
          </w:p>
        </w:tc>
        <w:tc>
          <w:tcPr>
            <w:tcW w:w="10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CEO transition costs</w:t>
            </w:r>
          </w:p>
        </w:tc>
        <w:tc>
          <w:tcPr>
            <w:tcW w:w="108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0.4</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0.7</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Corporate restructuring</w:t>
            </w:r>
          </w:p>
        </w:tc>
        <w:tc>
          <w:tcPr>
            <w:tcW w:w="10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0.3</w:t>
            </w: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Exit costs associated with London operations</w:t>
            </w:r>
          </w:p>
        </w:tc>
        <w:tc>
          <w:tcPr>
            <w:tcW w:w="108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1.7</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Benefit for income taxes</w:t>
            </w:r>
          </w:p>
        </w:tc>
        <w:tc>
          <w:tcPr>
            <w:tcW w:w="10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00" w:type="dxa"/>
            <w:vAlign w:val="bottom"/>
            <w:gridSpan w:val="2"/>
            <w:shd w:val="clear" w:color="auto" w:fill="CFF0FC"/>
          </w:tcPr>
          <w:p>
            <w:pPr>
              <w:jc w:val="right"/>
              <w:ind w:right="260"/>
              <w:spacing w:after="0" w:line="109" w:lineRule="exact"/>
              <w:rPr>
                <w:sz w:val="20"/>
                <w:szCs w:val="20"/>
                <w:color w:val="auto"/>
              </w:rPr>
            </w:pPr>
            <w:r>
              <w:rPr>
                <w:rFonts w:ascii="Times New Roman" w:cs="Times New Roman" w:eastAsia="Times New Roman" w:hAnsi="Times New Roman"/>
                <w:sz w:val="10"/>
                <w:szCs w:val="10"/>
                <w:color w:val="auto"/>
              </w:rPr>
              <w:t>(0.1)</w:t>
            </w:r>
          </w:p>
        </w:tc>
        <w:tc>
          <w:tcPr>
            <w:tcW w:w="20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Interest expense</w:t>
            </w:r>
          </w:p>
        </w:tc>
        <w:tc>
          <w:tcPr>
            <w:tcW w:w="108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0.9</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0.8</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2.6</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08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6.3</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tcBorders>
              <w:bottom w:val="single" w:sz="8" w:color="auto"/>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7.2</w:t>
            </w:r>
          </w:p>
        </w:tc>
        <w:tc>
          <w:tcPr>
            <w:tcW w:w="44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2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18.9</w:t>
            </w:r>
          </w:p>
        </w:tc>
        <w:tc>
          <w:tcPr>
            <w:tcW w:w="30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26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0"/>
                <w:szCs w:val="10"/>
                <w:color w:val="auto"/>
              </w:rPr>
              <w:t>21.9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54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color w:val="auto"/>
              </w:rPr>
              <w:t>Adjusted EBITDA (non-GAAP basis)</w:t>
            </w:r>
          </w:p>
        </w:tc>
        <w:tc>
          <w:tcPr>
            <w:tcW w:w="10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1.7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Borders>
              <w:bottom w:val="single" w:sz="8" w:color="auto"/>
            </w:tcBorders>
          </w:tcPr>
          <w:p>
            <w:pPr>
              <w:jc w:val="right"/>
              <w:ind w:right="1124"/>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6.6</w:t>
            </w:r>
          </w:p>
        </w:tc>
        <w:tc>
          <w:tcPr>
            <w:tcW w:w="440" w:type="dxa"/>
            <w:vAlign w:val="bottom"/>
          </w:tcPr>
          <w:p>
            <w:pPr>
              <w:spacing w:after="0"/>
              <w:rPr>
                <w:sz w:val="9"/>
                <w:szCs w:val="9"/>
                <w:color w:val="auto"/>
              </w:rPr>
            </w:pPr>
          </w:p>
        </w:tc>
        <w:tc>
          <w:tcPr>
            <w:tcW w:w="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13.6</w:t>
            </w:r>
          </w:p>
        </w:tc>
        <w:tc>
          <w:tcPr>
            <w:tcW w:w="300" w:type="dxa"/>
            <w:vAlign w:val="bottom"/>
          </w:tcPr>
          <w:p>
            <w:pPr>
              <w:spacing w:after="0"/>
              <w:rPr>
                <w:sz w:val="9"/>
                <w:szCs w:val="9"/>
                <w:color w:val="auto"/>
              </w:rPr>
            </w:pPr>
          </w:p>
        </w:tc>
        <w:tc>
          <w:tcPr>
            <w:tcW w:w="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Rates</w:t>
      </w:r>
    </w:p>
    <w:p>
      <w:pPr>
        <w:spacing w:after="0" w:line="7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4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color w:val="auto"/>
        </w:rPr>
        <w:t>At November 2, 2019, we had outstanding borrowings of approximately $68.4 million, of which approximately $65.0 million were in LIBOR-based contracts with an interest rate of approximately 3.06%. The remainder was prime-based borrowings, with a rate of 5.00%. At November 2, 2019, the $15.0 million outstanding borrowings under the FILO loan were in a LIBOR-based contract with an interest rate of 5.14%.</w:t>
      </w:r>
    </w:p>
    <w:p>
      <w:pPr>
        <w:spacing w:after="0" w:line="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Based upon a sensitivity analysis as of November 2, 2019, assuming average outstanding borrowing during the first nine months of fiscal 2019 of $58.7 million under our Credit Facility and $15.0 million outstanding under our FILO loan, a 50 basis point increase in interest rates would have resulted in a potential increase in interest expense of approximately $368,500 on an annualized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Foreign Currency</w:t>
      </w:r>
    </w:p>
    <w:p>
      <w:pPr>
        <w:spacing w:after="0" w:line="79" w:lineRule="exact"/>
        <w:rPr>
          <w:sz w:val="20"/>
          <w:szCs w:val="20"/>
          <w:color w:val="auto"/>
        </w:rPr>
      </w:pPr>
    </w:p>
    <w:p>
      <w:pPr>
        <w:jc w:val="both"/>
        <w:ind w:right="340"/>
        <w:spacing w:after="0" w:line="269" w:lineRule="auto"/>
        <w:rPr>
          <w:sz w:val="20"/>
          <w:szCs w:val="20"/>
          <w:color w:val="auto"/>
        </w:rPr>
      </w:pPr>
      <w:r>
        <w:rPr>
          <w:rFonts w:ascii="Times New Roman" w:cs="Times New Roman" w:eastAsia="Times New Roman" w:hAnsi="Times New Roman"/>
          <w:sz w:val="12"/>
          <w:szCs w:val="12"/>
          <w:color w:val="auto"/>
        </w:rPr>
        <w:t>Our two DXL stores located in Ontario, Canada conduct business in Canadian dollars. As of November 2, 2019, sales from these stores were immaterial to consolidated sales. As such, we believe that movement in foreign currency exchange rates will not have a material adverse effect on our financial position or results of operations. Our Rochester Clothing store, which was located in London, England and closed in August 2019, conducted business in British pounds. In connection with that store closing, we recognized an expense of approximately $0.8 million associated with the recognition of the accumulated foreign currency translation adjustment.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Evaluation of Disclosure Controls and Procedures</w:t>
      </w:r>
    </w:p>
    <w:p>
      <w:pPr>
        <w:spacing w:after="0" w:line="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2, 2019.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2" w:right="1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color w:val="auto"/>
        </w:rPr>
        <w:t>controls and procedures. Based on this evaluation, our Chief Executive Officer and Chief Financial Officer concluded that, as of November 2, 2019, our disclosure controls and procedures were effective.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Changes in Internal Control over Financial Reporting</w:t>
      </w:r>
    </w:p>
    <w:p>
      <w:pPr>
        <w:spacing w:after="0" w:line="7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2"/>
          <w:szCs w:val="12"/>
          <w:color w:val="auto"/>
        </w:rPr>
        <w:t>During the nine-month period ended November 2, 2019, we adopted new guidance for lease accounting. We implemented internal controls to ensure we adequately evaluated leasing arrangements and properly assessed the impact of the new guidance to facilitate the adoption. Additionally, we implemented new business processes, internal controls, and modified information technology systems to assist in the ongoing application of the new guidance. There were no other changes in our internal control over financial reporting (as defined in Rules 13a-15(f) and 15d-15(f) under the Exchange Act) that occurred during the quarter ended November 2, 2019 that has materially affected, or is reasonably likely to materially affect, our internal control over financial reporting.</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wp:posOffset>
            </wp:positionV>
            <wp:extent cx="732853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199" w:right="219" w:bottom="1440" w:gutter="0" w:footer="0" w:header="0"/>
        </w:sectPr>
      </w:pPr>
    </w:p>
    <w:bookmarkStart w:id="28" w:name="page29"/>
    <w:bookmarkEnd w:id="28"/>
    <w:p>
      <w:pPr>
        <w:ind w:left="3"/>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1" w:lineRule="exact"/>
        <w:rPr>
          <w:sz w:val="20"/>
          <w:szCs w:val="20"/>
          <w:color w:val="auto"/>
        </w:rPr>
      </w:pPr>
    </w:p>
    <w:p>
      <w:pPr>
        <w:ind w:left="283" w:right="20"/>
        <w:spacing w:after="0" w:line="286" w:lineRule="auto"/>
        <w:rPr>
          <w:sz w:val="20"/>
          <w:szCs w:val="20"/>
          <w:color w:val="auto"/>
        </w:rPr>
      </w:pPr>
      <w:r>
        <w:rPr>
          <w:rFonts w:ascii="Times New Roman" w:cs="Times New Roman" w:eastAsia="Times New Roman" w:hAnsi="Times New Roman"/>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2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2"/>
          <w:szCs w:val="12"/>
          <w:color w:val="auto"/>
        </w:rPr>
        <w:t>There have been no material changes to the risk factors as previously disclosed in Part I, Item 1A of our Fiscal 2018 Annual Report.</w:t>
      </w:r>
    </w:p>
    <w:p>
      <w:pPr>
        <w:spacing w:after="0" w:line="2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81"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2"/>
          <w:szCs w:val="12"/>
          <w:color w:val="auto"/>
        </w:rPr>
        <w:t>None.</w:t>
      </w:r>
    </w:p>
    <w:p>
      <w:pPr>
        <w:spacing w:after="0" w:line="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67"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2"/>
          <w:szCs w:val="12"/>
          <w:color w:val="auto"/>
        </w:rPr>
        <w:t>None.</w:t>
      </w:r>
    </w:p>
    <w:p>
      <w:pPr>
        <w:spacing w:after="0" w:line="2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1"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2"/>
          <w:szCs w:val="12"/>
          <w:color w:val="auto"/>
        </w:rPr>
        <w:t>Not applicable.</w:t>
      </w:r>
    </w:p>
    <w:p>
      <w:pPr>
        <w:spacing w:after="0" w:line="2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ectPr>
          <w:pgSz w:w="11900" w:h="16838" w:orient="portrait"/>
          <w:cols w:equalWidth="0" w:num="1">
            <w:col w:w="11423"/>
          </w:cols>
          <w:pgMar w:left="217" w:top="125" w:right="259" w:bottom="1440" w:gutter="0" w:footer="0" w:header="0"/>
        </w:sectPr>
      </w:pPr>
    </w:p>
    <w:p>
      <w:pPr>
        <w:spacing w:after="0" w:line="81"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2"/>
          <w:szCs w:val="12"/>
          <w:color w:val="auto"/>
        </w:rPr>
        <w:t>None.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1"/>
          <w:szCs w:val="11"/>
          <w:b w:val="1"/>
          <w:bCs w:val="1"/>
          <w:color w:val="auto"/>
        </w:rPr>
        <w:t>Item 6. Exhibits.</w:t>
      </w:r>
    </w:p>
    <w:p>
      <w:pPr>
        <w:spacing w:after="0" w:line="3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10.1</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2"/>
          <w:szCs w:val="12"/>
          <w:color w:val="0000EE"/>
        </w:rPr>
      </w:pPr>
      <w:hyperlink r:id="rId46">
        <w:r>
          <w:rPr>
            <w:rFonts w:ascii="Times New Roman" w:cs="Times New Roman" w:eastAsia="Times New Roman" w:hAnsi="Times New Roman"/>
            <w:sz w:val="12"/>
            <w:szCs w:val="12"/>
            <w:u w:val="single" w:color="auto"/>
            <w:color w:val="0000EE"/>
          </w:rPr>
          <w:t>Destination XL Group, Inc.’s 2016 Incentive Compensation Plan, as amended (included as Exhibit 10.1 to the Company’s Current Report on Form 8-K filed August 9, 2019, and incorporated herein by reference)</w:t>
        </w:r>
      </w:hyperlink>
      <w:r>
        <w:rPr>
          <w:rFonts w:ascii="Times New Roman" w:cs="Times New Roman" w:eastAsia="Times New Roman" w:hAnsi="Times New Roman"/>
          <w:sz w:val="12"/>
          <w:szCs w:val="12"/>
          <w:color w:val="000000"/>
        </w:rPr>
        <w:t>.</w:t>
      </w:r>
    </w:p>
    <w:p>
      <w:pPr>
        <w:spacing w:after="0" w:line="152" w:lineRule="exact"/>
        <w:rPr>
          <w:sz w:val="20"/>
          <w:szCs w:val="20"/>
          <w:color w:val="auto"/>
        </w:rPr>
      </w:pPr>
    </w:p>
    <w:p>
      <w:pPr>
        <w:jc w:val="both"/>
        <w:ind w:right="40"/>
        <w:spacing w:after="0" w:line="269" w:lineRule="auto"/>
        <w:rPr>
          <w:rFonts w:ascii="Times New Roman" w:cs="Times New Roman" w:eastAsia="Times New Roman" w:hAnsi="Times New Roman"/>
          <w:sz w:val="12"/>
          <w:szCs w:val="12"/>
          <w:u w:val="single" w:color="auto"/>
          <w:color w:val="0000EE"/>
        </w:rPr>
      </w:pPr>
      <w:hyperlink r:id="rId47">
        <w:r>
          <w:rPr>
            <w:rFonts w:ascii="Times New Roman" w:cs="Times New Roman" w:eastAsia="Times New Roman" w:hAnsi="Times New Roman"/>
            <w:sz w:val="12"/>
            <w:szCs w:val="12"/>
            <w:u w:val="single" w:color="auto"/>
            <w:color w:val="0000EE"/>
          </w:rPr>
          <w:t>Waiver and Second Amendment to Seventh Amended and Restated Credit Agreement dated as of September 5, 2019, by and among Bank of America, N.A., as Administrative Agent and Collateral Agent, the Lenders</w:t>
        </w:r>
      </w:hyperlink>
      <w:r>
        <w:rPr>
          <w:rFonts w:ascii="Times New Roman" w:cs="Times New Roman" w:eastAsia="Times New Roman" w:hAnsi="Times New Roman"/>
          <w:sz w:val="12"/>
          <w:szCs w:val="12"/>
          <w:u w:val="single" w:color="auto"/>
          <w:color w:val="0000EE"/>
        </w:rPr>
        <w:t xml:space="preserve"> </w:t>
      </w:r>
      <w:hyperlink r:id="rId47">
        <w:r>
          <w:rPr>
            <w:rFonts w:ascii="Times New Roman" w:cs="Times New Roman" w:eastAsia="Times New Roman" w:hAnsi="Times New Roman"/>
            <w:sz w:val="12"/>
            <w:szCs w:val="12"/>
            <w:u w:val="single" w:color="auto"/>
            <w:color w:val="0000EE"/>
          </w:rPr>
          <w:t>identified therein, the Company, as Lead Borrower, the Company and CMRG Apparel, LLC, as Borrowers, and the Guarantors identified therein (included as Exhibit 10.1 to the Company’s Current Report on Form 8-</w:t>
        </w:r>
      </w:hyperlink>
      <w:hyperlink r:id="rId47">
        <w:r>
          <w:rPr>
            <w:rFonts w:ascii="Times New Roman" w:cs="Times New Roman" w:eastAsia="Times New Roman" w:hAnsi="Times New Roman"/>
            <w:sz w:val="12"/>
            <w:szCs w:val="12"/>
            <w:u w:val="single" w:color="auto"/>
            <w:color w:val="0000EE"/>
          </w:rPr>
          <w:t>K filed September 6, 2019, and incorporated herein by reference).</w:t>
        </w:r>
      </w:hyperlink>
    </w:p>
    <w:p>
      <w:pPr>
        <w:spacing w:after="0" w:line="108" w:lineRule="exact"/>
        <w:rPr>
          <w:rFonts w:ascii="Times New Roman" w:cs="Times New Roman" w:eastAsia="Times New Roman" w:hAnsi="Times New Roman"/>
          <w:sz w:val="12"/>
          <w:szCs w:val="12"/>
          <w:u w:val="single" w:color="auto"/>
          <w:color w:val="0000EE"/>
        </w:rPr>
      </w:pPr>
    </w:p>
    <w:p>
      <w:pPr>
        <w:sectPr>
          <w:pgSz w:w="11900" w:h="16838" w:orient="portrait"/>
          <w:cols w:equalWidth="0" w:num="2">
            <w:col w:w="843" w:space="100"/>
            <w:col w:w="10480"/>
          </w:cols>
          <w:pgMar w:left="217" w:top="125" w:right="259" w:bottom="1440" w:gutter="0" w:footer="0" w:header="0"/>
          <w:type w:val="continuous"/>
        </w:sectPr>
      </w:pPr>
    </w:p>
    <w:tbl>
      <w:tblPr>
        <w:tblLayout w:type="fixed"/>
        <w:tblInd w:w="3" w:type="dxa"/>
        <w:tblCellMar>
          <w:top w:w="0" w:type="dxa"/>
          <w:left w:w="0" w:type="dxa"/>
          <w:bottom w:w="0" w:type="dxa"/>
          <w:right w:w="0" w:type="dxa"/>
        </w:tblCellMar>
      </w:tblPr>
      <w:tr>
        <w:trPr>
          <w:trHeight w:val="138"/>
        </w:trPr>
        <w:tc>
          <w:tcPr>
            <w:tcW w:w="9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85"/>
              </w:rPr>
              <w:t>10.3</w:t>
            </w:r>
          </w:p>
        </w:tc>
        <w:tc>
          <w:tcPr>
            <w:tcW w:w="7160" w:type="dxa"/>
            <w:vAlign w:val="bottom"/>
            <w:gridSpan w:val="5"/>
          </w:tcPr>
          <w:p>
            <w:pPr>
              <w:spacing w:after="0"/>
              <w:rPr>
                <w:rFonts w:ascii="Times New Roman" w:cs="Times New Roman" w:eastAsia="Times New Roman" w:hAnsi="Times New Roman"/>
                <w:sz w:val="12"/>
                <w:szCs w:val="12"/>
                <w:color w:val="0000EE"/>
              </w:rPr>
            </w:pPr>
            <w:hyperlink w:anchor="page31">
              <w:r>
                <w:rPr>
                  <w:rFonts w:ascii="Times New Roman" w:cs="Times New Roman" w:eastAsia="Times New Roman" w:hAnsi="Times New Roman"/>
                  <w:sz w:val="12"/>
                  <w:szCs w:val="12"/>
                  <w:color w:val="0000EE"/>
                </w:rPr>
                <w:t>Employment Agreement dated October 29, 2019 between the Company and Erica Welling Moran</w:t>
              </w:r>
            </w:hyperlink>
            <w:r>
              <w:rPr>
                <w:rFonts w:ascii="Times New Roman" w:cs="Times New Roman" w:eastAsia="Times New Roman" w:hAnsi="Times New Roman"/>
                <w:sz w:val="12"/>
                <w:szCs w:val="12"/>
                <w:color w:val="000000"/>
              </w:rPr>
              <w:t>.</w:t>
            </w:r>
          </w:p>
        </w:tc>
      </w:tr>
      <w:tr>
        <w:trPr>
          <w:trHeight w:val="20"/>
        </w:trPr>
        <w:tc>
          <w:tcPr>
            <w:tcW w:w="94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9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85"/>
              </w:rPr>
              <w:t>31.1</w:t>
            </w:r>
          </w:p>
        </w:tc>
        <w:tc>
          <w:tcPr>
            <w:tcW w:w="7160" w:type="dxa"/>
            <w:vAlign w:val="bottom"/>
            <w:gridSpan w:val="5"/>
          </w:tcPr>
          <w:p>
            <w:pPr>
              <w:spacing w:after="0"/>
              <w:rPr>
                <w:rFonts w:ascii="Times New Roman" w:cs="Times New Roman" w:eastAsia="Times New Roman" w:hAnsi="Times New Roman"/>
                <w:sz w:val="12"/>
                <w:szCs w:val="12"/>
                <w:color w:val="0000EE"/>
              </w:rPr>
            </w:pPr>
            <w:hyperlink w:anchor="page51">
              <w:r>
                <w:rPr>
                  <w:rFonts w:ascii="Times New Roman" w:cs="Times New Roman" w:eastAsia="Times New Roman" w:hAnsi="Times New Roman"/>
                  <w:sz w:val="12"/>
                  <w:szCs w:val="12"/>
                  <w:color w:val="0000EE"/>
                </w:rPr>
                <w:t>Certification of the Chief Executive Officer of the Company pursuant to Rule 13a-14(a) under the Securities Exchange Act of 1934</w:t>
              </w:r>
            </w:hyperlink>
            <w:r>
              <w:rPr>
                <w:rFonts w:ascii="Times New Roman" w:cs="Times New Roman" w:eastAsia="Times New Roman" w:hAnsi="Times New Roman"/>
                <w:sz w:val="12"/>
                <w:szCs w:val="12"/>
                <w:u w:val="single" w:color="auto"/>
                <w:color w:val="000000"/>
              </w:rPr>
              <w:t>.</w:t>
            </w:r>
          </w:p>
        </w:tc>
      </w:tr>
      <w:tr>
        <w:trPr>
          <w:trHeight w:val="270"/>
        </w:trPr>
        <w:tc>
          <w:tcPr>
            <w:tcW w:w="9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85"/>
              </w:rPr>
              <w:t>31.2</w:t>
            </w:r>
          </w:p>
        </w:tc>
        <w:tc>
          <w:tcPr>
            <w:tcW w:w="6340" w:type="dxa"/>
            <w:vAlign w:val="bottom"/>
            <w:tcBorders>
              <w:top w:val="single" w:sz="8" w:color="0000EE"/>
            </w:tcBorders>
            <w:gridSpan w:val="3"/>
          </w:tcPr>
          <w:p>
            <w:pPr>
              <w:spacing w:after="0"/>
              <w:rPr>
                <w:rFonts w:ascii="Times New Roman" w:cs="Times New Roman" w:eastAsia="Times New Roman" w:hAnsi="Times New Roman"/>
                <w:sz w:val="12"/>
                <w:szCs w:val="12"/>
                <w:color w:val="0000EE"/>
              </w:rPr>
            </w:pPr>
            <w:hyperlink w:anchor="page52">
              <w:r>
                <w:rPr>
                  <w:rFonts w:ascii="Times New Roman" w:cs="Times New Roman" w:eastAsia="Times New Roman" w:hAnsi="Times New Roman"/>
                  <w:sz w:val="12"/>
                  <w:szCs w:val="12"/>
                  <w:color w:val="0000EE"/>
                </w:rPr>
                <w:t>Certification of the Chief Financial Officer of the Company pursuant to Rule 13a-14(a) under the Securities Exchange Act of 1934</w:t>
              </w:r>
            </w:hyperlink>
            <w:r>
              <w:rPr>
                <w:rFonts w:ascii="Times New Roman" w:cs="Times New Roman" w:eastAsia="Times New Roman" w:hAnsi="Times New Roman"/>
                <w:sz w:val="12"/>
                <w:szCs w:val="12"/>
                <w:u w:val="single" w:color="auto"/>
                <w:color w:val="000000"/>
              </w:rPr>
              <w:t>.</w:t>
            </w:r>
          </w:p>
        </w:tc>
        <w:tc>
          <w:tcPr>
            <w:tcW w:w="820" w:type="dxa"/>
            <w:vAlign w:val="bottom"/>
            <w:gridSpan w:val="2"/>
          </w:tcPr>
          <w:p>
            <w:pPr>
              <w:spacing w:after="0"/>
              <w:rPr>
                <w:sz w:val="23"/>
                <w:szCs w:val="23"/>
                <w:color w:val="auto"/>
              </w:rPr>
            </w:pPr>
          </w:p>
        </w:tc>
      </w:tr>
      <w:tr>
        <w:trPr>
          <w:trHeight w:val="20"/>
        </w:trPr>
        <w:tc>
          <w:tcPr>
            <w:tcW w:w="940" w:type="dxa"/>
            <w:vAlign w:val="bottom"/>
          </w:tcPr>
          <w:p>
            <w:pPr>
              <w:spacing w:after="0" w:line="20" w:lineRule="exact"/>
              <w:rPr>
                <w:sz w:val="1"/>
                <w:szCs w:val="1"/>
                <w:color w:val="auto"/>
              </w:rPr>
            </w:pPr>
          </w:p>
        </w:tc>
        <w:tc>
          <w:tcPr>
            <w:tcW w:w="630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9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85"/>
              </w:rPr>
              <w:t>32.1</w:t>
            </w:r>
          </w:p>
        </w:tc>
        <w:tc>
          <w:tcPr>
            <w:tcW w:w="7160" w:type="dxa"/>
            <w:vAlign w:val="bottom"/>
            <w:gridSpan w:val="5"/>
          </w:tcPr>
          <w:p>
            <w:pPr>
              <w:spacing w:after="0"/>
              <w:rPr>
                <w:rFonts w:ascii="Times New Roman" w:cs="Times New Roman" w:eastAsia="Times New Roman" w:hAnsi="Times New Roman"/>
                <w:sz w:val="12"/>
                <w:szCs w:val="12"/>
                <w:color w:val="0000EE"/>
              </w:rPr>
            </w:pPr>
            <w:hyperlink w:anchor="page53">
              <w:r>
                <w:rPr>
                  <w:rFonts w:ascii="Times New Roman" w:cs="Times New Roman" w:eastAsia="Times New Roman" w:hAnsi="Times New Roman"/>
                  <w:sz w:val="12"/>
                  <w:szCs w:val="12"/>
                  <w:color w:val="0000EE"/>
                </w:rPr>
                <w:t>Certification of Chief Executive Officer pursuant to 18 U.S.C. Section 1350, as adopted pursuant to Section 906 of the Sarbanes-Oxley Act of 2002</w:t>
              </w:r>
            </w:hyperlink>
            <w:r>
              <w:rPr>
                <w:rFonts w:ascii="Times New Roman" w:cs="Times New Roman" w:eastAsia="Times New Roman" w:hAnsi="Times New Roman"/>
                <w:sz w:val="12"/>
                <w:szCs w:val="12"/>
                <w:u w:val="single" w:color="auto"/>
                <w:color w:val="000000"/>
              </w:rPr>
              <w:t>.</w:t>
            </w:r>
          </w:p>
        </w:tc>
      </w:tr>
      <w:tr>
        <w:trPr>
          <w:trHeight w:val="20"/>
        </w:trPr>
        <w:tc>
          <w:tcPr>
            <w:tcW w:w="940" w:type="dxa"/>
            <w:vAlign w:val="bottom"/>
          </w:tcPr>
          <w:p>
            <w:pPr>
              <w:spacing w:after="0" w:line="20" w:lineRule="exact"/>
              <w:rPr>
                <w:sz w:val="1"/>
                <w:szCs w:val="1"/>
                <w:color w:val="auto"/>
              </w:rPr>
            </w:pPr>
          </w:p>
        </w:tc>
        <w:tc>
          <w:tcPr>
            <w:tcW w:w="71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70"/>
        </w:trPr>
        <w:tc>
          <w:tcPr>
            <w:tcW w:w="9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85"/>
              </w:rPr>
              <w:t>32.2</w:t>
            </w:r>
          </w:p>
        </w:tc>
        <w:tc>
          <w:tcPr>
            <w:tcW w:w="7160" w:type="dxa"/>
            <w:vAlign w:val="bottom"/>
            <w:gridSpan w:val="5"/>
          </w:tcPr>
          <w:p>
            <w:pPr>
              <w:spacing w:after="0"/>
              <w:rPr>
                <w:rFonts w:ascii="Times New Roman" w:cs="Times New Roman" w:eastAsia="Times New Roman" w:hAnsi="Times New Roman"/>
                <w:sz w:val="12"/>
                <w:szCs w:val="12"/>
                <w:color w:val="0000EE"/>
              </w:rPr>
            </w:pPr>
            <w:hyperlink w:anchor="page54">
              <w:r>
                <w:rPr>
                  <w:rFonts w:ascii="Times New Roman" w:cs="Times New Roman" w:eastAsia="Times New Roman" w:hAnsi="Times New Roman"/>
                  <w:sz w:val="12"/>
                  <w:szCs w:val="12"/>
                  <w:color w:val="0000EE"/>
                </w:rPr>
                <w:t>Certification of Chief Financial Officer pursuant to 18 U.S.C. Section 1350, as adopted pursuant to Section 906 of the Sarbanes-Oxley Act of 2002</w:t>
              </w:r>
            </w:hyperlink>
            <w:r>
              <w:rPr>
                <w:rFonts w:ascii="Times New Roman" w:cs="Times New Roman" w:eastAsia="Times New Roman" w:hAnsi="Times New Roman"/>
                <w:sz w:val="12"/>
                <w:szCs w:val="12"/>
                <w:u w:val="single" w:color="auto"/>
                <w:color w:val="000000"/>
              </w:rPr>
              <w:t>.</w:t>
            </w:r>
          </w:p>
        </w:tc>
      </w:tr>
      <w:tr>
        <w:trPr>
          <w:trHeight w:val="20"/>
        </w:trPr>
        <w:tc>
          <w:tcPr>
            <w:tcW w:w="94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0" w:lineRule="exact"/>
        <w:rPr>
          <w:sz w:val="20"/>
          <w:szCs w:val="20"/>
          <w:color w:val="auto"/>
        </w:rPr>
      </w:pPr>
    </w:p>
    <w:p>
      <w:pPr>
        <w:ind w:left="943" w:hanging="943"/>
        <w:spacing w:after="0"/>
        <w:tabs>
          <w:tab w:leader="none" w:pos="94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materials from the Company’s Quarterly Report on Form 10-Q for the quarter ended November 2, 2019, formatted in XBRL (eXtensible Business Reporting Language): (i) Consolidated Balance Sheets,</w:t>
      </w:r>
    </w:p>
    <w:p>
      <w:pPr>
        <w:spacing w:after="0" w:line="19" w:lineRule="exact"/>
        <w:rPr>
          <w:rFonts w:ascii="Times New Roman" w:cs="Times New Roman" w:eastAsia="Times New Roman" w:hAnsi="Times New Roman"/>
          <w:sz w:val="12"/>
          <w:szCs w:val="12"/>
          <w:color w:val="auto"/>
        </w:rPr>
      </w:pPr>
    </w:p>
    <w:p>
      <w:pPr>
        <w:ind w:left="1123" w:hanging="181"/>
        <w:spacing w:after="0"/>
        <w:tabs>
          <w:tab w:leader="none" w:pos="1123"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Statements of Operations, (iii) Consolidated Statements of Comprehensive Income, (iv) Consolidated Statements of Changes in Stockholders’ Equity, (v) Consolidated Statements of Cash Flows, and</w:t>
      </w:r>
    </w:p>
    <w:p>
      <w:pPr>
        <w:spacing w:after="0" w:line="6" w:lineRule="exact"/>
        <w:rPr>
          <w:rFonts w:ascii="Times New Roman" w:cs="Times New Roman" w:eastAsia="Times New Roman" w:hAnsi="Times New Roman"/>
          <w:sz w:val="12"/>
          <w:szCs w:val="12"/>
          <w:color w:val="auto"/>
        </w:rPr>
      </w:pPr>
    </w:p>
    <w:p>
      <w:pPr>
        <w:ind w:left="1143" w:hanging="201"/>
        <w:spacing w:after="0"/>
        <w:tabs>
          <w:tab w:leader="none" w:pos="1143"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Notes to Consolidated Financial Statements.</w:t>
      </w:r>
    </w:p>
    <w:p>
      <w:pPr>
        <w:spacing w:after="0" w:line="284"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32853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23"/>
          </w:cols>
          <w:pgMar w:left="217" w:top="125" w:right="2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58"/>
        </w:trPr>
        <w:tc>
          <w:tcPr>
            <w:tcW w:w="3300" w:type="dxa"/>
            <w:vAlign w:val="bottom"/>
          </w:tcPr>
          <w:p>
            <w:pPr>
              <w:spacing w:after="0"/>
              <w:rPr>
                <w:sz w:val="13"/>
                <w:szCs w:val="13"/>
                <w:color w:val="auto"/>
              </w:rPr>
            </w:pPr>
          </w:p>
        </w:tc>
        <w:tc>
          <w:tcPr>
            <w:tcW w:w="8180" w:type="dxa"/>
            <w:vAlign w:val="bottom"/>
            <w:gridSpan w:val="2"/>
          </w:tcPr>
          <w:p>
            <w:pPr>
              <w:jc w:val="center"/>
              <w:ind w:right="3260"/>
              <w:spacing w:after="0"/>
              <w:rPr>
                <w:sz w:val="20"/>
                <w:szCs w:val="20"/>
                <w:color w:val="auto"/>
              </w:rPr>
            </w:pPr>
            <w:r>
              <w:rPr>
                <w:rFonts w:ascii="Times New Roman" w:cs="Times New Roman" w:eastAsia="Times New Roman" w:hAnsi="Times New Roman"/>
                <w:sz w:val="12"/>
                <w:szCs w:val="12"/>
                <w:color w:val="auto"/>
                <w:w w:val="99"/>
              </w:rPr>
              <w:t>SIGNATURES</w:t>
            </w:r>
          </w:p>
        </w:tc>
      </w:tr>
      <w:tr>
        <w:trPr>
          <w:trHeight w:val="290"/>
        </w:trPr>
        <w:tc>
          <w:tcPr>
            <w:tcW w:w="1148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300" w:type="dxa"/>
            <w:vAlign w:val="bottom"/>
          </w:tcPr>
          <w:p>
            <w:pPr>
              <w:spacing w:after="0"/>
              <w:rPr>
                <w:sz w:val="24"/>
                <w:szCs w:val="24"/>
                <w:color w:val="auto"/>
              </w:rPr>
            </w:pPr>
          </w:p>
        </w:tc>
        <w:tc>
          <w:tcPr>
            <w:tcW w:w="8180" w:type="dxa"/>
            <w:vAlign w:val="bottom"/>
            <w:gridSpan w:val="2"/>
          </w:tcPr>
          <w:p>
            <w:pPr>
              <w:ind w:left="3260"/>
              <w:spacing w:after="0"/>
              <w:rPr>
                <w:sz w:val="20"/>
                <w:szCs w:val="20"/>
                <w:color w:val="auto"/>
              </w:rPr>
            </w:pPr>
            <w:r>
              <w:rPr>
                <w:rFonts w:ascii="Times New Roman" w:cs="Times New Roman" w:eastAsia="Times New Roman" w:hAnsi="Times New Roman"/>
                <w:sz w:val="12"/>
                <w:szCs w:val="12"/>
                <w:color w:val="auto"/>
              </w:rPr>
              <w:t>DESTINATION XL GROUP, INC.</w:t>
            </w:r>
          </w:p>
        </w:tc>
      </w:tr>
      <w:tr>
        <w:trPr>
          <w:trHeight w:val="30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22, 2019</w:t>
            </w:r>
          </w:p>
        </w:tc>
        <w:tc>
          <w:tcPr>
            <w:tcW w:w="8180" w:type="dxa"/>
            <w:vAlign w:val="bottom"/>
            <w:gridSpan w:val="2"/>
          </w:tcPr>
          <w:p>
            <w:pPr>
              <w:ind w:left="3260"/>
              <w:spacing w:after="0"/>
              <w:rPr>
                <w:sz w:val="20"/>
                <w:szCs w:val="20"/>
                <w:color w:val="auto"/>
              </w:rPr>
            </w:pPr>
            <w:r>
              <w:rPr>
                <w:rFonts w:ascii="Times New Roman" w:cs="Times New Roman" w:eastAsia="Times New Roman" w:hAnsi="Times New Roman"/>
                <w:sz w:val="12"/>
                <w:szCs w:val="12"/>
                <w:color w:val="auto"/>
              </w:rPr>
              <w:t>By:  /S/ John F. Cooney</w:t>
            </w:r>
          </w:p>
        </w:tc>
      </w:tr>
      <w:tr>
        <w:trPr>
          <w:trHeight w:val="121"/>
        </w:trPr>
        <w:tc>
          <w:tcPr>
            <w:tcW w:w="33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46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John F. Cooney</w:t>
            </w:r>
          </w:p>
        </w:tc>
      </w:tr>
      <w:tr>
        <w:trPr>
          <w:trHeight w:val="145"/>
        </w:trPr>
        <w:tc>
          <w:tcPr>
            <w:tcW w:w="33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Managing Director, Chief Accounting Officer and Corporate Controller (Duly</w:t>
            </w:r>
          </w:p>
        </w:tc>
      </w:tr>
      <w:tr>
        <w:trPr>
          <w:trHeight w:val="158"/>
        </w:trPr>
        <w:tc>
          <w:tcPr>
            <w:tcW w:w="33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Authorized Officer and Chief Accounting Officer)</w:t>
            </w:r>
          </w:p>
        </w:tc>
      </w:tr>
      <w:tr>
        <w:trPr>
          <w:trHeight w:val="869"/>
        </w:trPr>
        <w:tc>
          <w:tcPr>
            <w:tcW w:w="3300" w:type="dxa"/>
            <w:vAlign w:val="bottom"/>
          </w:tcPr>
          <w:p>
            <w:pPr>
              <w:spacing w:after="0"/>
              <w:rPr>
                <w:sz w:val="24"/>
                <w:szCs w:val="24"/>
                <w:color w:val="auto"/>
              </w:rPr>
            </w:pPr>
          </w:p>
        </w:tc>
        <w:tc>
          <w:tcPr>
            <w:tcW w:w="354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rPr>
              <w:t>30</w:t>
            </w:r>
          </w:p>
        </w:tc>
        <w:tc>
          <w:tcPr>
            <w:tcW w:w="4640" w:type="dxa"/>
            <w:vAlign w:val="bottom"/>
          </w:tcPr>
          <w:p>
            <w:pPr>
              <w:spacing w:after="0"/>
              <w:rPr>
                <w:sz w:val="24"/>
                <w:szCs w:val="24"/>
                <w:color w:val="auto"/>
              </w:rPr>
            </w:pPr>
          </w:p>
        </w:tc>
      </w:tr>
    </w:tbl>
    <w:p>
      <w:pPr>
        <w:sectPr>
          <w:pgSz w:w="11900" w:h="16838" w:orient="portrait"/>
          <w:cols w:equalWidth="0" w:num="1">
            <w:col w:w="11480"/>
          </w:cols>
          <w:pgMar w:left="220" w:top="127" w:right="1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EMPLOYMENT AGREEMENT</w:t>
      </w:r>
    </w:p>
    <w:p>
      <w:pPr>
        <w:spacing w:after="0" w:line="312"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4"/>
          <w:szCs w:val="14"/>
          <w:color w:val="auto"/>
        </w:rPr>
        <w:t>This Employment Agreement ("Agreement") is made effective as of October 29, 2019 (the “Effective Date”) between CMRG APPAREL, LLC, (the “Company”), a “Related Entity” as defined in the 2016 Incentive Compensation Plan (as amended), of Destination XL Group, Inc., a Delaware corporation with an office at 555 Turnpike Street, Canton, Massachusetts 02021 (“DXLG” which term includes any affiliates and subsidiaries), and Erica Welling Moran (the “Executive”) having an address at 288 Railroad Avenue, Norwood, Massachusetts 02062.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WITNESSETH:</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Company desires that Executive work for the Company and Executive desires to be so employed by the Company as its Chief Marketing Officer.</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Executive and the Company desire to set forth in writing the terms and conditions of the Executive's employment with the Company from the date hereof.</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NOW, THEREFORE, in consideration of the promises and the mutual promises, representations and covenants herein contained, the parties hereto agree as follows:</w:t>
      </w:r>
    </w:p>
    <w:p>
      <w:pPr>
        <w:spacing w:after="0" w:line="165" w:lineRule="exact"/>
        <w:rPr>
          <w:sz w:val="20"/>
          <w:szCs w:val="20"/>
          <w:color w:val="auto"/>
        </w:rPr>
      </w:pPr>
    </w:p>
    <w:p>
      <w:pPr>
        <w:ind w:left="860" w:hanging="433"/>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 hereby employs Executive and Executive hereby accepts such employment, subject to the terms and conditions herein set forth.</w:t>
      </w:r>
    </w:p>
    <w:p>
      <w:pPr>
        <w:spacing w:after="0" w:line="165" w:lineRule="exact"/>
        <w:rPr>
          <w:sz w:val="20"/>
          <w:szCs w:val="20"/>
          <w:color w:val="auto"/>
        </w:rPr>
      </w:pPr>
    </w:p>
    <w:p>
      <w:pPr>
        <w:ind w:left="860" w:hanging="433"/>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term of employment under this Agreement (the “Term of Employment”) shall begin on the Effective Date and shall continue until terminated by either party as hereinafter set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forth.</w:t>
      </w:r>
    </w:p>
    <w:p>
      <w:pPr>
        <w:spacing w:after="0" w:line="149" w:lineRule="exact"/>
        <w:rPr>
          <w:sz w:val="20"/>
          <w:szCs w:val="20"/>
          <w:color w:val="auto"/>
        </w:rPr>
      </w:pPr>
    </w:p>
    <w:p>
      <w:pPr>
        <w:ind w:left="860" w:hanging="433"/>
        <w:spacing w:after="0"/>
        <w:tabs>
          <w:tab w:leader="none" w:pos="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w:t>
      </w:r>
    </w:p>
    <w:p>
      <w:pPr>
        <w:spacing w:after="0" w:line="165" w:lineRule="exact"/>
        <w:rPr>
          <w:rFonts w:ascii="Times New Roman" w:cs="Times New Roman" w:eastAsia="Times New Roman" w:hAnsi="Times New Roman"/>
          <w:sz w:val="14"/>
          <w:szCs w:val="14"/>
          <w:color w:val="auto"/>
        </w:rPr>
      </w:pPr>
    </w:p>
    <w:p>
      <w:pPr>
        <w:ind w:left="1740" w:right="140" w:hanging="425"/>
        <w:spacing w:after="0" w:line="256" w:lineRule="auto"/>
        <w:tabs>
          <w:tab w:leader="none" w:pos="1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Thirty Thousand Dollars and 00/100 Cents ($430,000.00)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28" w:lineRule="exact"/>
        <w:rPr>
          <w:rFonts w:ascii="Times New Roman" w:cs="Times New Roman" w:eastAsia="Times New Roman" w:hAnsi="Times New Roman"/>
          <w:sz w:val="14"/>
          <w:szCs w:val="14"/>
          <w:color w:val="auto"/>
        </w:rPr>
      </w:pPr>
    </w:p>
    <w:p>
      <w:pPr>
        <w:ind w:left="1740" w:right="220" w:hanging="425"/>
        <w:spacing w:after="0" w:line="263" w:lineRule="auto"/>
        <w:tabs>
          <w:tab w:leader="none" w:pos="1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19685</wp:posOffset>
            </wp:positionV>
            <wp:extent cx="732853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0" w:right="199" w:bottom="1440" w:gutter="0" w:footer="0" w:header="0"/>
        </w:sectPr>
      </w:pPr>
    </w:p>
    <w:bookmarkStart w:id="31" w:name="page32"/>
    <w:bookmarkEnd w:id="31"/>
    <w:p>
      <w:pPr>
        <w:ind w:left="1320" w:right="60"/>
        <w:spacing w:after="0" w:line="256" w:lineRule="auto"/>
        <w:rPr>
          <w:sz w:val="20"/>
          <w:szCs w:val="20"/>
          <w:color w:val="auto"/>
        </w:rPr>
      </w:pPr>
      <w:r>
        <w:rPr>
          <w:rFonts w:ascii="Times New Roman" w:cs="Times New Roman" w:eastAsia="Times New Roman" w:hAnsi="Times New Roman"/>
          <w:sz w:val="14"/>
          <w:szCs w:val="14"/>
          <w:color w:val="auto"/>
        </w:rPr>
        <w:t>program and Executive’s target bonus under such plan (if all individual and Company performance conditions are met) shall be 50%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28" w:lineRule="exact"/>
        <w:rPr>
          <w:sz w:val="20"/>
          <w:szCs w:val="20"/>
          <w:color w:val="auto"/>
        </w:rPr>
      </w:pPr>
    </w:p>
    <w:p>
      <w:pPr>
        <w:ind w:left="1320" w:right="120" w:hanging="425"/>
        <w:spacing w:after="0" w:line="253" w:lineRule="auto"/>
        <w:tabs>
          <w:tab w:leader="none" w:pos="13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29" w:lineRule="exact"/>
        <w:rPr>
          <w:rFonts w:ascii="Times New Roman" w:cs="Times New Roman" w:eastAsia="Times New Roman" w:hAnsi="Times New Roman"/>
          <w:sz w:val="14"/>
          <w:szCs w:val="14"/>
          <w:color w:val="auto"/>
        </w:rPr>
      </w:pPr>
    </w:p>
    <w:p>
      <w:pPr>
        <w:ind w:left="1320" w:hanging="425"/>
        <w:spacing w:after="0" w:line="256" w:lineRule="auto"/>
        <w:tabs>
          <w:tab w:leader="none" w:pos="13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for the promises in paragraph 10 below, the Company shall pay Executive a signing award consisting of cash and restricted stock units of the Common Stock of Destination XL Group, Inc. (“RSUs”) (collectively, “Signing Award”). The cash amount of the Signing Award shall be $50,000, payable as of the Effective Date. In addition, Executive will receive the value of $200,000 of RSUs upon the Effective Date. The RSUs shall vest on October 29, 2020. Details will be provided in a formal Restricted Stock Unit Award Agreement. The Signing Award is subject to clawback as set forth in paragraph 7(j).</w:t>
      </w:r>
    </w:p>
    <w:p>
      <w:pPr>
        <w:spacing w:after="0" w:line="128"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p>
    <w:p>
      <w:pPr>
        <w:spacing w:after="0" w:line="165" w:lineRule="exact"/>
        <w:rPr>
          <w:rFonts w:ascii="Times New Roman" w:cs="Times New Roman" w:eastAsia="Times New Roman" w:hAnsi="Times New Roman"/>
          <w:sz w:val="14"/>
          <w:szCs w:val="14"/>
          <w:color w:val="auto"/>
        </w:rPr>
      </w:pPr>
    </w:p>
    <w:p>
      <w:pPr>
        <w:ind w:left="460" w:right="12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28"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BENEFITS</w:t>
      </w:r>
    </w:p>
    <w:p>
      <w:pPr>
        <w:spacing w:after="0" w:line="18" w:lineRule="exact"/>
        <w:rPr>
          <w:rFonts w:ascii="Times New Roman" w:cs="Times New Roman" w:eastAsia="Times New Roman" w:hAnsi="Times New Roman"/>
          <w:sz w:val="14"/>
          <w:szCs w:val="14"/>
          <w:color w:val="auto"/>
        </w:rPr>
      </w:pPr>
    </w:p>
    <w:p>
      <w:pPr>
        <w:ind w:left="1320" w:right="380" w:hanging="425"/>
        <w:spacing w:after="0" w:line="252" w:lineRule="auto"/>
        <w:tabs>
          <w:tab w:leader="none" w:pos="13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137795</wp:posOffset>
            </wp:positionV>
            <wp:extent cx="732853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040"/>
          </w:cols>
          <w:pgMar w:left="640" w:top="121" w:right="219" w:bottom="1440" w:gutter="0" w:footer="0" w:header="0"/>
        </w:sectPr>
      </w:pPr>
    </w:p>
    <w:bookmarkStart w:id="32" w:name="page33"/>
    <w:bookmarkEnd w:id="32"/>
    <w:p>
      <w:pPr>
        <w:ind w:left="1320"/>
        <w:spacing w:after="0"/>
        <w:rPr>
          <w:sz w:val="20"/>
          <w:szCs w:val="20"/>
          <w:color w:val="auto"/>
        </w:rPr>
      </w:pPr>
      <w:r>
        <w:rPr>
          <w:rFonts w:ascii="Times New Roman" w:cs="Times New Roman" w:eastAsia="Times New Roman" w:hAnsi="Times New Roman"/>
          <w:sz w:val="14"/>
          <w:szCs w:val="14"/>
          <w:color w:val="auto"/>
        </w:rPr>
        <w:t>as determined from time to time by the Compensation Committee of the Board of Directors in its discretion.</w:t>
      </w:r>
    </w:p>
    <w:p>
      <w:pPr>
        <w:spacing w:after="0" w:line="18" w:lineRule="exact"/>
        <w:rPr>
          <w:sz w:val="20"/>
          <w:szCs w:val="20"/>
          <w:color w:val="auto"/>
        </w:rPr>
      </w:pPr>
    </w:p>
    <w:p>
      <w:pPr>
        <w:ind w:left="1320" w:right="100" w:hanging="425"/>
        <w:spacing w:after="0" w:line="243" w:lineRule="auto"/>
        <w:tabs>
          <w:tab w:leader="none" w:pos="13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ind w:left="1320" w:hanging="425"/>
        <w:spacing w:after="0"/>
        <w:tabs>
          <w:tab w:leader="none" w:pos="13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will be eligible to participate in the Company’s annual performance appraisal process.</w:t>
      </w:r>
    </w:p>
    <w:p>
      <w:pPr>
        <w:spacing w:after="0" w:line="149"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DUTIES</w:t>
      </w:r>
    </w:p>
    <w:p>
      <w:pPr>
        <w:spacing w:after="0" w:line="165" w:lineRule="exact"/>
        <w:rPr>
          <w:rFonts w:ascii="Times New Roman" w:cs="Times New Roman" w:eastAsia="Times New Roman" w:hAnsi="Times New Roman"/>
          <w:sz w:val="14"/>
          <w:szCs w:val="14"/>
          <w:color w:val="auto"/>
        </w:rPr>
      </w:pPr>
    </w:p>
    <w:p>
      <w:pPr>
        <w:ind w:left="1320" w:right="240" w:hanging="425"/>
        <w:spacing w:after="0" w:line="284" w:lineRule="auto"/>
        <w:tabs>
          <w:tab w:leader="none" w:pos="13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shall perform such duties and functions consistent with the position of Chief Marketing Officer and/or as the Company shall from time to time determine and Executive shall comply in the performance of her duties with the policies of, and be subject to the direction of the Company.</w:t>
      </w:r>
    </w:p>
    <w:p>
      <w:pPr>
        <w:spacing w:after="0" w:line="108" w:lineRule="exact"/>
        <w:rPr>
          <w:rFonts w:ascii="Times New Roman" w:cs="Times New Roman" w:eastAsia="Times New Roman" w:hAnsi="Times New Roman"/>
          <w:sz w:val="14"/>
          <w:szCs w:val="14"/>
          <w:color w:val="auto"/>
        </w:rPr>
      </w:pPr>
    </w:p>
    <w:p>
      <w:pPr>
        <w:ind w:left="1320" w:right="20" w:hanging="425"/>
        <w:spacing w:after="0" w:line="256" w:lineRule="auto"/>
        <w:tabs>
          <w:tab w:leader="none" w:pos="13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her duties hereunder and do not violate paragraph 10 hereof.</w:t>
      </w:r>
    </w:p>
    <w:p>
      <w:pPr>
        <w:spacing w:after="0" w:line="128" w:lineRule="exact"/>
        <w:rPr>
          <w:rFonts w:ascii="Times New Roman" w:cs="Times New Roman" w:eastAsia="Times New Roman" w:hAnsi="Times New Roman"/>
          <w:sz w:val="14"/>
          <w:szCs w:val="14"/>
          <w:color w:val="auto"/>
        </w:rPr>
      </w:pPr>
    </w:p>
    <w:p>
      <w:pPr>
        <w:ind w:left="1320" w:hanging="425"/>
        <w:spacing w:after="0" w:line="263" w:lineRule="auto"/>
        <w:tabs>
          <w:tab w:leader="none" w:pos="13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122"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EFFECT OF TERMINATION</w:t>
      </w:r>
    </w:p>
    <w:p>
      <w:pPr>
        <w:spacing w:after="0" w:line="18" w:lineRule="exact"/>
        <w:rPr>
          <w:rFonts w:ascii="Times New Roman" w:cs="Times New Roman" w:eastAsia="Times New Roman" w:hAnsi="Times New Roman"/>
          <w:sz w:val="14"/>
          <w:szCs w:val="14"/>
          <w:color w:val="auto"/>
        </w:rPr>
      </w:pPr>
    </w:p>
    <w:p>
      <w:pPr>
        <w:ind w:left="1320" w:hanging="425"/>
        <w:spacing w:after="0"/>
        <w:tabs>
          <w:tab w:leader="none" w:pos="13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of Employment may be terminated by the Company at any time:</w:t>
      </w:r>
    </w:p>
    <w:p>
      <w:pPr>
        <w:spacing w:after="0" w:line="149" w:lineRule="exact"/>
        <w:rPr>
          <w:rFonts w:ascii="Times New Roman" w:cs="Times New Roman" w:eastAsia="Times New Roman" w:hAnsi="Times New Roman"/>
          <w:sz w:val="14"/>
          <w:szCs w:val="14"/>
          <w:color w:val="auto"/>
        </w:rPr>
      </w:pPr>
    </w:p>
    <w:p>
      <w:pPr>
        <w:ind w:left="2220" w:right="180" w:hanging="221"/>
        <w:spacing w:after="0" w:line="250" w:lineRule="auto"/>
        <w:tabs>
          <w:tab w:leader="none" w:pos="222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 w:lineRule="exact"/>
        <w:rPr>
          <w:rFonts w:ascii="Times New Roman" w:cs="Times New Roman" w:eastAsia="Times New Roman" w:hAnsi="Times New Roman"/>
          <w:sz w:val="14"/>
          <w:szCs w:val="14"/>
          <w:color w:val="auto"/>
        </w:rPr>
      </w:pPr>
    </w:p>
    <w:p>
      <w:pPr>
        <w:ind w:left="2220" w:hanging="221"/>
        <w:spacing w:after="0"/>
        <w:tabs>
          <w:tab w:leader="none" w:pos="2220" w:val="left"/>
        </w:tabs>
        <w:numPr>
          <w:ilvl w:val="2"/>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determination of the Company that there is justifiable cause (as hereinafter defined) for such termination.</w:t>
      </w:r>
    </w:p>
    <w:p>
      <w:pPr>
        <w:spacing w:after="0" w:line="2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137795</wp:posOffset>
            </wp:positionV>
            <wp:extent cx="732853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060"/>
          </w:cols>
          <w:pgMar w:left="640" w:top="122" w:right="199" w:bottom="1440" w:gutter="0" w:footer="0" w:header="0"/>
        </w:sectPr>
      </w:pPr>
    </w:p>
    <w:bookmarkStart w:id="33" w:name="page34"/>
    <w:bookmarkEnd w:id="33"/>
    <w:p>
      <w:pPr>
        <w:ind w:left="520" w:hanging="425"/>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of Employment shall terminate upon:</w:t>
      </w:r>
    </w:p>
    <w:p>
      <w:pPr>
        <w:spacing w:after="0" w:line="17" w:lineRule="exact"/>
        <w:rPr>
          <w:rFonts w:ascii="Times New Roman" w:cs="Times New Roman" w:eastAsia="Times New Roman" w:hAnsi="Times New Roman"/>
          <w:sz w:val="14"/>
          <w:szCs w:val="14"/>
          <w:color w:val="auto"/>
        </w:rPr>
      </w:pPr>
    </w:p>
    <w:p>
      <w:pPr>
        <w:ind w:left="1420" w:hanging="221"/>
        <w:spacing w:after="0"/>
        <w:tabs>
          <w:tab w:leader="none" w:pos="14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death of Executive;</w:t>
      </w:r>
    </w:p>
    <w:p>
      <w:pPr>
        <w:spacing w:after="0" w:line="2" w:lineRule="exact"/>
        <w:rPr>
          <w:rFonts w:ascii="Times New Roman" w:cs="Times New Roman" w:eastAsia="Times New Roman" w:hAnsi="Times New Roman"/>
          <w:sz w:val="14"/>
          <w:szCs w:val="14"/>
          <w:color w:val="auto"/>
        </w:rPr>
      </w:pPr>
    </w:p>
    <w:p>
      <w:pPr>
        <w:ind w:left="1420" w:right="460" w:hanging="221"/>
        <w:spacing w:after="0" w:line="261" w:lineRule="auto"/>
        <w:tabs>
          <w:tab w:leader="none" w:pos="14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Company elects to terminate the Term of Employment by reason of the "disability" of Executive (as hereinafter defined in subsection (c) herein) pursuant to subsection (g) hereof; or</w:t>
      </w:r>
    </w:p>
    <w:p>
      <w:pPr>
        <w:spacing w:after="0" w:line="122" w:lineRule="exact"/>
        <w:rPr>
          <w:rFonts w:ascii="Times New Roman" w:cs="Times New Roman" w:eastAsia="Times New Roman" w:hAnsi="Times New Roman"/>
          <w:sz w:val="14"/>
          <w:szCs w:val="14"/>
          <w:color w:val="auto"/>
        </w:rPr>
      </w:pPr>
    </w:p>
    <w:p>
      <w:pPr>
        <w:ind w:left="1420" w:hanging="221"/>
        <w:spacing w:after="0"/>
        <w:tabs>
          <w:tab w:leader="none" w:pos="14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Executive’s resignation of employment.</w:t>
      </w:r>
    </w:p>
    <w:p>
      <w:pPr>
        <w:spacing w:after="0" w:line="165" w:lineRule="exact"/>
        <w:rPr>
          <w:rFonts w:ascii="Times New Roman" w:cs="Times New Roman" w:eastAsia="Times New Roman" w:hAnsi="Times New Roman"/>
          <w:sz w:val="14"/>
          <w:szCs w:val="14"/>
          <w:color w:val="auto"/>
        </w:rPr>
      </w:pPr>
    </w:p>
    <w:p>
      <w:pPr>
        <w:ind w:left="520" w:right="120" w:hanging="425"/>
        <w:spacing w:after="0" w:line="271"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r>
        <w:rPr>
          <w:rFonts w:ascii="Times New Roman" w:cs="Times New Roman" w:eastAsia="Times New Roman" w:hAnsi="Times New Roman"/>
          <w:sz w:val="12"/>
          <w:szCs w:val="12"/>
          <w:color w:val="auto"/>
        </w:rPr>
        <w:t>.</w:t>
      </w:r>
    </w:p>
    <w:p>
      <w:pPr>
        <w:spacing w:after="0" w:line="288" w:lineRule="exact"/>
        <w:rPr>
          <w:rFonts w:ascii="Times New Roman" w:cs="Times New Roman" w:eastAsia="Times New Roman" w:hAnsi="Times New Roman"/>
          <w:sz w:val="14"/>
          <w:szCs w:val="14"/>
          <w:color w:val="auto"/>
        </w:rPr>
      </w:pPr>
    </w:p>
    <w:p>
      <w:pPr>
        <w:ind w:left="520" w:right="20" w:hanging="425"/>
        <w:spacing w:after="0" w:line="24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301" w:lineRule="exact"/>
        <w:rPr>
          <w:rFonts w:ascii="Times New Roman" w:cs="Times New Roman" w:eastAsia="Times New Roman" w:hAnsi="Times New Roman"/>
          <w:sz w:val="14"/>
          <w:szCs w:val="14"/>
          <w:color w:val="auto"/>
        </w:rPr>
      </w:pPr>
    </w:p>
    <w:p>
      <w:pPr>
        <w:jc w:val="both"/>
        <w:ind w:left="520" w:hanging="425"/>
        <w:spacing w:after="0" w:line="251"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terminates this Agreement without "justifiable cause" as provided in subsection 7(a)(i), the Company shall pay Executive her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w:t>
      </w:r>
    </w:p>
    <w:p>
      <w:pPr>
        <w:spacing w:after="0" w:line="1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137795</wp:posOffset>
            </wp:positionV>
            <wp:extent cx="732853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0260"/>
          </w:cols>
          <w:pgMar w:left="1440" w:top="121" w:right="199" w:bottom="1440" w:gutter="0" w:footer="0" w:header="0"/>
        </w:sectPr>
      </w:pPr>
    </w:p>
    <w:bookmarkStart w:id="34" w:name="page35"/>
    <w:bookmarkEnd w:id="34"/>
    <w:p>
      <w:pPr>
        <w:jc w:val="both"/>
        <w:ind w:left="520"/>
        <w:spacing w:after="0" w:line="263" w:lineRule="auto"/>
        <w:rPr>
          <w:sz w:val="20"/>
          <w:szCs w:val="20"/>
          <w:color w:val="auto"/>
        </w:rPr>
      </w:pPr>
      <w:r>
        <w:rPr>
          <w:rFonts w:ascii="Times New Roman" w:cs="Times New Roman" w:eastAsia="Times New Roman" w:hAnsi="Times New Roman"/>
          <w:sz w:val="14"/>
          <w:szCs w:val="14"/>
          <w:color w:val="auto"/>
        </w:rPr>
        <w:t>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122" w:lineRule="exact"/>
        <w:rPr>
          <w:sz w:val="20"/>
          <w:szCs w:val="20"/>
          <w:color w:val="auto"/>
        </w:rPr>
      </w:pPr>
    </w:p>
    <w:p>
      <w:pPr>
        <w:jc w:val="both"/>
        <w:ind w:left="520" w:hanging="425"/>
        <w:spacing w:after="0" w:line="271"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288" w:lineRule="exact"/>
        <w:rPr>
          <w:rFonts w:ascii="Times New Roman" w:cs="Times New Roman" w:eastAsia="Times New Roman" w:hAnsi="Times New Roman"/>
          <w:sz w:val="14"/>
          <w:szCs w:val="14"/>
          <w:color w:val="auto"/>
        </w:rPr>
      </w:pPr>
    </w:p>
    <w:p>
      <w:pPr>
        <w:jc w:val="both"/>
        <w:ind w:left="520" w:hanging="425"/>
        <w:spacing w:after="0" w:line="263"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122" w:lineRule="exact"/>
        <w:rPr>
          <w:rFonts w:ascii="Times New Roman" w:cs="Times New Roman" w:eastAsia="Times New Roman" w:hAnsi="Times New Roman"/>
          <w:sz w:val="14"/>
          <w:szCs w:val="14"/>
          <w:color w:val="auto"/>
        </w:rPr>
      </w:pPr>
    </w:p>
    <w:p>
      <w:pPr>
        <w:jc w:val="both"/>
        <w:ind w:left="520" w:hanging="425"/>
        <w:spacing w:after="0" w:line="256"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 In addition, the Signing Award is subject to clawback pursuant to paragraph 7(j) if Executive voluntarily resigns (without Good Reason) prior to January 30, 2022.</w:t>
      </w:r>
    </w:p>
    <w:p>
      <w:pPr>
        <w:spacing w:after="0" w:line="128" w:lineRule="exact"/>
        <w:rPr>
          <w:rFonts w:ascii="Times New Roman" w:cs="Times New Roman" w:eastAsia="Times New Roman" w:hAnsi="Times New Roman"/>
          <w:sz w:val="14"/>
          <w:szCs w:val="14"/>
          <w:color w:val="auto"/>
        </w:rPr>
      </w:pPr>
    </w:p>
    <w:p>
      <w:pPr>
        <w:jc w:val="both"/>
        <w:ind w:left="520" w:hanging="425"/>
        <w:spacing w:after="0" w:line="248"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Good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Reason” </w:t>
      </w:r>
      <w:r>
        <w:rPr>
          <w:rFonts w:ascii="Times New Roman" w:cs="Times New Roman" w:eastAsia="Times New Roman" w:hAnsi="Times New Roman"/>
          <w:sz w:val="14"/>
          <w:szCs w:val="14"/>
          <w:color w:val="auto"/>
        </w:rPr>
        <w:t>means the occurrence of any of the following: (i) a material diminution in the Executive’s base compensation; (ii) a material diminution in the Executive’s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w:t>
      </w:r>
    </w:p>
    <w:p>
      <w:pPr>
        <w:spacing w:after="0" w:line="1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137795</wp:posOffset>
            </wp:positionV>
            <wp:extent cx="732853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0260"/>
          </w:cols>
          <w:pgMar w:left="1440" w:top="122" w:right="199" w:bottom="1440" w:gutter="0" w:footer="0" w:header="0"/>
        </w:sectPr>
      </w:pPr>
    </w:p>
    <w:bookmarkStart w:id="35" w:name="page36"/>
    <w:bookmarkEnd w:id="35"/>
    <w:p>
      <w:pPr>
        <w:jc w:val="both"/>
        <w:ind w:left="520"/>
        <w:spacing w:after="0" w:line="251" w:lineRule="auto"/>
        <w:rPr>
          <w:sz w:val="20"/>
          <w:szCs w:val="20"/>
          <w:color w:val="auto"/>
        </w:rPr>
      </w:pPr>
      <w:r>
        <w:rPr>
          <w:rFonts w:ascii="Times New Roman" w:cs="Times New Roman" w:eastAsia="Times New Roman" w:hAnsi="Times New Roman"/>
          <w:sz w:val="14"/>
          <w:szCs w:val="14"/>
          <w:color w:val="auto"/>
        </w:rPr>
        <w:t>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31" w:lineRule="exact"/>
        <w:rPr>
          <w:sz w:val="20"/>
          <w:szCs w:val="20"/>
          <w:color w:val="auto"/>
        </w:rPr>
      </w:pPr>
    </w:p>
    <w:p>
      <w:pPr>
        <w:ind w:left="520" w:hanging="42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Clawback of Certain Compensation and Benefits</w:t>
      </w:r>
    </w:p>
    <w:p>
      <w:pPr>
        <w:spacing w:after="0" w:line="165" w:lineRule="exact"/>
        <w:rPr>
          <w:rFonts w:ascii="Times New Roman" w:cs="Times New Roman" w:eastAsia="Times New Roman" w:hAnsi="Times New Roman"/>
          <w:sz w:val="14"/>
          <w:szCs w:val="14"/>
          <w:color w:val="auto"/>
        </w:rPr>
      </w:pPr>
    </w:p>
    <w:p>
      <w:pPr>
        <w:jc w:val="both"/>
        <w:ind w:left="760" w:hanging="222"/>
        <w:spacing w:after="0" w:line="263" w:lineRule="auto"/>
        <w:tabs>
          <w:tab w:leader="none" w:pos="7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Term of Employment is terminated by Executive (other than for Good Reason) prior to January 30, 2022, Executive shall reimburse the Company the dollar amount of the Signing Award, including any Gains (as defined below) on the RSUs which were granted, within thirty (30) days following Executive’s termination of employment.</w:t>
      </w:r>
    </w:p>
    <w:p>
      <w:pPr>
        <w:spacing w:after="0" w:line="122" w:lineRule="exact"/>
        <w:rPr>
          <w:rFonts w:ascii="Times New Roman" w:cs="Times New Roman" w:eastAsia="Times New Roman" w:hAnsi="Times New Roman"/>
          <w:sz w:val="14"/>
          <w:szCs w:val="14"/>
          <w:color w:val="auto"/>
        </w:rPr>
      </w:pPr>
    </w:p>
    <w:p>
      <w:pPr>
        <w:ind w:left="760" w:hanging="222"/>
        <w:spacing w:after="0"/>
        <w:tabs>
          <w:tab w:leader="none" w:pos="7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the termination of the Term of Employment for any reason other than by the Company for “justifiable cause”:</w:t>
      </w:r>
    </w:p>
    <w:p>
      <w:pPr>
        <w:spacing w:after="0" w:line="165" w:lineRule="exact"/>
        <w:rPr>
          <w:sz w:val="20"/>
          <w:szCs w:val="20"/>
          <w:color w:val="auto"/>
        </w:rPr>
      </w:pPr>
    </w:p>
    <w:p>
      <w:pPr>
        <w:jc w:val="both"/>
        <w:ind w:left="540" w:firstLine="747"/>
        <w:spacing w:after="0" w:line="259" w:lineRule="auto"/>
        <w:rPr>
          <w:sz w:val="20"/>
          <w:szCs w:val="20"/>
          <w:color w:val="auto"/>
        </w:rPr>
      </w:pPr>
      <w:r>
        <w:rPr>
          <w:rFonts w:ascii="Times New Roman" w:cs="Times New Roman" w:eastAsia="Times New Roman" w:hAnsi="Times New Roman"/>
          <w:sz w:val="14"/>
          <w:szCs w:val="14"/>
          <w:color w:val="auto"/>
        </w:rPr>
        <w:t>A.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276" w:lineRule="exact"/>
        <w:rPr>
          <w:sz w:val="20"/>
          <w:szCs w:val="20"/>
          <w:color w:val="auto"/>
        </w:rPr>
      </w:pPr>
    </w:p>
    <w:p>
      <w:pPr>
        <w:jc w:val="both"/>
        <w:ind w:left="540" w:firstLine="746"/>
        <w:spacing w:after="0" w:line="263" w:lineRule="auto"/>
        <w:tabs>
          <w:tab w:leader="none" w:pos="185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5" w:lineRule="exact"/>
        <w:rPr>
          <w:sz w:val="20"/>
          <w:szCs w:val="20"/>
          <w:color w:val="auto"/>
        </w:rPr>
      </w:pPr>
    </w:p>
    <w:p>
      <w:pPr>
        <w:jc w:val="both"/>
        <w:ind w:left="540" w:firstLine="1494"/>
        <w:spacing w:after="0" w:line="254" w:lineRule="auto"/>
        <w:rPr>
          <w:sz w:val="20"/>
          <w:szCs w:val="20"/>
          <w:color w:val="auto"/>
        </w:rPr>
      </w:pPr>
      <w:r>
        <w:rPr>
          <w:rFonts w:ascii="Times New Roman" w:cs="Times New Roman" w:eastAsia="Times New Roman" w:hAnsi="Times New Roman"/>
          <w:sz w:val="14"/>
          <w:szCs w:val="14"/>
          <w:color w:val="auto"/>
        </w:rPr>
        <w:t>1)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w:t>
      </w:r>
    </w:p>
    <w:p>
      <w:pPr>
        <w:spacing w:after="0" w:line="28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137795</wp:posOffset>
            </wp:positionV>
            <wp:extent cx="732853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0260"/>
          </w:cols>
          <w:pgMar w:left="1440" w:top="121" w:right="199" w:bottom="1440" w:gutter="0" w:footer="0" w:header="0"/>
        </w:sectPr>
      </w:pPr>
    </w:p>
    <w:bookmarkStart w:id="36" w:name="page37"/>
    <w:bookmarkEnd w:id="36"/>
    <w:p>
      <w:pPr>
        <w:ind w:left="1340"/>
        <w:spacing w:after="0"/>
        <w:rPr>
          <w:sz w:val="20"/>
          <w:szCs w:val="20"/>
          <w:color w:val="auto"/>
        </w:rPr>
      </w:pPr>
      <w:r>
        <w:rPr>
          <w:rFonts w:ascii="Times New Roman" w:cs="Times New Roman" w:eastAsia="Times New Roman" w:hAnsi="Times New Roman"/>
          <w:sz w:val="14"/>
          <w:szCs w:val="14"/>
          <w:color w:val="auto"/>
        </w:rPr>
        <w:t>employment with the Company had been terminated by the Company for justifiable cause in accordance with paragraph 7(d) above);</w:t>
      </w:r>
    </w:p>
    <w:p>
      <w:pPr>
        <w:spacing w:after="0" w:line="147" w:lineRule="exact"/>
        <w:rPr>
          <w:sz w:val="20"/>
          <w:szCs w:val="20"/>
          <w:color w:val="auto"/>
        </w:rPr>
      </w:pPr>
    </w:p>
    <w:tbl>
      <w:tblPr>
        <w:tblLayout w:type="fixed"/>
        <w:tblInd w:w="1340" w:type="dxa"/>
        <w:tblCellMar>
          <w:top w:w="0" w:type="dxa"/>
          <w:left w:w="0" w:type="dxa"/>
          <w:bottom w:w="0" w:type="dxa"/>
          <w:right w:w="0" w:type="dxa"/>
        </w:tblCellMar>
      </w:tblPr>
      <w:tr>
        <w:trPr>
          <w:trHeight w:val="163"/>
        </w:trPr>
        <w:tc>
          <w:tcPr>
            <w:tcW w:w="3540" w:type="dxa"/>
            <w:vAlign w:val="bottom"/>
          </w:tcPr>
          <w:p>
            <w:pPr>
              <w:jc w:val="right"/>
              <w:ind w:right="1848"/>
              <w:spacing w:after="0"/>
              <w:rPr>
                <w:sz w:val="20"/>
                <w:szCs w:val="20"/>
                <w:color w:val="auto"/>
              </w:rPr>
            </w:pPr>
            <w:r>
              <w:rPr>
                <w:rFonts w:ascii="Times New Roman" w:cs="Times New Roman" w:eastAsia="Times New Roman" w:hAnsi="Times New Roman"/>
                <w:sz w:val="14"/>
                <w:szCs w:val="14"/>
                <w:color w:val="auto"/>
              </w:rPr>
              <w:t>2)</w:t>
            </w:r>
          </w:p>
        </w:tc>
        <w:tc>
          <w:tcPr>
            <w:tcW w:w="6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all vested and unvested Awards (as that term is defined in the 2016 Incentive Compensation Plan)</w:t>
            </w:r>
          </w:p>
        </w:tc>
      </w:tr>
      <w:tr>
        <w:trPr>
          <w:trHeight w:val="189"/>
        </w:trPr>
        <w:tc>
          <w:tcPr>
            <w:tcW w:w="3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then held by the Executive shall immediately expire; and</w:t>
            </w:r>
          </w:p>
        </w:tc>
        <w:tc>
          <w:tcPr>
            <w:tcW w:w="6180" w:type="dxa"/>
            <w:vAlign w:val="bottom"/>
          </w:tcPr>
          <w:p>
            <w:pPr>
              <w:spacing w:after="0"/>
              <w:rPr>
                <w:sz w:val="16"/>
                <w:szCs w:val="16"/>
                <w:color w:val="auto"/>
              </w:rPr>
            </w:pPr>
          </w:p>
        </w:tc>
      </w:tr>
      <w:tr>
        <w:trPr>
          <w:trHeight w:val="298"/>
        </w:trPr>
        <w:tc>
          <w:tcPr>
            <w:tcW w:w="3540" w:type="dxa"/>
            <w:vAlign w:val="bottom"/>
          </w:tcPr>
          <w:p>
            <w:pPr>
              <w:jc w:val="right"/>
              <w:ind w:right="1848"/>
              <w:spacing w:after="0"/>
              <w:rPr>
                <w:sz w:val="20"/>
                <w:szCs w:val="20"/>
                <w:color w:val="auto"/>
              </w:rPr>
            </w:pPr>
            <w:r>
              <w:rPr>
                <w:rFonts w:ascii="Times New Roman" w:cs="Times New Roman" w:eastAsia="Times New Roman" w:hAnsi="Times New Roman"/>
                <w:sz w:val="14"/>
                <w:szCs w:val="14"/>
                <w:color w:val="auto"/>
              </w:rPr>
              <w:t>3)</w:t>
            </w:r>
          </w:p>
        </w:tc>
        <w:tc>
          <w:tcPr>
            <w:tcW w:w="6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Executive shall be required to pay to the Company, immediately upon written demand by the</w:t>
            </w:r>
          </w:p>
        </w:tc>
      </w:tr>
    </w:tbl>
    <w:p>
      <w:pPr>
        <w:jc w:val="both"/>
        <w:ind w:left="1340"/>
        <w:spacing w:after="0" w:line="246" w:lineRule="auto"/>
        <w:rPr>
          <w:sz w:val="20"/>
          <w:szCs w:val="20"/>
          <w:color w:val="auto"/>
        </w:rPr>
      </w:pPr>
      <w:r>
        <w:rPr>
          <w:rFonts w:ascii="Times New Roman" w:cs="Times New Roman" w:eastAsia="Times New Roman" w:hAnsi="Times New Roman"/>
          <w:sz w:val="14"/>
          <w:szCs w:val="14"/>
          <w:color w:val="auto"/>
        </w:rPr>
        <w:t>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5" w:lineRule="exact"/>
        <w:rPr>
          <w:sz w:val="20"/>
          <w:szCs w:val="20"/>
          <w:color w:val="auto"/>
        </w:rPr>
      </w:pPr>
    </w:p>
    <w:p>
      <w:pPr>
        <w:ind w:left="1120" w:right="20" w:hanging="2"/>
        <w:spacing w:after="0" w:line="284" w:lineRule="auto"/>
        <w:tabs>
          <w:tab w:leader="none" w:pos="1675"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pursuant to paragraph 7(e) or 7(j) shall be contingent upon Executive’s execution of the General Release within 21 days after termination of the Term of Employment (or such longer period as may be authorized by the Company or otherwise required by applicable law), and the Executive’s not revoking that release.</w:t>
      </w:r>
    </w:p>
    <w:p>
      <w:pPr>
        <w:spacing w:after="0" w:line="108"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SECTION 409A</w:t>
      </w:r>
    </w:p>
    <w:p>
      <w:pPr>
        <w:spacing w:after="0" w:line="146" w:lineRule="exact"/>
        <w:rPr>
          <w:rFonts w:ascii="Times New Roman" w:cs="Times New Roman" w:eastAsia="Times New Roman" w:hAnsi="Times New Roman"/>
          <w:sz w:val="14"/>
          <w:szCs w:val="14"/>
          <w:color w:val="auto"/>
        </w:rPr>
      </w:pPr>
    </w:p>
    <w:p>
      <w:pPr>
        <w:jc w:val="both"/>
        <w:ind w:left="1320" w:hanging="425"/>
        <w:spacing w:after="0" w:line="251" w:lineRule="auto"/>
        <w:tabs>
          <w:tab w:leader="none" w:pos="13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281" w:lineRule="exact"/>
        <w:rPr>
          <w:rFonts w:ascii="Times New Roman" w:cs="Times New Roman" w:eastAsia="Times New Roman" w:hAnsi="Times New Roman"/>
          <w:sz w:val="14"/>
          <w:szCs w:val="14"/>
          <w:color w:val="auto"/>
        </w:rPr>
      </w:pPr>
    </w:p>
    <w:p>
      <w:pPr>
        <w:ind w:left="1320" w:hanging="425"/>
        <w:spacing w:after="0" w:line="284" w:lineRule="auto"/>
        <w:tabs>
          <w:tab w:leader="none" w:pos="13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on Account of Separation from Service. If and to the extent required to comply with Section 409A, no payment or benefit required to be paid under this Agreement on account of termination of the Executive’s employment shall be made</w:t>
      </w: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137795</wp:posOffset>
            </wp:positionV>
            <wp:extent cx="732853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060"/>
          </w:cols>
          <w:pgMar w:left="640" w:top="121" w:right="19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4"/>
          <w:szCs w:val="14"/>
          <w:color w:val="auto"/>
        </w:rPr>
        <w:t>unless and until the Executive incurs a “separation from service” within the meaning of Section 409A.</w:t>
      </w:r>
    </w:p>
    <w:p>
      <w:pPr>
        <w:spacing w:after="0" w:line="147" w:lineRule="exact"/>
        <w:rPr>
          <w:sz w:val="20"/>
          <w:szCs w:val="20"/>
          <w:color w:val="auto"/>
        </w:rPr>
      </w:pPr>
    </w:p>
    <w:p>
      <w:pPr>
        <w:ind w:left="520" w:hanging="425"/>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Month Delay for “Specified Employees”.</w:t>
      </w:r>
    </w:p>
    <w:p>
      <w:pPr>
        <w:spacing w:after="0" w:line="146" w:lineRule="exact"/>
        <w:rPr>
          <w:rFonts w:ascii="Times New Roman" w:cs="Times New Roman" w:eastAsia="Times New Roman" w:hAnsi="Times New Roman"/>
          <w:sz w:val="14"/>
          <w:szCs w:val="14"/>
          <w:color w:val="auto"/>
        </w:rPr>
      </w:pPr>
    </w:p>
    <w:p>
      <w:pPr>
        <w:jc w:val="both"/>
        <w:ind w:left="1420" w:hanging="221"/>
        <w:spacing w:after="0" w:line="249" w:lineRule="auto"/>
        <w:tabs>
          <w:tab w:leader="none" w:pos="14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cash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2" w:lineRule="exact"/>
        <w:rPr>
          <w:rFonts w:ascii="Times New Roman" w:cs="Times New Roman" w:eastAsia="Times New Roman" w:hAnsi="Times New Roman"/>
          <w:sz w:val="14"/>
          <w:szCs w:val="14"/>
          <w:color w:val="auto"/>
        </w:rPr>
      </w:pPr>
    </w:p>
    <w:p>
      <w:pPr>
        <w:jc w:val="both"/>
        <w:ind w:left="1420" w:hanging="221"/>
        <w:spacing w:after="0" w:line="259" w:lineRule="auto"/>
        <w:tabs>
          <w:tab w:leader="none" w:pos="14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275" w:lineRule="exact"/>
        <w:rPr>
          <w:rFonts w:ascii="Times New Roman" w:cs="Times New Roman" w:eastAsia="Times New Roman" w:hAnsi="Times New Roman"/>
          <w:sz w:val="14"/>
          <w:szCs w:val="14"/>
          <w:color w:val="auto"/>
        </w:rPr>
      </w:pPr>
    </w:p>
    <w:p>
      <w:pPr>
        <w:jc w:val="both"/>
        <w:ind w:left="520" w:right="20" w:hanging="425"/>
        <w:spacing w:after="0" w:line="263"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04" w:lineRule="exact"/>
        <w:rPr>
          <w:rFonts w:ascii="Times New Roman" w:cs="Times New Roman" w:eastAsia="Times New Roman" w:hAnsi="Times New Roman"/>
          <w:sz w:val="14"/>
          <w:szCs w:val="14"/>
          <w:color w:val="auto"/>
        </w:rPr>
      </w:pPr>
    </w:p>
    <w:p>
      <w:pPr>
        <w:jc w:val="both"/>
        <w:ind w:left="520" w:right="20" w:hanging="425"/>
        <w:spacing w:after="0" w:line="263"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4" w:lineRule="exact"/>
        <w:rPr>
          <w:rFonts w:ascii="Times New Roman" w:cs="Times New Roman" w:eastAsia="Times New Roman" w:hAnsi="Times New Roman"/>
          <w:sz w:val="14"/>
          <w:szCs w:val="14"/>
          <w:color w:val="auto"/>
        </w:rPr>
      </w:pPr>
    </w:p>
    <w:p>
      <w:pPr>
        <w:ind w:left="520" w:hanging="425"/>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Taxable Reimbursements.</w:t>
      </w:r>
    </w:p>
    <w:p>
      <w:pPr>
        <w:spacing w:after="0" w:line="146" w:lineRule="exact"/>
        <w:rPr>
          <w:rFonts w:ascii="Times New Roman" w:cs="Times New Roman" w:eastAsia="Times New Roman" w:hAnsi="Times New Roman"/>
          <w:sz w:val="14"/>
          <w:szCs w:val="14"/>
          <w:color w:val="auto"/>
        </w:rPr>
      </w:pPr>
    </w:p>
    <w:p>
      <w:pPr>
        <w:ind w:left="1420" w:hanging="221"/>
        <w:spacing w:after="0"/>
        <w:tabs>
          <w:tab w:leader="none" w:pos="14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reimbursements by the Company to the Executive of any eligible expenses under this Agreement that are not excludable from the Executive’s</w:t>
      </w:r>
    </w:p>
    <w:p>
      <w:pPr>
        <w:spacing w:after="0" w:line="29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137795</wp:posOffset>
            </wp:positionV>
            <wp:extent cx="732853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0260"/>
          </w:cols>
          <w:pgMar w:left="1440" w:top="121" w:right="199" w:bottom="1440" w:gutter="0" w:footer="0" w:header="0"/>
        </w:sectPr>
      </w:pPr>
    </w:p>
    <w:bookmarkStart w:id="38" w:name="page39"/>
    <w:bookmarkEnd w:id="38"/>
    <w:p>
      <w:pPr>
        <w:ind w:left="2640" w:right="20"/>
        <w:spacing w:after="0" w:line="284" w:lineRule="auto"/>
        <w:rPr>
          <w:sz w:val="20"/>
          <w:szCs w:val="20"/>
          <w:color w:val="auto"/>
        </w:rPr>
      </w:pPr>
      <w:r>
        <w:rPr>
          <w:rFonts w:ascii="Times New Roman" w:cs="Times New Roman" w:eastAsia="Times New Roman" w:hAnsi="Times New Roman"/>
          <w:sz w:val="14"/>
          <w:szCs w:val="14"/>
          <w:color w:val="auto"/>
        </w:rPr>
        <w:t>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90" w:lineRule="exact"/>
        <w:rPr>
          <w:sz w:val="20"/>
          <w:szCs w:val="20"/>
          <w:color w:val="auto"/>
        </w:rPr>
      </w:pPr>
    </w:p>
    <w:p>
      <w:pPr>
        <w:ind w:left="2640" w:right="20" w:hanging="221"/>
        <w:spacing w:after="0" w:line="284" w:lineRule="auto"/>
        <w:tabs>
          <w:tab w:leader="none" w:pos="2640"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89" w:lineRule="exact"/>
        <w:rPr>
          <w:rFonts w:ascii="Times New Roman" w:cs="Times New Roman" w:eastAsia="Times New Roman" w:hAnsi="Times New Roman"/>
          <w:sz w:val="14"/>
          <w:szCs w:val="14"/>
          <w:color w:val="auto"/>
        </w:rPr>
      </w:pPr>
    </w:p>
    <w:p>
      <w:pPr>
        <w:ind w:left="2640" w:hanging="221"/>
        <w:spacing w:after="0"/>
        <w:tabs>
          <w:tab w:leader="none" w:pos="2640"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Taxable Reimbursements shall not be subject to liquidation or exchange for another benefit.</w:t>
      </w:r>
    </w:p>
    <w:p>
      <w:pPr>
        <w:spacing w:after="0" w:line="146" w:lineRule="exact"/>
        <w:rPr>
          <w:rFonts w:ascii="Times New Roman" w:cs="Times New Roman" w:eastAsia="Times New Roman" w:hAnsi="Times New Roman"/>
          <w:sz w:val="14"/>
          <w:szCs w:val="14"/>
          <w:color w:val="auto"/>
        </w:rPr>
      </w:pPr>
    </w:p>
    <w:p>
      <w:pPr>
        <w:ind w:left="860" w:hanging="433"/>
        <w:spacing w:after="0"/>
        <w:tabs>
          <w:tab w:leader="none" w:pos="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 AND AGREEMENTS OF EXECUTIVE</w:t>
      </w:r>
    </w:p>
    <w:p>
      <w:pPr>
        <w:spacing w:after="0" w:line="146" w:lineRule="exact"/>
        <w:rPr>
          <w:rFonts w:ascii="Times New Roman" w:cs="Times New Roman" w:eastAsia="Times New Roman" w:hAnsi="Times New Roman"/>
          <w:sz w:val="14"/>
          <w:szCs w:val="14"/>
          <w:color w:val="auto"/>
        </w:rPr>
      </w:pPr>
    </w:p>
    <w:p>
      <w:pPr>
        <w:ind w:left="1740" w:right="20" w:hanging="425"/>
        <w:spacing w:after="0" w:line="284" w:lineRule="auto"/>
        <w:tabs>
          <w:tab w:leader="none" w:pos="17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89" w:lineRule="exact"/>
        <w:rPr>
          <w:rFonts w:ascii="Times New Roman" w:cs="Times New Roman" w:eastAsia="Times New Roman" w:hAnsi="Times New Roman"/>
          <w:sz w:val="14"/>
          <w:szCs w:val="14"/>
          <w:color w:val="auto"/>
        </w:rPr>
      </w:pPr>
    </w:p>
    <w:p>
      <w:pPr>
        <w:jc w:val="both"/>
        <w:ind w:left="1740" w:hanging="425"/>
        <w:spacing w:after="0" w:line="263" w:lineRule="auto"/>
        <w:tabs>
          <w:tab w:leader="none" w:pos="17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04" w:lineRule="exact"/>
        <w:rPr>
          <w:rFonts w:ascii="Times New Roman" w:cs="Times New Roman" w:eastAsia="Times New Roman" w:hAnsi="Times New Roman"/>
          <w:sz w:val="14"/>
          <w:szCs w:val="14"/>
          <w:color w:val="auto"/>
        </w:rPr>
      </w:pPr>
    </w:p>
    <w:p>
      <w:pPr>
        <w:ind w:left="1740" w:right="20" w:hanging="425"/>
        <w:spacing w:after="0" w:line="284" w:lineRule="auto"/>
        <w:tabs>
          <w:tab w:leader="none" w:pos="17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89" w:lineRule="exact"/>
        <w:rPr>
          <w:rFonts w:ascii="Times New Roman" w:cs="Times New Roman" w:eastAsia="Times New Roman" w:hAnsi="Times New Roman"/>
          <w:sz w:val="14"/>
          <w:szCs w:val="14"/>
          <w:color w:val="auto"/>
        </w:rPr>
      </w:pPr>
    </w:p>
    <w:p>
      <w:pPr>
        <w:jc w:val="both"/>
        <w:ind w:left="1740" w:hanging="425"/>
        <w:spacing w:after="0" w:line="271" w:lineRule="auto"/>
        <w:tabs>
          <w:tab w:leader="none" w:pos="17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represents and warrants that she has never been a party to any judicial or administrative proceeding that resulted in a judgment, decree, or final order (i) enjoining her from future violations of, or prohibiting any violations of any federal or state securities law, or (ii) finding any violations of any federal or state securities law.</w:t>
      </w:r>
    </w:p>
    <w:p>
      <w:pPr>
        <w:spacing w:after="0" w:line="270" w:lineRule="exact"/>
        <w:rPr>
          <w:rFonts w:ascii="Times New Roman" w:cs="Times New Roman" w:eastAsia="Times New Roman" w:hAnsi="Times New Roman"/>
          <w:sz w:val="14"/>
          <w:szCs w:val="14"/>
          <w:color w:val="auto"/>
        </w:rPr>
      </w:pPr>
    </w:p>
    <w:p>
      <w:pPr>
        <w:ind w:left="1740" w:hanging="425"/>
        <w:spacing w:after="0"/>
        <w:tabs>
          <w:tab w:leader="none" w:pos="17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represents and warrants that she has never been accused of any impropriety in connection with any employment;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breach of any of the above representations and warranties is "justifiable cause" for termination under paragraph 7(d) of this Agreement.</w:t>
      </w:r>
    </w:p>
    <w:p>
      <w:pPr>
        <w:spacing w:after="0" w:line="165" w:lineRule="exact"/>
        <w:rPr>
          <w:sz w:val="20"/>
          <w:szCs w:val="20"/>
          <w:color w:val="auto"/>
        </w:rPr>
      </w:pPr>
    </w:p>
    <w:p>
      <w:pPr>
        <w:ind w:left="860" w:hanging="433"/>
        <w:spacing w:after="0"/>
        <w:tabs>
          <w:tab w:leader="none" w:pos="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NON-COMPETITION</w:t>
      </w:r>
    </w:p>
    <w:p>
      <w:pPr>
        <w:spacing w:after="0" w:line="165" w:lineRule="exact"/>
        <w:rPr>
          <w:rFonts w:ascii="Times New Roman" w:cs="Times New Roman" w:eastAsia="Times New Roman" w:hAnsi="Times New Roman"/>
          <w:sz w:val="14"/>
          <w:szCs w:val="14"/>
          <w:color w:val="auto"/>
        </w:rPr>
      </w:pPr>
    </w:p>
    <w:p>
      <w:pPr>
        <w:ind w:left="1740" w:right="80" w:hanging="425"/>
        <w:spacing w:after="0" w:line="284" w:lineRule="auto"/>
        <w:tabs>
          <w:tab w:leader="none" w:pos="17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for the Signing Award referenced in paragraph 3(d) above and the potential to receive additional compensation pursuant to paragraph 7(a)(i) and 7(e) above, Executive further covenants and agrees that during the Term 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39" w:name="page40"/>
    <w:bookmarkEnd w:id="39"/>
    <w:p>
      <w:pPr>
        <w:ind w:left="520"/>
        <w:spacing w:after="0" w:line="247" w:lineRule="auto"/>
        <w:rPr>
          <w:sz w:val="20"/>
          <w:szCs w:val="20"/>
          <w:color w:val="auto"/>
        </w:rPr>
      </w:pPr>
      <w:r>
        <w:rPr>
          <w:rFonts w:ascii="Times New Roman" w:cs="Times New Roman" w:eastAsia="Times New Roman" w:hAnsi="Times New Roman"/>
          <w:sz w:val="14"/>
          <w:szCs w:val="14"/>
          <w:color w:val="auto"/>
        </w:rPr>
        <w:t>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33" w:lineRule="exact"/>
        <w:rPr>
          <w:sz w:val="20"/>
          <w:szCs w:val="20"/>
          <w:color w:val="auto"/>
        </w:rPr>
      </w:pPr>
    </w:p>
    <w:p>
      <w:pPr>
        <w:ind w:left="520" w:right="100" w:hanging="425"/>
        <w:spacing w:after="0" w:line="256"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28" w:lineRule="exact"/>
        <w:rPr>
          <w:rFonts w:ascii="Times New Roman" w:cs="Times New Roman" w:eastAsia="Times New Roman" w:hAnsi="Times New Roman"/>
          <w:sz w:val="14"/>
          <w:szCs w:val="14"/>
          <w:color w:val="auto"/>
        </w:rPr>
      </w:pPr>
    </w:p>
    <w:p>
      <w:pPr>
        <w:ind w:left="520" w:right="20" w:hanging="425"/>
        <w:spacing w:after="0" w:line="253"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29" w:lineRule="exact"/>
        <w:rPr>
          <w:rFonts w:ascii="Times New Roman" w:cs="Times New Roman" w:eastAsia="Times New Roman" w:hAnsi="Times New Roman"/>
          <w:sz w:val="14"/>
          <w:szCs w:val="14"/>
          <w:color w:val="auto"/>
        </w:rPr>
      </w:pPr>
    </w:p>
    <w:p>
      <w:pPr>
        <w:ind w:left="520" w:right="540" w:hanging="425"/>
        <w:spacing w:after="0" w:line="284"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w:t>
      </w:r>
    </w:p>
    <w:p>
      <w:pPr>
        <w:spacing w:after="0" w:line="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137795</wp:posOffset>
            </wp:positionV>
            <wp:extent cx="732853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0200"/>
          </w:cols>
          <w:pgMar w:left="1440" w:top="122" w:right="259" w:bottom="1440" w:gutter="0" w:footer="0" w:header="0"/>
        </w:sectPr>
      </w:pPr>
    </w:p>
    <w:bookmarkStart w:id="40" w:name="page41"/>
    <w:bookmarkEnd w:id="40"/>
    <w:p>
      <w:pPr>
        <w:ind w:left="1320" w:right="460"/>
        <w:spacing w:after="0" w:line="284" w:lineRule="auto"/>
        <w:rPr>
          <w:sz w:val="20"/>
          <w:szCs w:val="20"/>
          <w:color w:val="auto"/>
        </w:rPr>
      </w:pPr>
      <w:r>
        <w:rPr>
          <w:rFonts w:ascii="Times New Roman" w:cs="Times New Roman" w:eastAsia="Times New Roman" w:hAnsi="Times New Roman"/>
          <w:sz w:val="14"/>
          <w:szCs w:val="14"/>
          <w:color w:val="auto"/>
        </w:rPr>
        <w:t>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08" w:lineRule="exact"/>
        <w:rPr>
          <w:sz w:val="20"/>
          <w:szCs w:val="20"/>
          <w:color w:val="auto"/>
        </w:rPr>
      </w:pPr>
    </w:p>
    <w:p>
      <w:pPr>
        <w:ind w:left="440" w:hanging="433"/>
        <w:spacing w:after="0"/>
        <w:tabs>
          <w:tab w:leader="none" w:pos="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INVENTIONS AND DISCOVERIES</w:t>
      </w:r>
    </w:p>
    <w:p>
      <w:pPr>
        <w:spacing w:after="0" w:line="165" w:lineRule="exact"/>
        <w:rPr>
          <w:rFonts w:ascii="Times New Roman" w:cs="Times New Roman" w:eastAsia="Times New Roman" w:hAnsi="Times New Roman"/>
          <w:sz w:val="14"/>
          <w:szCs w:val="14"/>
          <w:color w:val="auto"/>
        </w:rPr>
      </w:pPr>
    </w:p>
    <w:p>
      <w:pPr>
        <w:ind w:left="1320" w:hanging="425"/>
        <w:spacing w:after="0" w:line="251" w:lineRule="auto"/>
        <w:tabs>
          <w:tab w:leader="none" w:pos="13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130" w:lineRule="exact"/>
        <w:rPr>
          <w:rFonts w:ascii="Times New Roman" w:cs="Times New Roman" w:eastAsia="Times New Roman" w:hAnsi="Times New Roman"/>
          <w:sz w:val="14"/>
          <w:szCs w:val="14"/>
          <w:color w:val="auto"/>
        </w:rPr>
      </w:pPr>
    </w:p>
    <w:p>
      <w:pPr>
        <w:ind w:left="1320" w:right="40" w:hanging="425"/>
        <w:spacing w:after="0" w:line="250" w:lineRule="auto"/>
        <w:tabs>
          <w:tab w:leader="none" w:pos="13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30" w:lineRule="exact"/>
        <w:rPr>
          <w:rFonts w:ascii="Times New Roman" w:cs="Times New Roman" w:eastAsia="Times New Roman" w:hAnsi="Times New Roman"/>
          <w:sz w:val="14"/>
          <w:szCs w:val="14"/>
          <w:color w:val="auto"/>
        </w:rPr>
      </w:pPr>
    </w:p>
    <w:p>
      <w:pPr>
        <w:ind w:left="440" w:hanging="433"/>
        <w:spacing w:after="0"/>
        <w:tabs>
          <w:tab w:leader="none" w:pos="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NON-DISCLOSURE OF CONFIDENTIAL INFORMATION</w:t>
      </w:r>
    </w:p>
    <w:p>
      <w:pPr>
        <w:spacing w:after="0" w:line="165" w:lineRule="exact"/>
        <w:rPr>
          <w:rFonts w:ascii="Times New Roman" w:cs="Times New Roman" w:eastAsia="Times New Roman" w:hAnsi="Times New Roman"/>
          <w:sz w:val="14"/>
          <w:szCs w:val="14"/>
          <w:color w:val="auto"/>
        </w:rPr>
      </w:pPr>
    </w:p>
    <w:p>
      <w:pPr>
        <w:ind w:left="1320" w:hanging="425"/>
        <w:spacing w:after="0" w:line="253" w:lineRule="auto"/>
        <w:tabs>
          <w:tab w:leader="none" w:pos="13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137795</wp:posOffset>
            </wp:positionV>
            <wp:extent cx="732853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060"/>
          </w:cols>
          <w:pgMar w:left="640" w:top="122" w:right="199" w:bottom="1440" w:gutter="0" w:footer="0" w:header="0"/>
        </w:sectPr>
      </w:pPr>
    </w:p>
    <w:bookmarkStart w:id="41" w:name="page42"/>
    <w:bookmarkEnd w:id="41"/>
    <w:p>
      <w:pPr>
        <w:ind w:left="1740" w:right="20"/>
        <w:spacing w:after="0" w:line="247" w:lineRule="auto"/>
        <w:rPr>
          <w:sz w:val="20"/>
          <w:szCs w:val="20"/>
          <w:color w:val="auto"/>
        </w:rPr>
      </w:pPr>
      <w:r>
        <w:rPr>
          <w:rFonts w:ascii="Times New Roman" w:cs="Times New Roman" w:eastAsia="Times New Roman" w:hAnsi="Times New Roman"/>
          <w:sz w:val="14"/>
          <w:szCs w:val="14"/>
          <w:color w:val="auto"/>
        </w:rPr>
        <w:t>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302" w:lineRule="exact"/>
        <w:rPr>
          <w:sz w:val="20"/>
          <w:szCs w:val="20"/>
          <w:color w:val="auto"/>
        </w:rPr>
      </w:pPr>
    </w:p>
    <w:p>
      <w:pPr>
        <w:ind w:left="1740" w:right="260" w:hanging="425"/>
        <w:spacing w:after="0" w:line="256" w:lineRule="auto"/>
        <w:tabs>
          <w:tab w:leader="none" w:pos="17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28" w:lineRule="exact"/>
        <w:rPr>
          <w:rFonts w:ascii="Times New Roman" w:cs="Times New Roman" w:eastAsia="Times New Roman" w:hAnsi="Times New Roman"/>
          <w:sz w:val="14"/>
          <w:szCs w:val="14"/>
          <w:color w:val="auto"/>
        </w:rPr>
      </w:pPr>
    </w:p>
    <w:p>
      <w:pPr>
        <w:ind w:left="860" w:hanging="433"/>
        <w:spacing w:after="0"/>
        <w:tabs>
          <w:tab w:leader="none" w:pos="8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PERFORMANCE</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20"/>
          </w:cols>
          <w:pgMar w:left="220" w:top="122" w:right="259" w:bottom="1440" w:gutter="0" w:footer="0" w:header="0"/>
        </w:sectPr>
      </w:pPr>
    </w:p>
    <w:bookmarkStart w:id="42" w:name="page43"/>
    <w:bookmarkEnd w:id="42"/>
    <w:p>
      <w:pPr>
        <w:ind w:left="860" w:hanging="433"/>
        <w:spacing w:after="0"/>
        <w:tabs>
          <w:tab w:leader="none" w:pos="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OR ALTERATION</w:t>
      </w:r>
    </w:p>
    <w:p>
      <w:pPr>
        <w:spacing w:after="0" w:line="164"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amendment or alteration of the terms of this Agreement shall be valid unless made in writing and signed by both of the parties hereto.</w:t>
      </w:r>
    </w:p>
    <w:p>
      <w:pPr>
        <w:spacing w:after="0" w:line="165" w:lineRule="exact"/>
        <w:rPr>
          <w:rFonts w:ascii="Times New Roman" w:cs="Times New Roman" w:eastAsia="Times New Roman" w:hAnsi="Times New Roman"/>
          <w:sz w:val="14"/>
          <w:szCs w:val="14"/>
          <w:color w:val="auto"/>
        </w:rPr>
      </w:pPr>
    </w:p>
    <w:p>
      <w:pPr>
        <w:ind w:left="860" w:hanging="433"/>
        <w:spacing w:after="0"/>
        <w:tabs>
          <w:tab w:leader="none" w:pos="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p>
    <w:p>
      <w:pPr>
        <w:spacing w:after="0" w:line="165" w:lineRule="exact"/>
        <w:rPr>
          <w:sz w:val="20"/>
          <w:szCs w:val="20"/>
          <w:color w:val="auto"/>
        </w:rPr>
      </w:pPr>
    </w:p>
    <w:p>
      <w:pPr>
        <w:ind w:right="40" w:firstLine="883"/>
        <w:spacing w:after="0" w:line="284" w:lineRule="auto"/>
        <w:rPr>
          <w:sz w:val="20"/>
          <w:szCs w:val="20"/>
          <w:color w:val="auto"/>
        </w:rPr>
      </w:pPr>
      <w:r>
        <w:rPr>
          <w:rFonts w:ascii="Times New Roman" w:cs="Times New Roman" w:eastAsia="Times New Roman" w:hAnsi="Times New Roman"/>
          <w:sz w:val="14"/>
          <w:szCs w:val="14"/>
          <w:color w:val="auto"/>
        </w:rPr>
        <w:t>This Agreement shall be governed by, and construed and enforced in accordance with the substantive laws of the Commonwealth of Massachusetts, without regard to its principles of conflicts of laws.</w:t>
      </w:r>
    </w:p>
    <w:p>
      <w:pPr>
        <w:spacing w:after="0" w:line="108" w:lineRule="exact"/>
        <w:rPr>
          <w:sz w:val="20"/>
          <w:szCs w:val="20"/>
          <w:color w:val="auto"/>
        </w:rPr>
      </w:pPr>
    </w:p>
    <w:p>
      <w:pPr>
        <w:ind w:left="860" w:hanging="433"/>
        <w:spacing w:after="0"/>
        <w:tabs>
          <w:tab w:leader="none" w:pos="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p>
    <w:p>
      <w:pPr>
        <w:spacing w:after="0" w:line="165" w:lineRule="exact"/>
        <w:rPr>
          <w:sz w:val="20"/>
          <w:szCs w:val="20"/>
          <w:color w:val="auto"/>
        </w:rPr>
      </w:pPr>
    </w:p>
    <w:p>
      <w:pPr>
        <w:ind w:right="60" w:firstLine="883"/>
        <w:spacing w:after="0" w:line="284" w:lineRule="auto"/>
        <w:rPr>
          <w:sz w:val="20"/>
          <w:szCs w:val="20"/>
          <w:color w:val="auto"/>
        </w:rPr>
      </w:pPr>
      <w:r>
        <w:rPr>
          <w:rFonts w:ascii="Times New Roman" w:cs="Times New Roman" w:eastAsia="Times New Roman" w:hAnsi="Times New Roman"/>
          <w:sz w:val="14"/>
          <w:szCs w:val="14"/>
          <w:color w:val="auto"/>
        </w:rPr>
        <w:t>The holding of any provision of this Agreement to be invalid or unenforceable by a court of competent jurisdiction shall not affect any other provision of this Agreement, which shall remain in full force and effect.</w:t>
      </w:r>
    </w:p>
    <w:p>
      <w:pPr>
        <w:spacing w:after="0" w:line="108" w:lineRule="exact"/>
        <w:rPr>
          <w:sz w:val="20"/>
          <w:szCs w:val="20"/>
          <w:color w:val="auto"/>
        </w:rPr>
      </w:pPr>
    </w:p>
    <w:p>
      <w:pPr>
        <w:ind w:left="860" w:hanging="433"/>
        <w:spacing w:after="0"/>
        <w:tabs>
          <w:tab w:leader="none" w:pos="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Any notices required or permitted to be given hereunder shall be sufficient if in</w:t>
      </w:r>
    </w:p>
    <w:p>
      <w:pPr>
        <w:spacing w:after="0" w:line="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23" w:lineRule="exact"/>
        <w:rPr>
          <w:sz w:val="20"/>
          <w:szCs w:val="20"/>
          <w:color w:val="auto"/>
        </w:rPr>
      </w:pPr>
    </w:p>
    <w:p>
      <w:pPr>
        <w:ind w:left="860" w:hanging="433"/>
        <w:spacing w:after="0"/>
        <w:tabs>
          <w:tab w:leader="none" w:pos="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BREACH</w:t>
      </w:r>
    </w:p>
    <w:p>
      <w:pPr>
        <w:spacing w:after="0" w:line="165"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agreed that a waiver by either party of a breach of any provision of this Agreement shall not operate, or be construed as a waiver of any subsequent breach by that same party.</w:t>
      </w:r>
    </w:p>
    <w:p>
      <w:pPr>
        <w:spacing w:after="0" w:line="165" w:lineRule="exact"/>
        <w:rPr>
          <w:rFonts w:ascii="Times New Roman" w:cs="Times New Roman" w:eastAsia="Times New Roman" w:hAnsi="Times New Roman"/>
          <w:sz w:val="14"/>
          <w:szCs w:val="14"/>
          <w:color w:val="auto"/>
        </w:rPr>
      </w:pPr>
    </w:p>
    <w:p>
      <w:pPr>
        <w:ind w:left="860" w:hanging="433"/>
        <w:spacing w:after="0"/>
        <w:tabs>
          <w:tab w:leader="none" w:pos="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AND BINDING EFFECT</w:t>
      </w:r>
    </w:p>
    <w:p>
      <w:pPr>
        <w:spacing w:after="0" w:line="165" w:lineRule="exact"/>
        <w:rPr>
          <w:sz w:val="20"/>
          <w:szCs w:val="20"/>
          <w:color w:val="auto"/>
        </w:rPr>
      </w:pPr>
    </w:p>
    <w:p>
      <w:pPr>
        <w:ind w:right="20" w:firstLine="883"/>
        <w:spacing w:after="0" w:line="250" w:lineRule="auto"/>
        <w:rPr>
          <w:sz w:val="20"/>
          <w:szCs w:val="20"/>
          <w:color w:val="auto"/>
        </w:rPr>
      </w:pPr>
      <w:r>
        <w:rPr>
          <w:rFonts w:ascii="Times New Roman" w:cs="Times New Roman" w:eastAsia="Times New Roman" w:hAnsi="Times New Roman"/>
          <w:sz w:val="14"/>
          <w:szCs w:val="14"/>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98" w:lineRule="exact"/>
        <w:rPr>
          <w:sz w:val="20"/>
          <w:szCs w:val="20"/>
          <w:color w:val="auto"/>
        </w:rPr>
      </w:pPr>
    </w:p>
    <w:p>
      <w:pPr>
        <w:ind w:left="860" w:hanging="433"/>
        <w:spacing w:after="0"/>
        <w:tabs>
          <w:tab w:leader="none" w:pos="8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43" w:name="page44"/>
    <w:bookmarkEnd w:id="43"/>
    <w:p>
      <w:pPr>
        <w:ind w:right="520" w:firstLine="883"/>
        <w:spacing w:after="0" w:line="284" w:lineRule="auto"/>
        <w:rPr>
          <w:sz w:val="20"/>
          <w:szCs w:val="20"/>
          <w:color w:val="auto"/>
        </w:rPr>
      </w:pPr>
      <w:r>
        <w:rPr>
          <w:rFonts w:ascii="Times New Roman" w:cs="Times New Roman" w:eastAsia="Times New Roman" w:hAnsi="Times New Roman"/>
          <w:sz w:val="14"/>
          <w:szCs w:val="14"/>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08" w:lineRule="exact"/>
        <w:rPr>
          <w:sz w:val="20"/>
          <w:szCs w:val="20"/>
          <w:color w:val="auto"/>
        </w:rPr>
      </w:pPr>
    </w:p>
    <w:p>
      <w:pPr>
        <w:ind w:left="860" w:hanging="433"/>
        <w:spacing w:after="0"/>
        <w:tabs>
          <w:tab w:leader="none" w:pos="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RESOLUTION OF DISPUTES</w:t>
      </w:r>
    </w:p>
    <w:p>
      <w:pPr>
        <w:spacing w:after="0" w:line="165"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disputes arising under or in connection with this Agreement shall be resolved in accordance with this paragraph 21 and paragraph 15.</w:t>
      </w:r>
    </w:p>
    <w:p>
      <w:pPr>
        <w:spacing w:after="0" w:line="165" w:lineRule="exact"/>
        <w:rPr>
          <w:sz w:val="20"/>
          <w:szCs w:val="20"/>
          <w:color w:val="auto"/>
        </w:rPr>
      </w:pPr>
    </w:p>
    <w:p>
      <w:pPr>
        <w:ind w:firstLine="883"/>
        <w:spacing w:after="0" w:line="263" w:lineRule="auto"/>
        <w:rPr>
          <w:sz w:val="20"/>
          <w:szCs w:val="20"/>
          <w:color w:val="auto"/>
        </w:rPr>
      </w:pPr>
      <w:r>
        <w:rPr>
          <w:rFonts w:ascii="Times New Roman" w:cs="Times New Roman" w:eastAsia="Times New Roman" w:hAnsi="Times New Roman"/>
          <w:sz w:val="14"/>
          <w:szCs w:val="14"/>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23" w:lineRule="exact"/>
        <w:rPr>
          <w:sz w:val="20"/>
          <w:szCs w:val="20"/>
          <w:color w:val="auto"/>
        </w:rPr>
      </w:pPr>
    </w:p>
    <w:p>
      <w:pPr>
        <w:ind w:left="860" w:hanging="433"/>
        <w:spacing w:after="0"/>
        <w:tabs>
          <w:tab w:leader="none" w:pos="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NON-DISPARAGEMENT</w:t>
      </w:r>
    </w:p>
    <w:p>
      <w:pPr>
        <w:spacing w:after="0" w:line="165" w:lineRule="exact"/>
        <w:rPr>
          <w:sz w:val="20"/>
          <w:szCs w:val="20"/>
          <w:color w:val="auto"/>
        </w:rPr>
      </w:pPr>
    </w:p>
    <w:p>
      <w:pPr>
        <w:ind w:right="60" w:firstLine="883"/>
        <w:spacing w:after="0" w:line="263" w:lineRule="auto"/>
        <w:rPr>
          <w:sz w:val="20"/>
          <w:szCs w:val="20"/>
          <w:color w:val="auto"/>
        </w:rPr>
      </w:pPr>
      <w:r>
        <w:rPr>
          <w:rFonts w:ascii="Times New Roman" w:cs="Times New Roman" w:eastAsia="Times New Roman" w:hAnsi="Times New Roman"/>
          <w:sz w:val="14"/>
          <w:szCs w:val="14"/>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23" w:lineRule="exact"/>
        <w:rPr>
          <w:sz w:val="20"/>
          <w:szCs w:val="20"/>
          <w:color w:val="auto"/>
        </w:rPr>
      </w:pPr>
    </w:p>
    <w:p>
      <w:pPr>
        <w:ind w:left="860" w:hanging="433"/>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p>
    <w:p>
      <w:pPr>
        <w:spacing w:after="0" w:line="165" w:lineRule="exact"/>
        <w:rPr>
          <w:sz w:val="20"/>
          <w:szCs w:val="20"/>
          <w:color w:val="auto"/>
        </w:rPr>
      </w:pPr>
    </w:p>
    <w:p>
      <w:pPr>
        <w:ind w:firstLine="883"/>
        <w:spacing w:after="0" w:line="284" w:lineRule="auto"/>
        <w:rPr>
          <w:sz w:val="20"/>
          <w:szCs w:val="20"/>
          <w:color w:val="auto"/>
        </w:rPr>
      </w:pPr>
      <w:r>
        <w:rPr>
          <w:rFonts w:ascii="Times New Roman" w:cs="Times New Roman" w:eastAsia="Times New Roman" w:hAnsi="Times New Roman"/>
          <w:sz w:val="14"/>
          <w:szCs w:val="14"/>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08" w:lineRule="exact"/>
        <w:rPr>
          <w:sz w:val="20"/>
          <w:szCs w:val="20"/>
          <w:color w:val="auto"/>
        </w:rPr>
      </w:pPr>
    </w:p>
    <w:p>
      <w:pPr>
        <w:ind w:right="8440" w:firstLine="427"/>
        <w:spacing w:after="0" w:line="486" w:lineRule="auto"/>
        <w:tabs>
          <w:tab w:leader="none" w:pos="86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 xml:space="preserve">SUBSIDIARIES AND AFFILIATES </w:t>
      </w:r>
      <w:r>
        <w:rPr>
          <w:rFonts w:ascii="Times New Roman" w:cs="Times New Roman" w:eastAsia="Times New Roman" w:hAnsi="Times New Roman"/>
          <w:sz w:val="14"/>
          <w:szCs w:val="14"/>
          <w:color w:val="auto"/>
        </w:rPr>
        <w:t>For purposes of this Agreement:</w:t>
      </w:r>
    </w:p>
    <w:p>
      <w:pPr>
        <w:ind w:right="480" w:firstLine="1310"/>
        <w:spacing w:after="0" w:line="284" w:lineRule="auto"/>
        <w:tabs>
          <w:tab w:leader="none" w:pos="1551" w:val="left"/>
        </w:tabs>
        <w:numPr>
          <w:ilvl w:val="2"/>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08" w:lineRule="exact"/>
        <w:rPr>
          <w:rFonts w:ascii="Times New Roman" w:cs="Times New Roman" w:eastAsia="Times New Roman" w:hAnsi="Times New Roman"/>
          <w:sz w:val="14"/>
          <w:szCs w:val="14"/>
          <w:color w:val="auto"/>
        </w:rPr>
      </w:pPr>
    </w:p>
    <w:p>
      <w:pPr>
        <w:ind w:right="160" w:firstLine="875"/>
        <w:spacing w:after="0" w:line="263" w:lineRule="auto"/>
        <w:tabs>
          <w:tab w:leader="none" w:pos="1088"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284" w:right="219" w:bottom="1440" w:gutter="0" w:footer="0" w:header="0"/>
        </w:sectPr>
      </w:pPr>
    </w:p>
    <w:bookmarkStart w:id="44" w:name="page45"/>
    <w:bookmarkEnd w:id="44"/>
    <w:p>
      <w:pPr>
        <w:ind w:left="860" w:hanging="433"/>
        <w:spacing w:after="0"/>
        <w:tabs>
          <w:tab w:leader="none" w:pos="8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The paragraph headings appearing in this Agreement are for the purposes of easy reference and shall not be considered a part of this Agreement or in any way modify, amend or affect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its provisions.</w:t>
      </w:r>
    </w:p>
    <w:p>
      <w:pPr>
        <w:spacing w:after="0" w:line="149" w:lineRule="exact"/>
        <w:rPr>
          <w:sz w:val="20"/>
          <w:szCs w:val="20"/>
          <w:color w:val="auto"/>
        </w:rPr>
      </w:pPr>
    </w:p>
    <w:p>
      <w:pPr>
        <w:ind w:left="860" w:hanging="433"/>
        <w:spacing w:after="0"/>
        <w:tabs>
          <w:tab w:leader="none" w:pos="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p>
    <w:p>
      <w:pPr>
        <w:spacing w:after="0" w:line="165"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Agreement, under seal, as of the date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CMRG APPAREL, LLC</w:t>
            </w:r>
          </w:p>
        </w:tc>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91"/>
        </w:trPr>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By:   /s/ Harvey S. Kanter</w:t>
            </w:r>
          </w:p>
        </w:tc>
        <w:tc>
          <w:tcPr>
            <w:tcW w:w="7540" w:type="dxa"/>
            <w:vAlign w:val="bottom"/>
            <w:gridSpan w:val="3"/>
          </w:tcPr>
          <w:p>
            <w:pPr>
              <w:ind w:left="3660"/>
              <w:spacing w:after="0"/>
              <w:rPr>
                <w:sz w:val="20"/>
                <w:szCs w:val="20"/>
                <w:color w:val="auto"/>
              </w:rPr>
            </w:pPr>
            <w:r>
              <w:rPr>
                <w:rFonts w:ascii="Times New Roman" w:cs="Times New Roman" w:eastAsia="Times New Roman" w:hAnsi="Times New Roman"/>
                <w:sz w:val="14"/>
                <w:szCs w:val="14"/>
                <w:color w:val="auto"/>
              </w:rPr>
              <w:t>Date: October 24, 2019</w:t>
            </w:r>
          </w:p>
        </w:tc>
      </w:tr>
      <w:tr>
        <w:trPr>
          <w:trHeight w:val="20"/>
        </w:trPr>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52"/>
        </w:trPr>
        <w:tc>
          <w:tcPr>
            <w:tcW w:w="16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Name:Harvey S. Kanter</w:t>
            </w:r>
          </w:p>
        </w:tc>
        <w:tc>
          <w:tcPr>
            <w:tcW w:w="23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Its: President, Chief Executive Officer</w:t>
            </w:r>
          </w:p>
        </w:tc>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91"/>
        </w:trPr>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 Erica Welling Moran</w:t>
            </w:r>
          </w:p>
        </w:tc>
        <w:tc>
          <w:tcPr>
            <w:tcW w:w="7540" w:type="dxa"/>
            <w:vAlign w:val="bottom"/>
            <w:gridSpan w:val="3"/>
          </w:tcPr>
          <w:p>
            <w:pPr>
              <w:ind w:left="3660"/>
              <w:spacing w:after="0"/>
              <w:rPr>
                <w:sz w:val="20"/>
                <w:szCs w:val="20"/>
                <w:color w:val="auto"/>
              </w:rPr>
            </w:pPr>
            <w:r>
              <w:rPr>
                <w:rFonts w:ascii="Times New Roman" w:cs="Times New Roman" w:eastAsia="Times New Roman" w:hAnsi="Times New Roman"/>
                <w:sz w:val="14"/>
                <w:szCs w:val="14"/>
                <w:color w:val="auto"/>
              </w:rPr>
              <w:t>Date: October 24, 2019</w:t>
            </w:r>
          </w:p>
        </w:tc>
      </w:tr>
      <w:tr>
        <w:trPr>
          <w:trHeight w:val="178"/>
        </w:trPr>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Erica Welling Moran</w:t>
            </w:r>
          </w:p>
        </w:tc>
        <w:tc>
          <w:tcPr>
            <w:tcW w:w="2580" w:type="dxa"/>
            <w:vAlign w:val="bottom"/>
            <w:gridSpan w:val="2"/>
          </w:tcPr>
          <w:p>
            <w:pPr>
              <w:spacing w:after="0"/>
              <w:rPr>
                <w:sz w:val="15"/>
                <w:szCs w:val="15"/>
                <w:color w:val="auto"/>
              </w:rPr>
            </w:pPr>
          </w:p>
        </w:tc>
        <w:tc>
          <w:tcPr>
            <w:tcW w:w="40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771"/>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jc w:val="right"/>
              <w:ind w:right="2112"/>
              <w:spacing w:after="0"/>
              <w:rPr>
                <w:sz w:val="20"/>
                <w:szCs w:val="20"/>
                <w:color w:val="auto"/>
              </w:rPr>
            </w:pPr>
            <w:r>
              <w:rPr>
                <w:rFonts w:ascii="Times New Roman" w:cs="Times New Roman" w:eastAsia="Times New Roman" w:hAnsi="Times New Roman"/>
                <w:sz w:val="12"/>
                <w:szCs w:val="12"/>
                <w:color w:val="auto"/>
              </w:rPr>
              <w:t>15</w:t>
            </w:r>
          </w:p>
        </w:tc>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8"/>
        </w:trPr>
        <w:tc>
          <w:tcPr>
            <w:tcW w:w="4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0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4" w:right="17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RELEASE OF CLAIMS</w:t>
      </w:r>
    </w:p>
    <w:p>
      <w:pPr>
        <w:spacing w:after="0" w:line="1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i w:val="1"/>
          <w:iCs w:val="1"/>
          <w:color w:val="auto"/>
        </w:rPr>
        <w:t>GENERAL RELEASE OF CLAIMS</w:t>
      </w:r>
    </w:p>
    <w:p>
      <w:pPr>
        <w:spacing w:after="0" w:line="151" w:lineRule="exact"/>
        <w:rPr>
          <w:sz w:val="20"/>
          <w:szCs w:val="20"/>
          <w:color w:val="auto"/>
        </w:rPr>
      </w:pPr>
    </w:p>
    <w:p>
      <w:pPr>
        <w:ind w:firstLine="875"/>
        <w:spacing w:after="0" w:line="246" w:lineRule="auto"/>
        <w:tabs>
          <w:tab w:leader="none" w:pos="186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Erica Welling Moran, (“</w:t>
      </w:r>
      <w:r>
        <w:rPr>
          <w:rFonts w:ascii="Times New Roman" w:cs="Times New Roman" w:eastAsia="Times New Roman" w:hAnsi="Times New Roman"/>
          <w:sz w:val="14"/>
          <w:szCs w:val="14"/>
          <w:u w:val="single" w:color="auto"/>
          <w:color w:val="auto"/>
        </w:rPr>
        <w:t>Executive</w:t>
      </w:r>
      <w:r>
        <w:rPr>
          <w:rFonts w:ascii="Times New Roman" w:cs="Times New Roman" w:eastAsia="Times New Roman" w:hAnsi="Times New Roman"/>
          <w:sz w:val="14"/>
          <w:szCs w:val="14"/>
          <w:color w:val="auto"/>
        </w:rPr>
        <w:t>”), for herself and her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Exhibit A (the “</w:t>
      </w:r>
      <w:r>
        <w:rPr>
          <w:rFonts w:ascii="Times New Roman" w:cs="Times New Roman" w:eastAsia="Times New Roman" w:hAnsi="Times New Roman"/>
          <w:sz w:val="14"/>
          <w:szCs w:val="14"/>
          <w:u w:val="single" w:color="auto"/>
          <w:color w:val="auto"/>
        </w:rPr>
        <w:t>Employment Agreement</w:t>
      </w:r>
      <w:r>
        <w:rPr>
          <w:rFonts w:ascii="Times New Roman" w:cs="Times New Roman" w:eastAsia="Times New Roman" w:hAnsi="Times New Roman"/>
          <w:sz w:val="14"/>
          <w:szCs w:val="14"/>
          <w:color w:val="auto"/>
        </w:rPr>
        <w:t>”), does hereby release and forever discharge, to the maximum extent permitted by law, CMRG Apparel, LLC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14"/>
          <w:szCs w:val="14"/>
          <w:u w:val="single" w:color="auto"/>
          <w:color w:val="auto"/>
        </w:rPr>
        <w:t>Released Parties</w:t>
      </w:r>
      <w:r>
        <w:rPr>
          <w:rFonts w:ascii="Times New Roman" w:cs="Times New Roman" w:eastAsia="Times New Roman" w:hAnsi="Times New Roman"/>
          <w:sz w:val="14"/>
          <w:szCs w:val="14"/>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 xml:space="preserve">Executive acknowledges that Executive is specifically advised to consult with an attorney of Executive’s choosing before signing this General Release of Claims, and through this General Release of Claims advises Executive to consult with her attorney with respect to possible claims, including but not limited to claims under the </w:t>
      </w:r>
      <w:r>
        <w:rPr>
          <w:rFonts w:ascii="Times New Roman" w:cs="Times New Roman" w:eastAsia="Times New Roman" w:hAnsi="Times New Roman"/>
          <w:sz w:val="14"/>
          <w:szCs w:val="14"/>
          <w:u w:val="single" w:color="auto"/>
          <w:color w:val="auto"/>
        </w:rPr>
        <w:t>ADEA</w:t>
      </w:r>
      <w:r>
        <w:rPr>
          <w:rFonts w:ascii="Times New Roman" w:cs="Times New Roman" w:eastAsia="Times New Roman" w:hAnsi="Times New Roman"/>
          <w:sz w:val="14"/>
          <w:szCs w:val="14"/>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0"/>
          </w:cols>
          <w:pgMar w:left="220" w:top="120" w:right="239" w:bottom="1440" w:gutter="0" w:footer="0" w:header="0"/>
        </w:sectPr>
      </w:pPr>
    </w:p>
    <w:bookmarkStart w:id="46" w:name="page47"/>
    <w:bookmarkEnd w:id="46"/>
    <w:p>
      <w:pPr>
        <w:ind w:right="60"/>
        <w:spacing w:after="0" w:line="247" w:lineRule="auto"/>
        <w:rPr>
          <w:sz w:val="20"/>
          <w:szCs w:val="20"/>
          <w:color w:val="auto"/>
        </w:rPr>
      </w:pPr>
      <w:r>
        <w:rPr>
          <w:rFonts w:ascii="Times New Roman" w:cs="Times New Roman" w:eastAsia="Times New Roman" w:hAnsi="Times New Roman"/>
          <w:sz w:val="14"/>
          <w:szCs w:val="14"/>
          <w:color w:val="auto"/>
        </w:rPr>
        <w:t>prior to the date hereof. Notwithstanding anything in this paragraph 1 to the contrary, this 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she will not be able to recover any monetary benefits in connection with any such claim, charge or proceeding.</w:t>
      </w:r>
    </w:p>
    <w:p>
      <w:pPr>
        <w:spacing w:after="0" w:line="111" w:lineRule="exact"/>
        <w:rPr>
          <w:sz w:val="20"/>
          <w:szCs w:val="20"/>
          <w:color w:val="auto"/>
        </w:rPr>
      </w:pPr>
    </w:p>
    <w:p>
      <w:pPr>
        <w:jc w:val="both"/>
        <w:ind w:firstLine="875"/>
        <w:spacing w:after="0" w:line="256" w:lineRule="auto"/>
        <w:tabs>
          <w:tab w:leader="none" w:pos="186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Executive shall not have relinquished her right to commence a Proceeding to challenge whether Executive knowingly and voluntarily waived her rights under ADEA.</w:t>
      </w:r>
    </w:p>
    <w:p>
      <w:pPr>
        <w:spacing w:after="0" w:line="108" w:lineRule="exact"/>
        <w:rPr>
          <w:sz w:val="20"/>
          <w:szCs w:val="20"/>
          <w:color w:val="auto"/>
        </w:rPr>
      </w:pPr>
    </w:p>
    <w:p>
      <w:pPr>
        <w:jc w:val="both"/>
        <w:ind w:left="880" w:hanging="810"/>
        <w:spacing w:after="0" w:line="247" w:lineRule="auto"/>
        <w:tabs>
          <w:tab w:leader="none" w:pos="860"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4"/>
          <w:szCs w:val="14"/>
          <w:b w:val="1"/>
          <w:bCs w:val="1"/>
          <w:u w:val="single" w:color="auto"/>
          <w:color w:val="auto"/>
        </w:rPr>
        <w:t>Non-Competition</w:t>
      </w:r>
      <w:r>
        <w:rPr>
          <w:rFonts w:ascii="Times New Roman" w:cs="Times New Roman" w:eastAsia="Times New Roman" w:hAnsi="Times New Roman"/>
          <w:sz w:val="14"/>
          <w:szCs w:val="14"/>
          <w:color w:val="auto"/>
        </w:rPr>
        <w:t>. Executive further covenants and agrees that during the Term of Employment and during the one (1) year period immediately following the date</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Executive’s employment terminated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47" w:name="page48"/>
    <w:bookmarkEnd w:id="47"/>
    <w:p>
      <w:pPr>
        <w:ind w:right="220" w:firstLine="875"/>
        <w:spacing w:after="0" w:line="256" w:lineRule="auto"/>
        <w:tabs>
          <w:tab w:leader="none" w:pos="148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27" w:lineRule="exact"/>
        <w:rPr>
          <w:rFonts w:ascii="Times New Roman" w:cs="Times New Roman" w:eastAsia="Times New Roman" w:hAnsi="Times New Roman"/>
          <w:sz w:val="14"/>
          <w:szCs w:val="14"/>
          <w:color w:val="auto"/>
        </w:rPr>
      </w:pPr>
    </w:p>
    <w:p>
      <w:pPr>
        <w:jc w:val="both"/>
        <w:ind w:right="280" w:firstLine="875"/>
        <w:spacing w:after="0" w:line="256" w:lineRule="auto"/>
        <w:tabs>
          <w:tab w:leader="none" w:pos="147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28" w:lineRule="exact"/>
        <w:rPr>
          <w:rFonts w:ascii="Times New Roman" w:cs="Times New Roman" w:eastAsia="Times New Roman" w:hAnsi="Times New Roman"/>
          <w:sz w:val="14"/>
          <w:szCs w:val="14"/>
          <w:color w:val="auto"/>
        </w:rPr>
      </w:pPr>
    </w:p>
    <w:p>
      <w:pPr>
        <w:ind w:firstLine="875"/>
        <w:spacing w:after="0" w:line="263" w:lineRule="auto"/>
        <w:tabs>
          <w:tab w:leader="none" w:pos="148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21" w:lineRule="exact"/>
        <w:rPr>
          <w:sz w:val="20"/>
          <w:szCs w:val="20"/>
          <w:color w:val="auto"/>
        </w:rPr>
      </w:pPr>
    </w:p>
    <w:p>
      <w:pPr>
        <w:ind w:left="1420" w:hanging="545"/>
        <w:spacing w:after="0"/>
        <w:tabs>
          <w:tab w:leader="none" w:pos="14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Inventions and Discoveries.</w:t>
      </w:r>
    </w:p>
    <w:p>
      <w:pPr>
        <w:spacing w:after="0" w:line="167" w:lineRule="exact"/>
        <w:rPr>
          <w:sz w:val="20"/>
          <w:szCs w:val="20"/>
          <w:color w:val="auto"/>
        </w:rPr>
      </w:pPr>
    </w:p>
    <w:p>
      <w:pPr>
        <w:ind w:right="100" w:firstLine="875"/>
        <w:spacing w:after="0" w:line="251" w:lineRule="auto"/>
        <w:tabs>
          <w:tab w:leader="none" w:pos="147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299" w:lineRule="exact"/>
        <w:rPr>
          <w:rFonts w:ascii="Times New Roman" w:cs="Times New Roman" w:eastAsia="Times New Roman" w:hAnsi="Times New Roman"/>
          <w:sz w:val="14"/>
          <w:szCs w:val="14"/>
          <w:color w:val="auto"/>
        </w:rPr>
      </w:pPr>
    </w:p>
    <w:p>
      <w:pPr>
        <w:ind w:right="20" w:firstLine="875"/>
        <w:spacing w:after="0" w:line="253" w:lineRule="auto"/>
        <w:tabs>
          <w:tab w:leader="none" w:pos="148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48" w:name="page49"/>
    <w:bookmarkEnd w:id="48"/>
    <w:p>
      <w:pPr>
        <w:ind w:right="140"/>
        <w:spacing w:after="0" w:line="284" w:lineRule="auto"/>
        <w:rPr>
          <w:sz w:val="20"/>
          <w:szCs w:val="20"/>
          <w:color w:val="auto"/>
        </w:rPr>
      </w:pPr>
      <w:r>
        <w:rPr>
          <w:rFonts w:ascii="Times New Roman" w:cs="Times New Roman" w:eastAsia="Times New Roman" w:hAnsi="Times New Roman"/>
          <w:sz w:val="14"/>
          <w:szCs w:val="14"/>
          <w:color w:val="auto"/>
        </w:rPr>
        <w:t>Subject Matter; provided, however, that Executive shall be compensated in a timely manner at the rate of $250 per day (or portion thereof), plus out-of-pocket expenses incurred in rendering such assistance or giving or preparing to give such testimony.</w:t>
      </w:r>
    </w:p>
    <w:p>
      <w:pPr>
        <w:spacing w:after="0" w:line="106" w:lineRule="exact"/>
        <w:rPr>
          <w:sz w:val="20"/>
          <w:szCs w:val="20"/>
          <w:color w:val="auto"/>
        </w:rPr>
      </w:pPr>
    </w:p>
    <w:p>
      <w:pPr>
        <w:ind w:left="1420" w:hanging="545"/>
        <w:spacing w:after="0"/>
        <w:tabs>
          <w:tab w:leader="none" w:pos="1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Non-Disclosure of Confidential Information.</w:t>
      </w:r>
    </w:p>
    <w:p>
      <w:pPr>
        <w:spacing w:after="0" w:line="167" w:lineRule="exact"/>
        <w:rPr>
          <w:sz w:val="20"/>
          <w:szCs w:val="20"/>
          <w:color w:val="auto"/>
        </w:rPr>
      </w:pPr>
    </w:p>
    <w:p>
      <w:pPr>
        <w:ind w:right="20" w:firstLine="875"/>
        <w:spacing w:after="0" w:line="246" w:lineRule="auto"/>
        <w:tabs>
          <w:tab w:leader="none" w:pos="147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acknowledges that the Company possesses certain confidential and propriety information that has been revealed to her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138" w:lineRule="exact"/>
        <w:rPr>
          <w:rFonts w:ascii="Times New Roman" w:cs="Times New Roman" w:eastAsia="Times New Roman" w:hAnsi="Times New Roman"/>
          <w:sz w:val="14"/>
          <w:szCs w:val="14"/>
          <w:color w:val="auto"/>
        </w:rPr>
      </w:pPr>
    </w:p>
    <w:p>
      <w:pPr>
        <w:ind w:firstLine="875"/>
        <w:spacing w:after="0" w:line="256" w:lineRule="auto"/>
        <w:tabs>
          <w:tab w:leader="none" w:pos="148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26" w:lineRule="exact"/>
        <w:rPr>
          <w:sz w:val="20"/>
          <w:szCs w:val="20"/>
          <w:color w:val="auto"/>
        </w:rPr>
      </w:pPr>
    </w:p>
    <w:p>
      <w:pPr>
        <w:ind w:right="40" w:firstLine="875"/>
        <w:spacing w:after="0" w:line="257" w:lineRule="auto"/>
        <w:tabs>
          <w:tab w:leader="none" w:pos="142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Specific Performance</w:t>
      </w:r>
      <w:r>
        <w:rPr>
          <w:rFonts w:ascii="Times New Roman" w:cs="Times New Roman" w:eastAsia="Times New Roman" w:hAnsi="Times New Roman"/>
          <w:sz w:val="14"/>
          <w:szCs w:val="14"/>
          <w:color w:val="auto"/>
        </w:rPr>
        <w:t>. Executive agrees that if she breaches, or threatens to commit a breach of, any enforceable provision of paragraphs 3, 4 or 5 (the "Restrictive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137795</wp:posOffset>
            </wp:positionV>
            <wp:extent cx="732853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20"/>
          </w:cols>
          <w:pgMar w:left="220" w:top="122" w:right="259" w:bottom="1440" w:gutter="0" w:footer="0" w:header="0"/>
        </w:sectPr>
      </w:pPr>
    </w:p>
    <w:bookmarkStart w:id="49" w:name="page50"/>
    <w:bookmarkEnd w:id="49"/>
    <w:p>
      <w:pPr>
        <w:ind w:right="320"/>
        <w:spacing w:after="0" w:line="284" w:lineRule="auto"/>
        <w:rPr>
          <w:sz w:val="20"/>
          <w:szCs w:val="20"/>
          <w:color w:val="auto"/>
        </w:rPr>
      </w:pPr>
      <w:r>
        <w:rPr>
          <w:rFonts w:ascii="Times New Roman" w:cs="Times New Roman" w:eastAsia="Times New Roman" w:hAnsi="Times New Roman"/>
          <w:sz w:val="14"/>
          <w:szCs w:val="14"/>
          <w:color w:val="auto"/>
        </w:rPr>
        <w:t>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108" w:lineRule="exact"/>
        <w:rPr>
          <w:sz w:val="20"/>
          <w:szCs w:val="20"/>
          <w:color w:val="auto"/>
        </w:rPr>
      </w:pPr>
    </w:p>
    <w:p>
      <w:pPr>
        <w:jc w:val="both"/>
        <w:ind w:firstLine="875"/>
        <w:spacing w:after="0" w:line="249" w:lineRule="auto"/>
        <w:tabs>
          <w:tab w:leader="none" w:pos="142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her revocation to the Company. Any such revocation shall be directed to the VP, Managing Director-Human Resources and must be delivered to the VP, Managing Director-Human Resources within that seven (7) day revocation period, or mailed to Destination XL Group, Inc., Attn: VP, Managing Director-Human Resources, 555 Turnpike Street, Canton, MA 02021 and postmarked within the seven (7) day revocation period.</w:t>
      </w:r>
    </w:p>
    <w:p>
      <w:pPr>
        <w:spacing w:after="0" w:line="279" w:lineRule="exact"/>
        <w:rPr>
          <w:rFonts w:ascii="Times New Roman" w:cs="Times New Roman" w:eastAsia="Times New Roman" w:hAnsi="Times New Roman"/>
          <w:sz w:val="14"/>
          <w:szCs w:val="14"/>
          <w:color w:val="auto"/>
        </w:rPr>
      </w:pPr>
    </w:p>
    <w:p>
      <w:pPr>
        <w:ind w:right="20" w:firstLine="875"/>
        <w:spacing w:after="0" w:line="284" w:lineRule="auto"/>
        <w:tabs>
          <w:tab w:leader="none" w:pos="142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89" w:lineRule="exact"/>
        <w:rPr>
          <w:rFonts w:ascii="Times New Roman" w:cs="Times New Roman" w:eastAsia="Times New Roman" w:hAnsi="Times New Roman"/>
          <w:sz w:val="14"/>
          <w:szCs w:val="14"/>
          <w:color w:val="auto"/>
        </w:rPr>
      </w:pPr>
    </w:p>
    <w:p>
      <w:pPr>
        <w:ind w:right="20" w:firstLine="875"/>
        <w:spacing w:after="0" w:line="284" w:lineRule="auto"/>
        <w:tabs>
          <w:tab w:leader="none" w:pos="142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acknowledges that she has read this General Release of Claims, has been advised that she should consult with an attorney before executing this general release of claims, and that she understands all of its terms and executes it voluntarily and with full knowledge of its significance and the consequences thereof.</w:t>
      </w:r>
    </w:p>
    <w:p>
      <w:pPr>
        <w:spacing w:after="0" w:line="89" w:lineRule="exact"/>
        <w:rPr>
          <w:rFonts w:ascii="Times New Roman" w:cs="Times New Roman" w:eastAsia="Times New Roman" w:hAnsi="Times New Roman"/>
          <w:sz w:val="14"/>
          <w:szCs w:val="14"/>
          <w:color w:val="auto"/>
        </w:rPr>
      </w:pPr>
    </w:p>
    <w:p>
      <w:pPr>
        <w:ind w:right="20" w:firstLine="875"/>
        <w:spacing w:after="0" w:line="284" w:lineRule="auto"/>
        <w:tabs>
          <w:tab w:leader="none" w:pos="149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3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Erica Welling Moran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480"/>
          </w:cols>
          <w:pgMar w:left="220" w:top="122" w:right="1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Destination XL Group, Inc.;</w:t>
      </w:r>
    </w:p>
    <w:p>
      <w:pPr>
        <w:spacing w:after="0" w:line="79" w:lineRule="exact"/>
        <w:rPr>
          <w:rFonts w:ascii="Times New Roman" w:cs="Times New Roman" w:eastAsia="Times New Roman" w:hAnsi="Times New Roman"/>
          <w:sz w:val="12"/>
          <w:szCs w:val="12"/>
          <w:color w:val="auto"/>
        </w:rPr>
      </w:pPr>
    </w:p>
    <w:p>
      <w:pPr>
        <w:ind w:left="508" w:hanging="508"/>
        <w:spacing w:after="0" w:line="286" w:lineRule="auto"/>
        <w:tabs>
          <w:tab w:leader="none" w:pos="5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2"/>
          <w:szCs w:val="12"/>
          <w:color w:val="auto"/>
        </w:rPr>
      </w:pPr>
    </w:p>
    <w:p>
      <w:pPr>
        <w:ind w:left="508" w:right="120" w:hanging="508"/>
        <w:spacing w:after="0" w:line="286" w:lineRule="auto"/>
        <w:tabs>
          <w:tab w:leader="none" w:pos="5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2"/>
          <w:szCs w:val="12"/>
          <w:color w:val="auto"/>
        </w:rPr>
      </w:pPr>
    </w:p>
    <w:p>
      <w:pPr>
        <w:ind w:left="508" w:right="20" w:hanging="508"/>
        <w:spacing w:after="0" w:line="286" w:lineRule="auto"/>
        <w:tabs>
          <w:tab w:leader="none" w:pos="5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2"/>
          <w:szCs w:val="12"/>
          <w:color w:val="auto"/>
        </w:rPr>
      </w:pPr>
    </w:p>
    <w:p>
      <w:pPr>
        <w:ind w:left="1028" w:right="180" w:hanging="511"/>
        <w:spacing w:after="0" w:line="286" w:lineRule="auto"/>
        <w:tabs>
          <w:tab w:leader="none" w:pos="102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2"/>
          <w:szCs w:val="12"/>
          <w:color w:val="auto"/>
        </w:rPr>
      </w:pPr>
    </w:p>
    <w:p>
      <w:pPr>
        <w:ind w:left="1028" w:right="380" w:hanging="511"/>
        <w:spacing w:after="0" w:line="286" w:lineRule="auto"/>
        <w:tabs>
          <w:tab w:leader="none" w:pos="102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2"/>
          <w:szCs w:val="12"/>
          <w:color w:val="auto"/>
        </w:rPr>
      </w:pPr>
    </w:p>
    <w:p>
      <w:pPr>
        <w:ind w:left="1028" w:right="300" w:hanging="511"/>
        <w:spacing w:after="0" w:line="286" w:lineRule="auto"/>
        <w:tabs>
          <w:tab w:leader="none" w:pos="102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2"/>
          <w:szCs w:val="12"/>
          <w:color w:val="auto"/>
        </w:rPr>
      </w:pPr>
    </w:p>
    <w:p>
      <w:pPr>
        <w:ind w:left="1028" w:right="360" w:hanging="511"/>
        <w:spacing w:after="0" w:line="286" w:lineRule="auto"/>
        <w:tabs>
          <w:tab w:leader="none" w:pos="102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2"/>
          <w:szCs w:val="12"/>
          <w:color w:val="auto"/>
        </w:rPr>
      </w:pPr>
    </w:p>
    <w:p>
      <w:pPr>
        <w:ind w:left="508" w:right="260" w:hanging="508"/>
        <w:spacing w:after="0" w:line="286" w:lineRule="auto"/>
        <w:tabs>
          <w:tab w:leader="none" w:pos="5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Times New Roman" w:cs="Times New Roman" w:eastAsia="Times New Roman" w:hAnsi="Times New Roman"/>
          <w:sz w:val="12"/>
          <w:szCs w:val="12"/>
          <w:color w:val="auto"/>
        </w:rPr>
      </w:pPr>
    </w:p>
    <w:p>
      <w:pPr>
        <w:ind w:left="1028" w:right="320" w:hanging="511"/>
        <w:spacing w:after="0" w:line="286" w:lineRule="auto"/>
        <w:tabs>
          <w:tab w:leader="none" w:pos="102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2"/>
          <w:szCs w:val="12"/>
          <w:color w:val="auto"/>
        </w:rPr>
      </w:pPr>
    </w:p>
    <w:p>
      <w:pPr>
        <w:ind w:left="1028" w:hanging="511"/>
        <w:spacing w:after="0"/>
        <w:tabs>
          <w:tab w:leader="none" w:pos="102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887" w:val="left"/>
          <w:tab w:leader="none" w:pos="8787" w:val="left"/>
        </w:tabs>
        <w:rPr>
          <w:sz w:val="20"/>
          <w:szCs w:val="20"/>
          <w:color w:val="auto"/>
        </w:rPr>
      </w:pPr>
      <w:r>
        <w:rPr>
          <w:rFonts w:ascii="Times New Roman" w:cs="Times New Roman" w:eastAsia="Times New Roman" w:hAnsi="Times New Roman"/>
          <w:sz w:val="12"/>
          <w:szCs w:val="12"/>
          <w:color w:val="auto"/>
        </w:rPr>
        <w:t>Date:  November 22,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Harvey S. Kanter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-65405</wp:posOffset>
            </wp:positionV>
            <wp:extent cx="27660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ectPr>
          <w:pgSz w:w="11900" w:h="16838" w:orient="portrait"/>
          <w:cols w:equalWidth="0" w:num="1">
            <w:col w:w="11488"/>
          </w:cols>
          <w:pgMar w:left="212" w:top="125" w:right="1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Destination XL Group, Inc.;</w:t>
      </w:r>
    </w:p>
    <w:p>
      <w:pPr>
        <w:spacing w:after="0" w:line="79" w:lineRule="exact"/>
        <w:rPr>
          <w:rFonts w:ascii="Times New Roman" w:cs="Times New Roman" w:eastAsia="Times New Roman" w:hAnsi="Times New Roman"/>
          <w:sz w:val="12"/>
          <w:szCs w:val="12"/>
          <w:color w:val="auto"/>
        </w:rPr>
      </w:pPr>
    </w:p>
    <w:p>
      <w:pPr>
        <w:ind w:left="508" w:hanging="508"/>
        <w:spacing w:after="0" w:line="286" w:lineRule="auto"/>
        <w:tabs>
          <w:tab w:leader="none" w:pos="5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2"/>
          <w:szCs w:val="12"/>
          <w:color w:val="auto"/>
        </w:rPr>
      </w:pPr>
    </w:p>
    <w:p>
      <w:pPr>
        <w:ind w:left="508" w:right="120" w:hanging="508"/>
        <w:spacing w:after="0" w:line="286" w:lineRule="auto"/>
        <w:tabs>
          <w:tab w:leader="none" w:pos="5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2"/>
          <w:szCs w:val="12"/>
          <w:color w:val="auto"/>
        </w:rPr>
      </w:pPr>
    </w:p>
    <w:p>
      <w:pPr>
        <w:ind w:left="508" w:right="20" w:hanging="508"/>
        <w:spacing w:after="0" w:line="286" w:lineRule="auto"/>
        <w:tabs>
          <w:tab w:leader="none" w:pos="5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2"/>
          <w:szCs w:val="12"/>
          <w:color w:val="auto"/>
        </w:rPr>
      </w:pPr>
    </w:p>
    <w:p>
      <w:pPr>
        <w:ind w:left="1028" w:right="180" w:hanging="511"/>
        <w:spacing w:after="0" w:line="286" w:lineRule="auto"/>
        <w:tabs>
          <w:tab w:leader="none" w:pos="10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2"/>
          <w:szCs w:val="12"/>
          <w:color w:val="auto"/>
        </w:rPr>
      </w:pPr>
    </w:p>
    <w:p>
      <w:pPr>
        <w:ind w:left="1028" w:right="380" w:hanging="511"/>
        <w:spacing w:after="0" w:line="286" w:lineRule="auto"/>
        <w:tabs>
          <w:tab w:leader="none" w:pos="10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2"/>
          <w:szCs w:val="12"/>
          <w:color w:val="auto"/>
        </w:rPr>
      </w:pPr>
    </w:p>
    <w:p>
      <w:pPr>
        <w:ind w:left="1028" w:right="300" w:hanging="511"/>
        <w:spacing w:after="0" w:line="286" w:lineRule="auto"/>
        <w:tabs>
          <w:tab w:leader="none" w:pos="10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2"/>
          <w:szCs w:val="12"/>
          <w:color w:val="auto"/>
        </w:rPr>
      </w:pPr>
    </w:p>
    <w:p>
      <w:pPr>
        <w:ind w:left="1028" w:right="360" w:hanging="511"/>
        <w:spacing w:after="0" w:line="286" w:lineRule="auto"/>
        <w:tabs>
          <w:tab w:leader="none" w:pos="10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2"/>
          <w:szCs w:val="12"/>
          <w:color w:val="auto"/>
        </w:rPr>
      </w:pPr>
    </w:p>
    <w:p>
      <w:pPr>
        <w:ind w:left="508" w:right="260" w:hanging="508"/>
        <w:spacing w:after="0" w:line="286" w:lineRule="auto"/>
        <w:tabs>
          <w:tab w:leader="none" w:pos="5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Times New Roman" w:cs="Times New Roman" w:eastAsia="Times New Roman" w:hAnsi="Times New Roman"/>
          <w:sz w:val="12"/>
          <w:szCs w:val="12"/>
          <w:color w:val="auto"/>
        </w:rPr>
      </w:pPr>
    </w:p>
    <w:p>
      <w:pPr>
        <w:ind w:left="1028" w:right="320" w:hanging="511"/>
        <w:spacing w:after="0" w:line="286" w:lineRule="auto"/>
        <w:tabs>
          <w:tab w:leader="none" w:pos="10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2"/>
          <w:szCs w:val="12"/>
          <w:color w:val="auto"/>
        </w:rPr>
      </w:pPr>
    </w:p>
    <w:p>
      <w:pPr>
        <w:ind w:left="1028" w:hanging="511"/>
        <w:spacing w:after="0"/>
        <w:tabs>
          <w:tab w:leader="none" w:pos="10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887" w:val="left"/>
          <w:tab w:leader="none" w:pos="8727" w:val="left"/>
        </w:tabs>
        <w:rPr>
          <w:sz w:val="20"/>
          <w:szCs w:val="20"/>
          <w:color w:val="auto"/>
        </w:rPr>
      </w:pPr>
      <w:r>
        <w:rPr>
          <w:rFonts w:ascii="Times New Roman" w:cs="Times New Roman" w:eastAsia="Times New Roman" w:hAnsi="Times New Roman"/>
          <w:sz w:val="12"/>
          <w:szCs w:val="12"/>
          <w:color w:val="auto"/>
        </w:rPr>
        <w:t>Date:  November 22,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Peter H. Stratton, Jr.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-65405</wp:posOffset>
            </wp:positionV>
            <wp:extent cx="27660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Financial Officer</w:t>
      </w:r>
    </w:p>
    <w:p>
      <w:pPr>
        <w:sectPr>
          <w:pgSz w:w="11900" w:h="16838" w:orient="portrait"/>
          <w:cols w:equalWidth="0" w:num="1">
            <w:col w:w="11488"/>
          </w:cols>
          <w:pgMar w:left="212" w:top="125" w:right="1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200" w:firstLine="521"/>
        <w:spacing w:after="0" w:line="286" w:lineRule="auto"/>
        <w:rPr>
          <w:sz w:val="20"/>
          <w:szCs w:val="20"/>
          <w:color w:val="auto"/>
        </w:rPr>
      </w:pPr>
      <w:r>
        <w:rPr>
          <w:rFonts w:ascii="Times New Roman" w:cs="Times New Roman" w:eastAsia="Times New Roman" w:hAnsi="Times New Roman"/>
          <w:sz w:val="12"/>
          <w:szCs w:val="12"/>
          <w:color w:val="auto"/>
        </w:rPr>
        <w:t>In connection with the Quarterly Report on Form 10-Q of Destination XL Group, Inc. (the “Company”) for the period ended November 2, 2019, as filed with the Securities and Exchange Commission on the date hereof (the “Report”), I, Harvey S. Kanter, Chief Executive Officer of the Company, certify pursuant to 18 U.S.C. § 1350, as adopted pursuant to § 906 of the Sarbanes-Oxley Act of 2002, that:</w:t>
      </w:r>
    </w:p>
    <w:p>
      <w:pPr>
        <w:spacing w:after="0" w:line="33" w:lineRule="exact"/>
        <w:rPr>
          <w:sz w:val="20"/>
          <w:szCs w:val="20"/>
          <w:color w:val="auto"/>
        </w:rPr>
      </w:pPr>
    </w:p>
    <w:p>
      <w:pPr>
        <w:ind w:left="1260" w:hanging="179"/>
        <w:spacing w:after="0"/>
        <w:tabs>
          <w:tab w:leader="none" w:pos="12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9" w:lineRule="exact"/>
        <w:rPr>
          <w:rFonts w:ascii="Times New Roman" w:cs="Times New Roman" w:eastAsia="Times New Roman" w:hAnsi="Times New Roman"/>
          <w:sz w:val="12"/>
          <w:szCs w:val="12"/>
          <w:color w:val="auto"/>
        </w:rPr>
      </w:pPr>
    </w:p>
    <w:p>
      <w:pPr>
        <w:ind w:left="1260" w:hanging="179"/>
        <w:spacing w:after="0"/>
        <w:tabs>
          <w:tab w:leader="none" w:pos="12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20" w:firstLine="521"/>
        <w:spacing w:after="0" w:line="269" w:lineRule="auto"/>
        <w:rPr>
          <w:sz w:val="20"/>
          <w:szCs w:val="20"/>
          <w:color w:val="auto"/>
        </w:rPr>
      </w:pPr>
      <w:r>
        <w:rPr>
          <w:rFonts w:ascii="Times New Roman" w:cs="Times New Roman" w:eastAsia="Times New Roman" w:hAnsi="Times New Roman"/>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4" w:lineRule="exact"/>
        <w:rPr>
          <w:sz w:val="20"/>
          <w:szCs w:val="20"/>
          <w:color w:val="auto"/>
        </w:rPr>
      </w:pPr>
    </w:p>
    <w:p>
      <w:pPr>
        <w:spacing w:after="0"/>
        <w:tabs>
          <w:tab w:leader="none" w:pos="6880" w:val="left"/>
          <w:tab w:leader="none" w:pos="8780" w:val="left"/>
        </w:tabs>
        <w:rPr>
          <w:sz w:val="20"/>
          <w:szCs w:val="20"/>
          <w:color w:val="auto"/>
        </w:rPr>
      </w:pPr>
      <w:r>
        <w:rPr>
          <w:rFonts w:ascii="Times New Roman" w:cs="Times New Roman" w:eastAsia="Times New Roman" w:hAnsi="Times New Roman"/>
          <w:sz w:val="12"/>
          <w:szCs w:val="12"/>
          <w:color w:val="auto"/>
        </w:rPr>
        <w:t>Date:  November 22,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Harvey S. Kanter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-65405</wp:posOffset>
            </wp:positionV>
            <wp:extent cx="27660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pacing w:after="0" w:line="121" w:lineRule="exact"/>
        <w:rPr>
          <w:sz w:val="20"/>
          <w:szCs w:val="20"/>
          <w:color w:val="auto"/>
        </w:rPr>
      </w:pPr>
    </w:p>
    <w:p>
      <w:pPr>
        <w:ind w:right="80" w:firstLine="521"/>
        <w:spacing w:after="0" w:line="286" w:lineRule="auto"/>
        <w:rPr>
          <w:sz w:val="20"/>
          <w:szCs w:val="20"/>
          <w:color w:val="auto"/>
        </w:rPr>
      </w:pPr>
      <w:r>
        <w:rPr>
          <w:rFonts w:ascii="Times New Roman" w:cs="Times New Roman" w:eastAsia="Times New Roman" w:hAnsi="Times New Roman"/>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80"/>
          </w:cols>
          <w:pgMar w:left="220" w:top="125" w:right="1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200" w:firstLine="521"/>
        <w:spacing w:after="0" w:line="286" w:lineRule="auto"/>
        <w:rPr>
          <w:sz w:val="20"/>
          <w:szCs w:val="20"/>
          <w:color w:val="auto"/>
        </w:rPr>
      </w:pPr>
      <w:r>
        <w:rPr>
          <w:rFonts w:ascii="Times New Roman" w:cs="Times New Roman" w:eastAsia="Times New Roman" w:hAnsi="Times New Roman"/>
          <w:sz w:val="12"/>
          <w:szCs w:val="12"/>
          <w:color w:val="auto"/>
        </w:rPr>
        <w:t>In connection with the Quarterly Report on Form 10-Q of Destination XL Group, Inc. (the “Company”) for the period ended November 2, 2019,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33" w:lineRule="exact"/>
        <w:rPr>
          <w:sz w:val="20"/>
          <w:szCs w:val="20"/>
          <w:color w:val="auto"/>
        </w:rPr>
      </w:pPr>
    </w:p>
    <w:p>
      <w:pPr>
        <w:ind w:left="1260" w:hanging="179"/>
        <w:spacing w:after="0"/>
        <w:tabs>
          <w:tab w:leader="none" w:pos="1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(the “Exchange Act”); and</w:t>
      </w:r>
    </w:p>
    <w:p>
      <w:pPr>
        <w:spacing w:after="0" w:line="79" w:lineRule="exact"/>
        <w:rPr>
          <w:rFonts w:ascii="Times New Roman" w:cs="Times New Roman" w:eastAsia="Times New Roman" w:hAnsi="Times New Roman"/>
          <w:sz w:val="12"/>
          <w:szCs w:val="12"/>
          <w:color w:val="auto"/>
        </w:rPr>
      </w:pPr>
    </w:p>
    <w:p>
      <w:pPr>
        <w:ind w:left="1260" w:hanging="179"/>
        <w:spacing w:after="0"/>
        <w:tabs>
          <w:tab w:leader="none" w:pos="1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20" w:firstLine="521"/>
        <w:spacing w:after="0" w:line="269" w:lineRule="auto"/>
        <w:rPr>
          <w:sz w:val="20"/>
          <w:szCs w:val="20"/>
          <w:color w:val="auto"/>
        </w:rPr>
      </w:pPr>
      <w:r>
        <w:rPr>
          <w:rFonts w:ascii="Times New Roman" w:cs="Times New Roman" w:eastAsia="Times New Roman" w:hAnsi="Times New Roman"/>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4" w:lineRule="exact"/>
        <w:rPr>
          <w:sz w:val="20"/>
          <w:szCs w:val="20"/>
          <w:color w:val="auto"/>
        </w:rPr>
      </w:pPr>
    </w:p>
    <w:p>
      <w:pPr>
        <w:spacing w:after="0"/>
        <w:tabs>
          <w:tab w:leader="none" w:pos="6880" w:val="left"/>
          <w:tab w:leader="none" w:pos="8720" w:val="left"/>
        </w:tabs>
        <w:rPr>
          <w:sz w:val="20"/>
          <w:szCs w:val="20"/>
          <w:color w:val="auto"/>
        </w:rPr>
      </w:pPr>
      <w:r>
        <w:rPr>
          <w:rFonts w:ascii="Times New Roman" w:cs="Times New Roman" w:eastAsia="Times New Roman" w:hAnsi="Times New Roman"/>
          <w:sz w:val="12"/>
          <w:szCs w:val="12"/>
          <w:color w:val="auto"/>
        </w:rPr>
        <w:t>Date:  November 22,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Peter H. Stratton, Jr.</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-65405</wp:posOffset>
            </wp:positionV>
            <wp:extent cx="27660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Times New Roman" w:cs="Times New Roman" w:eastAsia="Times New Roman" w:hAnsi="Times New Roman"/>
          <w:sz w:val="10"/>
          <w:szCs w:val="10"/>
          <w:b w:val="1"/>
          <w:bCs w:val="1"/>
          <w:color w:val="auto"/>
        </w:rPr>
        <w:t>Chief Financial Officer</w:t>
      </w:r>
    </w:p>
    <w:p>
      <w:pPr>
        <w:spacing w:after="0" w:line="121" w:lineRule="exact"/>
        <w:rPr>
          <w:sz w:val="20"/>
          <w:szCs w:val="20"/>
          <w:color w:val="auto"/>
        </w:rPr>
      </w:pPr>
    </w:p>
    <w:p>
      <w:pPr>
        <w:ind w:right="80" w:firstLine="521"/>
        <w:spacing w:after="0" w:line="286" w:lineRule="auto"/>
        <w:rPr>
          <w:sz w:val="20"/>
          <w:szCs w:val="20"/>
          <w:color w:val="auto"/>
        </w:rPr>
      </w:pPr>
      <w:r>
        <w:rPr>
          <w:rFonts w:ascii="Times New Roman" w:cs="Times New Roman" w:eastAsia="Times New Roman" w:hAnsi="Times New Roman"/>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80"/>
      </w:cols>
      <w:pgMar w:left="22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01"/>
    </w:lvl>
    <w:lvl w:ilvl="1">
      <w:lvlJc w:val="left"/>
      <w:lvlText w:val="(%2)"/>
      <w:numFmt w:val="lowerRoman"/>
      <w:start w:val="2"/>
    </w:lvl>
  </w:abstractNum>
  <w:abstractNum w:abstractNumId="10">
    <w:nsid w:val="3006C83E"/>
    <w:multiLevelType w:val="hybridMultilevel"/>
    <w:lvl w:ilvl="0">
      <w:lvlJc w:val="left"/>
      <w:lvlText w:val="%1"/>
      <w:numFmt w:val="decimal"/>
      <w:start w:val="1"/>
    </w:lvl>
    <w:lvl w:ilvl="1">
      <w:lvlJc w:val="left"/>
      <w:lvlText w:val="(%2)"/>
      <w:numFmt w:val="lowerRoman"/>
      <w:start w:val="6"/>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2"/>
    </w:lvl>
  </w:abstractNum>
  <w:abstractNum w:abstractNumId="13">
    <w:nsid w:val="5577F8E1"/>
    <w:multiLevelType w:val="hybridMultilevel"/>
    <w:lvl w:ilvl="0">
      <w:lvlJc w:val="left"/>
      <w:lvlText w:val="%1."/>
      <w:numFmt w:val="decimal"/>
      <w:start w:val="3"/>
    </w:lvl>
    <w:lvl w:ilvl="1">
      <w:lvlJc w:val="left"/>
      <w:lvlText w:val="%2)"/>
      <w:numFmt w:val="lowerLetter"/>
      <w:start w:val="1"/>
    </w:lvl>
  </w:abstractNum>
  <w:abstractNum w:abstractNumId="14">
    <w:nsid w:val="440BADFC"/>
    <w:multiLevelType w:val="hybridMultilevel"/>
    <w:lvl w:ilvl="0">
      <w:lvlJc w:val="left"/>
      <w:lvlText w:val="%1"/>
      <w:numFmt w:val="decimal"/>
      <w:start w:val="1"/>
    </w:lvl>
    <w:lvl w:ilvl="1">
      <w:lvlJc w:val="left"/>
      <w:lvlText w:val="%2)"/>
      <w:numFmt w:val="lowerLetter"/>
      <w:start w:val="3"/>
    </w:lvl>
  </w:abstractNum>
  <w:abstractNum w:abstractNumId="15">
    <w:nsid w:val="5072367"/>
    <w:multiLevelType w:val="hybridMultilevel"/>
    <w:lvl w:ilvl="0">
      <w:lvlJc w:val="left"/>
      <w:lvlText w:val="%1."/>
      <w:numFmt w:val="decimal"/>
      <w:start w:val="4"/>
    </w:lvl>
    <w:lvl w:ilvl="1">
      <w:lvlJc w:val="left"/>
      <w:lvlText w:val="%2)"/>
      <w:numFmt w:val="lowerLetter"/>
      <w:start w:val="1"/>
    </w:lvl>
  </w:abstractNum>
  <w:abstractNum w:abstractNumId="16">
    <w:nsid w:val="380482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
    <w:nsid w:val="7724C67E"/>
    <w:multiLevelType w:val="hybridMultilevel"/>
    <w:lvl w:ilvl="0">
      <w:lvlJc w:val="left"/>
      <w:lvlText w:val="%1)"/>
      <w:numFmt w:val="lowerLetter"/>
      <w:start w:val="2"/>
    </w:lvl>
    <w:lvl w:ilvl="1">
      <w:lvlJc w:val="left"/>
      <w:lvlText w:val="%2."/>
      <w:numFmt w:val="lowerRoman"/>
      <w:start w:val="1"/>
    </w:lvl>
  </w:abstractNum>
  <w:abstractNum w:abstractNumId="19">
    <w:nsid w:val="5C482A97"/>
    <w:multiLevelType w:val="hybridMultilevel"/>
    <w:lvl w:ilvl="0">
      <w:lvlJc w:val="left"/>
      <w:lvlText w:val="%1)"/>
      <w:numFmt w:val="lowerLetter"/>
      <w:start w:val="6"/>
    </w:lvl>
  </w:abstractNum>
  <w:abstractNum w:abstractNumId="20">
    <w:nsid w:val="2463B9EA"/>
    <w:multiLevelType w:val="hybridMultilevel"/>
    <w:lvl w:ilvl="0">
      <w:lvlJc w:val="left"/>
      <w:lvlText w:val="%1)"/>
      <w:numFmt w:val="lowerLetter"/>
      <w:start w:val="10"/>
    </w:lvl>
    <w:lvl w:ilvl="1">
      <w:lvlJc w:val="left"/>
      <w:lvlText w:val="%2."/>
      <w:numFmt w:val="lowerRoman"/>
      <w:start w:val="1"/>
    </w:lvl>
  </w:abstractNum>
  <w:abstractNum w:abstractNumId="21">
    <w:nsid w:val="5E884ADC"/>
    <w:multiLevelType w:val="hybridMultilevel"/>
    <w:lvl w:ilvl="0">
      <w:lvlJc w:val="left"/>
      <w:lvlText w:val="%1."/>
      <w:numFmt w:val="upperLetter"/>
      <w:start w:val="2"/>
    </w:lvl>
  </w:abstractNum>
  <w:abstractNum w:abstractNumId="22">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abstractNum>
  <w:abstractNum w:abstractNumId="23">
    <w:nsid w:val="2D517796"/>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4">
    <w:nsid w:val="580BD78F"/>
    <w:multiLevelType w:val="hybridMultilevel"/>
    <w:lvl w:ilvl="0">
      <w:lvlJc w:val="left"/>
      <w:lvlText w:val="%1)"/>
      <w:numFmt w:val="lowerLetter"/>
      <w:start w:val="3"/>
    </w:lvl>
    <w:lvl w:ilvl="1">
      <w:lvlJc w:val="left"/>
      <w:lvlText w:val="%2."/>
      <w:numFmt w:val="lowerRoman"/>
      <w:start w:val="1"/>
    </w:lvl>
  </w:abstractNum>
  <w:abstractNum w:abstractNumId="25">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3855585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7">
    <w:nsid w:val="70A64E2A"/>
    <w:multiLevelType w:val="hybridMultilevel"/>
    <w:lvl w:ilvl="0">
      <w:lvlJc w:val="left"/>
      <w:lvlText w:val="%1."/>
      <w:numFmt w:val="decimal"/>
      <w:start w:val="10"/>
    </w:lvl>
    <w:lvl w:ilvl="1">
      <w:lvlJc w:val="left"/>
      <w:lvlText w:val="%2)"/>
      <w:numFmt w:val="lowerLetter"/>
      <w:start w:val="1"/>
    </w:lvl>
  </w:abstractNum>
  <w:abstractNum w:abstractNumId="28">
    <w:nsid w:val="6A2342EC"/>
    <w:multiLevelType w:val="hybridMultilevel"/>
    <w:lvl w:ilvl="0">
      <w:lvlJc w:val="left"/>
      <w:lvlText w:val="%1)"/>
      <w:numFmt w:val="lowerLetter"/>
      <w:start w:val="2"/>
    </w:lvl>
  </w:abstractNum>
  <w:abstractNum w:abstractNumId="29">
    <w:nsid w:val="2A487CB0"/>
    <w:multiLevelType w:val="hybridMultilevel"/>
    <w:lvl w:ilvl="0">
      <w:lvlJc w:val="left"/>
      <w:lvlText w:val="%1."/>
      <w:numFmt w:val="decimal"/>
      <w:start w:val="11"/>
    </w:lvl>
    <w:lvl w:ilvl="1">
      <w:lvlJc w:val="left"/>
      <w:lvlText w:val="%2)"/>
      <w:numFmt w:val="lowerLetter"/>
      <w:start w:val="1"/>
    </w:lvl>
  </w:abstractNum>
  <w:abstractNum w:abstractNumId="30">
    <w:nsid w:val="1D4ED43B"/>
    <w:multiLevelType w:val="hybridMultilevel"/>
    <w:lvl w:ilvl="0">
      <w:lvlJc w:val="left"/>
      <w:lvlText w:val="%1"/>
      <w:numFmt w:val="decimal"/>
      <w:start w:val="1"/>
    </w:lvl>
    <w:lvl w:ilvl="1">
      <w:lvlJc w:val="left"/>
      <w:lvlText w:val="%2)"/>
      <w:numFmt w:val="lowerLetter"/>
      <w:start w:val="2"/>
    </w:lvl>
  </w:abstractNum>
  <w:abstractNum w:abstractNumId="31">
    <w:nsid w:val="725A06FB"/>
    <w:multiLevelType w:val="hybridMultilevel"/>
    <w:lvl w:ilvl="0">
      <w:lvlJc w:val="left"/>
      <w:lvlText w:val="%1."/>
      <w:numFmt w:val="decimal"/>
      <w:start w:val="13"/>
    </w:lvl>
    <w:lvl w:ilvl="1">
      <w:lvlJc w:val="left"/>
      <w:lvlText w:val="%2"/>
      <w:numFmt w:val="lowerLetter"/>
      <w:start w:val="1"/>
    </w:lvl>
  </w:abstractNum>
  <w:abstractNum w:abstractNumId="32">
    <w:nsid w:val="2CD89A32"/>
    <w:multiLevelType w:val="hybridMultilevel"/>
    <w:lvl w:ilvl="0">
      <w:lvlJc w:val="left"/>
      <w:lvlText w:val="%1."/>
      <w:numFmt w:val="decimal"/>
      <w:start w:val="14"/>
    </w:lvl>
  </w:abstractNum>
  <w:abstractNum w:abstractNumId="33">
    <w:nsid w:val="57E4CCAF"/>
    <w:multiLevelType w:val="hybridMultilevel"/>
    <w:lvl w:ilvl="0">
      <w:lvlJc w:val="left"/>
      <w:lvlText w:val="%1."/>
      <w:numFmt w:val="decimal"/>
      <w:start w:val="16"/>
    </w:lvl>
  </w:abstractNum>
  <w:abstractNum w:abstractNumId="34">
    <w:nsid w:val="7A6D8D3C"/>
    <w:multiLevelType w:val="hybridMultilevel"/>
    <w:lvl w:ilvl="0">
      <w:lvlJc w:val="left"/>
      <w:lvlText w:val="%1."/>
      <w:numFmt w:val="decimal"/>
      <w:start w:val="17"/>
    </w:lvl>
  </w:abstractNum>
  <w:abstractNum w:abstractNumId="35">
    <w:nsid w:val="4B588F54"/>
    <w:multiLevelType w:val="hybridMultilevel"/>
    <w:lvl w:ilvl="0">
      <w:lvlJc w:val="left"/>
      <w:lvlText w:val="%1."/>
      <w:numFmt w:val="decimal"/>
      <w:start w:val="18"/>
    </w:lvl>
  </w:abstractNum>
  <w:abstractNum w:abstractNumId="36">
    <w:nsid w:val="542289EC"/>
    <w:multiLevelType w:val="hybridMultilevel"/>
    <w:lvl w:ilvl="0">
      <w:lvlJc w:val="left"/>
      <w:lvlText w:val="%1."/>
      <w:numFmt w:val="decimal"/>
      <w:start w:val="20"/>
    </w:lvl>
  </w:abstractNum>
  <w:abstractNum w:abstractNumId="37">
    <w:nsid w:val="6DE91B18"/>
    <w:multiLevelType w:val="hybridMultilevel"/>
    <w:lvl w:ilvl="0">
      <w:lvlJc w:val="left"/>
      <w:lvlText w:val="%1."/>
      <w:numFmt w:val="decimal"/>
      <w:start w:val="21"/>
    </w:lvl>
  </w:abstractNum>
  <w:abstractNum w:abstractNumId="38">
    <w:nsid w:val="38437FDB"/>
    <w:multiLevelType w:val="hybridMultilevel"/>
    <w:lvl w:ilvl="0">
      <w:lvlJc w:val="left"/>
      <w:lvlText w:val="%1."/>
      <w:numFmt w:val="decimal"/>
      <w:start w:val="22"/>
    </w:lvl>
  </w:abstractNum>
  <w:abstractNum w:abstractNumId="39">
    <w:nsid w:val="7644A45C"/>
    <w:multiLevelType w:val="hybridMultilevel"/>
    <w:lvl w:ilvl="0">
      <w:lvlJc w:val="left"/>
      <w:lvlText w:val="%1."/>
      <w:numFmt w:val="decimal"/>
      <w:start w:val="23"/>
    </w:lvl>
  </w:abstractNum>
  <w:abstractNum w:abstractNumId="40">
    <w:nsid w:val="32FFF902"/>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41">
    <w:nsid w:val="684A481A"/>
    <w:multiLevelType w:val="hybridMultilevel"/>
    <w:lvl w:ilvl="0">
      <w:lvlJc w:val="left"/>
      <w:lvlText w:val="%1."/>
      <w:numFmt w:val="decimal"/>
      <w:start w:val="25"/>
    </w:lvl>
  </w:abstractNum>
  <w:abstractNum w:abstractNumId="42">
    <w:nsid w:val="579478FE"/>
    <w:multiLevelType w:val="hybridMultilevel"/>
    <w:lvl w:ilvl="0">
      <w:lvlJc w:val="left"/>
      <w:lvlText w:val="%1."/>
      <w:numFmt w:val="decimal"/>
      <w:start w:val="26"/>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2"/>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decimal"/>
      <w:start w:val="4"/>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6"/>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46" Type="http://schemas.openxmlformats.org/officeDocument/2006/relationships/hyperlink" Target="http://www.sec.gov/Archives/edgar/data/813298/000156459019031144/dxlg-ex101_24.htm" TargetMode="External"/><Relationship Id="rId47" Type="http://schemas.openxmlformats.org/officeDocument/2006/relationships/hyperlink" Target="http://www.sec.gov/Archives/edgar/data/813298/000156459019034273/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2019-12-28T01:20:11Z</dcterms:created>
  <dcterms:modified xsi:type="dcterms:W3CDTF">2019-12-28T01:20:11Z</dcterms:modified>
</cp:coreProperties>
</file>