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241935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760" w:right="1600" w:hanging="3739"/>
        <w:spacing w:after="0" w:line="360" w:lineRule="auto"/>
        <w:tabs>
          <w:tab w:leader="none" w:pos="50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29,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4240" w:right="1580" w:hanging="4219"/>
        <w:spacing w:after="0" w:line="412" w:lineRule="auto"/>
        <w:tabs>
          <w:tab w:leader="none" w:pos="49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04-2623104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220" w:space="720"/>
            <w:col w:w="3300"/>
          </w:cols>
          <w:pgMar w:left="320" w:top="727" w:right="339" w:bottom="1440" w:gutter="0" w:footer="0" w:header="0"/>
          <w:type w:val="continuous"/>
        </w:sectPr>
      </w:pPr>
    </w:p>
    <w:tbl>
      <w:tblPr>
        <w:tblLayout w:type="fixed"/>
        <w:tblInd w:w="1780" w:type="dxa"/>
        <w:tblCellMar>
          <w:top w:w="0" w:type="dxa"/>
          <w:left w:w="0" w:type="dxa"/>
          <w:bottom w:w="0" w:type="dxa"/>
          <w:right w:w="0" w:type="dxa"/>
        </w:tblCellMar>
      </w:tblPr>
      <w:tr>
        <w:trPr>
          <w:trHeight w:val="207"/>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p>
        </w:tc>
        <w:tc>
          <w:tcPr>
            <w:tcW w:w="2720" w:type="dxa"/>
            <w:vAlign w:val="bottom"/>
          </w:tcPr>
          <w:p>
            <w:pPr>
              <w:spacing w:after="0"/>
              <w:rPr>
                <w:sz w:val="18"/>
                <w:szCs w:val="18"/>
                <w:color w:val="auto"/>
              </w:rPr>
            </w:pPr>
          </w:p>
        </w:tc>
      </w:tr>
      <w:tr>
        <w:trPr>
          <w:trHeight w:val="232"/>
        </w:trPr>
        <w:tc>
          <w:tcPr>
            <w:tcW w:w="422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Canton, MA</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66"/>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78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334"/>
        </w:trPr>
        <w:tc>
          <w:tcPr>
            <w:tcW w:w="120" w:type="dxa"/>
            <w:vAlign w:val="bottom"/>
            <w:tcBorders>
              <w:right w:val="single" w:sz="8" w:color="auto"/>
            </w:tcBorders>
          </w:tcPr>
          <w:p>
            <w:pPr>
              <w:spacing w:after="0"/>
              <w:rPr>
                <w:sz w:val="24"/>
                <w:szCs w:val="24"/>
                <w:color w:val="auto"/>
              </w:rPr>
            </w:pP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0"/>
        </w:trPr>
        <w:tc>
          <w:tcPr>
            <w:tcW w:w="1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DXLG</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81" w:lineRule="exact"/>
        <w:rPr>
          <w:sz w:val="24"/>
          <w:szCs w:val="24"/>
          <w:color w:val="auto"/>
        </w:rPr>
      </w:pPr>
    </w:p>
    <w:p>
      <w:pPr>
        <w:jc w:val="both"/>
        <w:ind w:firstLine="599"/>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47" w:lineRule="exact"/>
        <w:rPr>
          <w:sz w:val="24"/>
          <w:szCs w:val="24"/>
          <w:color w:val="auto"/>
        </w:rPr>
      </w:pPr>
    </w:p>
    <w:p>
      <w:pPr>
        <w:ind w:right="100" w:firstLine="599"/>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8" w:lineRule="exact"/>
        <w:rPr>
          <w:sz w:val="24"/>
          <w:szCs w:val="24"/>
          <w:color w:val="auto"/>
        </w:rPr>
      </w:pPr>
    </w:p>
    <w:p>
      <w:pPr>
        <w:ind w:right="1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3"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040"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November 11, 2022, the registrant had 62,469,259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October 29, 2022</w:t>
            </w:r>
          </w:p>
        </w:tc>
        <w:tc>
          <w:tcPr>
            <w:tcW w:w="200" w:type="dxa"/>
            <w:vAlign w:val="bottom"/>
          </w:tcPr>
          <w:p>
            <w:pPr>
              <w:spacing w:after="0"/>
              <w:rPr>
                <w:sz w:val="15"/>
                <w:szCs w:val="15"/>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January 29, 2022</w:t>
            </w:r>
          </w:p>
        </w:tc>
      </w:tr>
      <w:tr>
        <w:trPr>
          <w:trHeight w:val="185"/>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(Fiscal 2022)</w:t>
            </w:r>
          </w:p>
        </w:tc>
        <w:tc>
          <w:tcPr>
            <w:tcW w:w="200" w:type="dxa"/>
            <w:vAlign w:val="bottom"/>
          </w:tcPr>
          <w:p>
            <w:pPr>
              <w:spacing w:after="0"/>
              <w:rPr>
                <w:sz w:val="16"/>
                <w:szCs w:val="16"/>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2021)</w:t>
            </w:r>
          </w:p>
        </w:tc>
      </w:tr>
      <w:tr>
        <w:trPr>
          <w:trHeight w:val="169"/>
        </w:trPr>
        <w:tc>
          <w:tcPr>
            <w:tcW w:w="77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106,816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139,824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105,995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125,903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127,812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340,537</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35,102</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 current</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36,711</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97,511</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95,458</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120,414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115,582</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2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7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$0.01 par value, 125,000,000 shares authorized, 78,057,366 and 77,025,419 shares</w:t>
            </w: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at October 29, 2022 and January 29, 2022, respectively</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319,511</w:t>
            </w:r>
          </w:p>
        </w:tc>
        <w:tc>
          <w:tcPr>
            <w:tcW w:w="100" w:type="dxa"/>
            <w:vAlign w:val="bottom"/>
          </w:tcPr>
          <w:p>
            <w:pPr>
              <w:spacing w:after="0"/>
              <w:rPr>
                <w:sz w:val="18"/>
                <w:szCs w:val="18"/>
                <w:color w:val="auto"/>
              </w:rPr>
            </w:pPr>
          </w:p>
        </w:tc>
      </w:tr>
      <w:tr>
        <w:trPr>
          <w:trHeight w:val="171"/>
        </w:trPr>
        <w:tc>
          <w:tcPr>
            <w:tcW w:w="77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Treasury stock at cost, 15,625,172 shares and 12,755,873 shares at October 29, 2022 and January 29,</w:t>
            </w: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2022, respectively</w:t>
            </w:r>
          </w:p>
        </w:tc>
        <w:tc>
          <w:tcPr>
            <w:tcW w:w="20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(105,386 )</w:t>
            </w: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(92,658 )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(83,076 )</w:t>
            </w: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(163,879 )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(5,332 )</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(5,525 )</w:t>
            </w:r>
          </w:p>
        </w:tc>
      </w:tr>
      <w:tr>
        <w:trPr>
          <w:trHeight w:val="210"/>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127,444</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100" w:type="dxa"/>
            <w:vAlign w:val="bottom"/>
            <w:tcBorders>
              <w:top w:val="single" w:sz="8" w:color="CFF0FC"/>
            </w:tcBorders>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340,537</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-3634105</wp:posOffset>
            </wp:positionV>
            <wp:extent cx="123444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-2785110</wp:posOffset>
            </wp:positionV>
            <wp:extent cx="6858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-1936750</wp:posOffset>
            </wp:positionV>
            <wp:extent cx="6858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ind w:left="432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jc w:val="center"/>
        <w:ind w:right="40"/>
        <w:spacing w:after="0" w:line="234" w:lineRule="auto"/>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40" w:type="dxa"/>
            <w:vAlign w:val="bottom"/>
          </w:tcPr>
          <w:p>
            <w:pPr>
              <w:spacing w:after="0"/>
              <w:rPr>
                <w:sz w:val="15"/>
                <w:szCs w:val="15"/>
                <w:color w:val="auto"/>
              </w:rPr>
            </w:pPr>
          </w:p>
        </w:tc>
        <w:tc>
          <w:tcPr>
            <w:tcW w:w="29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6"/>
        </w:trPr>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color w:val="auto"/>
              </w:rPr>
              <w:t>October 29, 2022</w:t>
            </w:r>
          </w:p>
        </w:tc>
        <w:tc>
          <w:tcPr>
            <w:tcW w:w="140" w:type="dxa"/>
            <w:vAlign w:val="bottom"/>
          </w:tcPr>
          <w:p>
            <w:pPr>
              <w:spacing w:after="0"/>
              <w:rPr>
                <w:sz w:val="15"/>
                <w:szCs w:val="15"/>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October 30, 2021</w:t>
            </w:r>
          </w:p>
        </w:tc>
        <w:tc>
          <w:tcPr>
            <w:tcW w:w="140" w:type="dxa"/>
            <w:vAlign w:val="bottom"/>
          </w:tcPr>
          <w:p>
            <w:pPr>
              <w:spacing w:after="0"/>
              <w:rPr>
                <w:sz w:val="15"/>
                <w:szCs w:val="15"/>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October 29, 2022</w:t>
            </w:r>
          </w:p>
        </w:tc>
        <w:tc>
          <w:tcPr>
            <w:tcW w:w="160" w:type="dxa"/>
            <w:vAlign w:val="bottom"/>
          </w:tcPr>
          <w:p>
            <w:pPr>
              <w:spacing w:after="0"/>
              <w:rPr>
                <w:sz w:val="15"/>
                <w:szCs w:val="15"/>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October 30, 2021</w:t>
            </w:r>
          </w:p>
        </w:tc>
      </w:tr>
      <w:tr>
        <w:trPr>
          <w:trHeight w:val="185"/>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color w:val="auto"/>
              </w:rPr>
              <w:t>(Fiscal 2022)</w:t>
            </w:r>
          </w:p>
        </w:tc>
        <w:tc>
          <w:tcPr>
            <w:tcW w:w="140" w:type="dxa"/>
            <w:vAlign w:val="bottom"/>
          </w:tcPr>
          <w:p>
            <w:pPr>
              <w:spacing w:after="0"/>
              <w:rPr>
                <w:sz w:val="16"/>
                <w:szCs w:val="16"/>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(Fiscal 2021)</w:t>
            </w:r>
          </w:p>
        </w:tc>
        <w:tc>
          <w:tcPr>
            <w:tcW w:w="140" w:type="dxa"/>
            <w:vAlign w:val="bottom"/>
          </w:tcPr>
          <w:p>
            <w:pPr>
              <w:spacing w:after="0"/>
              <w:rPr>
                <w:sz w:val="16"/>
                <w:szCs w:val="16"/>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(Fiscal 2022)</w:t>
            </w:r>
          </w:p>
        </w:tc>
        <w:tc>
          <w:tcPr>
            <w:tcW w:w="160" w:type="dxa"/>
            <w:vAlign w:val="bottom"/>
          </w:tcPr>
          <w:p>
            <w:pPr>
              <w:spacing w:after="0"/>
              <w:rPr>
                <w:sz w:val="16"/>
                <w:szCs w:val="16"/>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(Fiscal 2021)</w:t>
            </w:r>
          </w:p>
        </w:tc>
      </w:tr>
      <w:tr>
        <w:trPr>
          <w:trHeight w:val="169"/>
        </w:trPr>
        <w:tc>
          <w:tcPr>
            <w:tcW w:w="49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129,671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121,486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401,960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371,570</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197,960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188,178</w:t>
            </w:r>
          </w:p>
        </w:tc>
        <w:tc>
          <w:tcPr>
            <w:tcW w:w="100" w:type="dxa"/>
            <w:vAlign w:val="bottom"/>
          </w:tcPr>
          <w:p>
            <w:pPr>
              <w:spacing w:after="0"/>
              <w:rPr>
                <w:sz w:val="18"/>
                <w:szCs w:val="18"/>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64,815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60,957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204,000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183,392</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120,856</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(gain) of assets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(1,086 )</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(2,103 )</w:t>
            </w:r>
          </w:p>
        </w:tc>
      </w:tr>
      <w:tr>
        <w:trPr>
          <w:trHeight w:val="216"/>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100" w:type="dxa"/>
            <w:vAlign w:val="bottom"/>
          </w:tcPr>
          <w:p>
            <w:pPr>
              <w:spacing w:after="0"/>
              <w:rPr>
                <w:sz w:val="18"/>
                <w:szCs w:val="18"/>
                <w:color w:val="auto"/>
              </w:rPr>
            </w:pPr>
          </w:p>
        </w:tc>
      </w:tr>
      <w:tr>
        <w:trPr>
          <w:trHeight w:val="209"/>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52,152</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45,018</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155,791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48,209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51,608</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(107 )</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(2,189 )</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(4,256 )</w:t>
            </w:r>
          </w:p>
        </w:tc>
      </w:tr>
      <w:tr>
        <w:trPr>
          <w:trHeight w:val="210"/>
        </w:trPr>
        <w:tc>
          <w:tcPr>
            <w:tcW w:w="49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(benefit) for income taxes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47,352</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(32,944 )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8"/>
                <w:szCs w:val="18"/>
                <w:color w:val="auto"/>
              </w:rPr>
            </w:pPr>
          </w:p>
        </w:tc>
      </w:tr>
      <w:tr>
        <w:trPr>
          <w:trHeight w:val="209"/>
        </w:trPr>
        <w:tc>
          <w:tcPr>
            <w:tcW w:w="49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80,803</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4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63,126</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66,229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68,644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67,378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-2519680</wp:posOffset>
            </wp:positionV>
            <wp:extent cx="7683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-2519680</wp:posOffset>
            </wp:positionV>
            <wp:extent cx="6858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-2519680</wp:posOffset>
            </wp:positionV>
            <wp:extent cx="6858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-1962150</wp:posOffset>
            </wp:positionV>
            <wp:extent cx="7683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-1962150</wp:posOffset>
            </wp:positionV>
            <wp:extent cx="6858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-1962150</wp:posOffset>
            </wp:positionV>
            <wp:extent cx="6858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-1122045</wp:posOffset>
            </wp:positionV>
            <wp:extent cx="311150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00" cy="16256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432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jc w:val="center"/>
        <w:ind w:right="40"/>
        <w:spacing w:after="0" w:line="234" w:lineRule="auto"/>
        <w:rPr>
          <w:sz w:val="20"/>
          <w:szCs w:val="20"/>
          <w:color w:val="auto"/>
        </w:rPr>
      </w:pPr>
      <w:r>
        <w:rPr>
          <w:rFonts w:ascii="Times New Roman" w:cs="Times New Roman" w:eastAsia="Times New Roman" w:hAnsi="Times New Roman"/>
          <w:sz w:val="18"/>
          <w:szCs w:val="18"/>
          <w:i w:val="1"/>
          <w:i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6"/>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October 29, 2022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October 30, 2021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October 29, 2022</w:t>
            </w:r>
          </w:p>
        </w:tc>
        <w:tc>
          <w:tcPr>
            <w:tcW w:w="100" w:type="dxa"/>
            <w:vAlign w:val="bottom"/>
          </w:tcPr>
          <w:p>
            <w:pPr>
              <w:spacing w:after="0"/>
              <w:rPr>
                <w:sz w:val="15"/>
                <w:szCs w:val="15"/>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October 30, 2021</w:t>
            </w:r>
          </w:p>
        </w:tc>
      </w:tr>
      <w:tr>
        <w:trPr>
          <w:trHeight w:val="185"/>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(Fiscal 2022)</w:t>
            </w:r>
          </w:p>
        </w:tc>
        <w:tc>
          <w:tcPr>
            <w:tcW w:w="140" w:type="dxa"/>
            <w:vAlign w:val="bottom"/>
          </w:tcPr>
          <w:p>
            <w:pPr>
              <w:spacing w:after="0"/>
              <w:rPr>
                <w:sz w:val="16"/>
                <w:szCs w:val="16"/>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(Fiscal 2021)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(Fiscal 2022)</w:t>
            </w:r>
          </w:p>
        </w:tc>
        <w:tc>
          <w:tcPr>
            <w:tcW w:w="100" w:type="dxa"/>
            <w:vAlign w:val="bottom"/>
          </w:tcPr>
          <w:p>
            <w:pPr>
              <w:spacing w:after="0"/>
              <w:rPr>
                <w:sz w:val="16"/>
                <w:szCs w:val="16"/>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(Fiscal 2021)</w:t>
            </w:r>
          </w:p>
        </w:tc>
      </w:tr>
      <w:tr>
        <w:trPr>
          <w:trHeight w:val="210"/>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80,803</w:t>
            </w: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46,804</w:t>
            </w:r>
          </w:p>
        </w:tc>
        <w:tc>
          <w:tcPr>
            <w:tcW w:w="24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Pension plans</w:t>
            </w: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Borders>
              <w:bottom w:val="single" w:sz="8" w:color="CFF0FC"/>
            </w:tcBorders>
            <w:shd w:val="clear" w:color="auto" w:fill="CFF0FC"/>
          </w:tcPr>
          <w:p>
            <w:pPr>
              <w:spacing w:after="0"/>
              <w:rPr>
                <w:sz w:val="18"/>
                <w:szCs w:val="18"/>
                <w:color w:val="auto"/>
              </w:rPr>
            </w:pPr>
          </w:p>
        </w:tc>
      </w:tr>
      <w:tr>
        <w:trPr>
          <w:trHeight w:val="209"/>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8"/>
                <w:szCs w:val="18"/>
                <w:color w:val="auto"/>
              </w:rPr>
            </w:pPr>
          </w:p>
        </w:tc>
      </w:tr>
      <w:tr>
        <w:trPr>
          <w:trHeight w:val="21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provision related to items of other comprehensive income</w:t>
            </w: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Borders>
              <w:top w:val="single" w:sz="8" w:color="CFF0FC"/>
            </w:tcBorders>
          </w:tcPr>
          <w:p>
            <w:pPr>
              <w:spacing w:after="0"/>
              <w:rPr>
                <w:sz w:val="18"/>
                <w:szCs w:val="18"/>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13,735</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80,996</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46,997</w:t>
            </w:r>
          </w:p>
        </w:tc>
        <w:tc>
          <w:tcPr>
            <w:tcW w:w="2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-599440</wp:posOffset>
            </wp:positionV>
            <wp:extent cx="7683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-599440</wp:posOffset>
            </wp:positionV>
            <wp:extent cx="7683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-599440</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-599440</wp:posOffset>
            </wp:positionV>
            <wp:extent cx="685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-316230</wp:posOffset>
            </wp:positionV>
            <wp:extent cx="7683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-316230</wp:posOffset>
            </wp:positionV>
            <wp:extent cx="7683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-316230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-316230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39"/>
              <w:spacing w:after="0"/>
              <w:rPr>
                <w:sz w:val="20"/>
                <w:szCs w:val="20"/>
                <w:color w:val="auto"/>
              </w:rPr>
            </w:pPr>
            <w:r>
              <w:rPr>
                <w:rFonts w:ascii="Times New Roman" w:cs="Times New Roman" w:eastAsia="Times New Roman" w:hAnsi="Times New Roman"/>
                <w:sz w:val="13"/>
                <w:szCs w:val="13"/>
                <w:color w:val="auto"/>
                <w:w w:val="98"/>
              </w:rPr>
              <w:t>Accumulated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w w:val="93"/>
              </w:rPr>
              <w:t>Additional</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39"/>
              <w:spacing w:after="0"/>
              <w:rPr>
                <w:sz w:val="20"/>
                <w:szCs w:val="20"/>
                <w:color w:val="auto"/>
              </w:rPr>
            </w:pPr>
            <w:r>
              <w:rPr>
                <w:rFonts w:ascii="Times New Roman" w:cs="Times New Roman" w:eastAsia="Times New Roman" w:hAnsi="Times New Roman"/>
                <w:sz w:val="13"/>
                <w:szCs w:val="13"/>
                <w:color w:val="auto"/>
                <w:w w:val="94"/>
              </w:rPr>
              <w:t>Other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Paid-in</w:t>
            </w:r>
          </w:p>
        </w:tc>
        <w:tc>
          <w:tcPr>
            <w:tcW w:w="1900" w:type="dxa"/>
            <w:vAlign w:val="bottom"/>
            <w:gridSpan w:val="5"/>
          </w:tcPr>
          <w:p>
            <w:pPr>
              <w:jc w:val="right"/>
              <w:ind w:right="599"/>
              <w:spacing w:after="0"/>
              <w:rPr>
                <w:sz w:val="20"/>
                <w:szCs w:val="20"/>
                <w:color w:val="auto"/>
              </w:rPr>
            </w:pPr>
            <w:r>
              <w:rPr>
                <w:rFonts w:ascii="Times New Roman" w:cs="Times New Roman" w:eastAsia="Times New Roman" w:hAnsi="Times New Roman"/>
                <w:sz w:val="13"/>
                <w:szCs w:val="13"/>
                <w:color w:val="auto"/>
              </w:rPr>
              <w:t>Treasury Stock</w:t>
            </w:r>
          </w:p>
        </w:tc>
        <w:tc>
          <w:tcPr>
            <w:tcW w:w="1000" w:type="dxa"/>
            <w:vAlign w:val="bottom"/>
            <w:gridSpan w:val="3"/>
          </w:tcPr>
          <w:p>
            <w:pPr>
              <w:jc w:val="right"/>
              <w:ind w:right="199"/>
              <w:spacing w:after="0"/>
              <w:rPr>
                <w:sz w:val="20"/>
                <w:szCs w:val="20"/>
                <w:color w:val="auto"/>
              </w:rPr>
            </w:pPr>
            <w:r>
              <w:rPr>
                <w:rFonts w:ascii="Times New Roman" w:cs="Times New Roman" w:eastAsia="Times New Roman" w:hAnsi="Times New Roman"/>
                <w:sz w:val="13"/>
                <w:szCs w:val="13"/>
                <w:color w:val="auto"/>
              </w:rPr>
              <w:t>Accumulated</w:t>
            </w:r>
          </w:p>
        </w:tc>
        <w:tc>
          <w:tcPr>
            <w:tcW w:w="100" w:type="dxa"/>
            <w:vAlign w:val="bottom"/>
          </w:tcPr>
          <w:p>
            <w:pPr>
              <w:spacing w:after="0"/>
              <w:rPr>
                <w:sz w:val="14"/>
                <w:szCs w:val="14"/>
                <w:color w:val="auto"/>
              </w:rPr>
            </w:pPr>
          </w:p>
        </w:tc>
        <w:tc>
          <w:tcPr>
            <w:tcW w:w="1120" w:type="dxa"/>
            <w:vAlign w:val="bottom"/>
            <w:gridSpan w:val="2"/>
          </w:tcPr>
          <w:p>
            <w:pPr>
              <w:jc w:val="center"/>
              <w:ind w:right="239"/>
              <w:spacing w:after="0"/>
              <w:rPr>
                <w:sz w:val="20"/>
                <w:szCs w:val="20"/>
                <w:color w:val="auto"/>
              </w:rPr>
            </w:pPr>
            <w:r>
              <w:rPr>
                <w:rFonts w:ascii="Times New Roman" w:cs="Times New Roman" w:eastAsia="Times New Roman" w:hAnsi="Times New Roman"/>
                <w:sz w:val="13"/>
                <w:szCs w:val="13"/>
                <w:color w:val="auto"/>
                <w:w w:val="97"/>
              </w:rPr>
              <w:t>Comprehensive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40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w w:val="96"/>
              </w:rPr>
              <w:t>Amounts</w:t>
            </w:r>
          </w:p>
        </w:tc>
        <w:tc>
          <w:tcPr>
            <w:tcW w:w="10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Capital</w:t>
            </w:r>
          </w:p>
        </w:tc>
        <w:tc>
          <w:tcPr>
            <w:tcW w:w="880" w:type="dxa"/>
            <w:vAlign w:val="bottom"/>
            <w:gridSpan w:val="2"/>
          </w:tcPr>
          <w:p>
            <w:pPr>
              <w:jc w:val="right"/>
              <w:ind w:right="299"/>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Pr>
          <w:p>
            <w:pPr>
              <w:spacing w:after="0"/>
              <w:rPr>
                <w:sz w:val="15"/>
                <w:szCs w:val="15"/>
                <w:color w:val="auto"/>
              </w:rPr>
            </w:pPr>
          </w:p>
        </w:tc>
        <w:tc>
          <w:tcPr>
            <w:tcW w:w="880" w:type="dxa"/>
            <w:vAlign w:val="bottom"/>
            <w:gridSpan w:val="2"/>
          </w:tcPr>
          <w:p>
            <w:pPr>
              <w:jc w:val="right"/>
              <w:ind w:right="299"/>
              <w:spacing w:after="0"/>
              <w:rPr>
                <w:sz w:val="20"/>
                <w:szCs w:val="20"/>
                <w:color w:val="auto"/>
              </w:rPr>
            </w:pPr>
            <w:r>
              <w:rPr>
                <w:rFonts w:ascii="Times New Roman" w:cs="Times New Roman" w:eastAsia="Times New Roman" w:hAnsi="Times New Roman"/>
                <w:sz w:val="13"/>
                <w:szCs w:val="13"/>
                <w:color w:val="auto"/>
              </w:rPr>
              <w:t>Amounts</w:t>
            </w:r>
          </w:p>
        </w:tc>
        <w:tc>
          <w:tcPr>
            <w:tcW w:w="140" w:type="dxa"/>
            <w:vAlign w:val="bottom"/>
          </w:tcPr>
          <w:p>
            <w:pPr>
              <w:spacing w:after="0"/>
              <w:rPr>
                <w:sz w:val="15"/>
                <w:szCs w:val="15"/>
                <w:color w:val="auto"/>
              </w:rPr>
            </w:pPr>
          </w:p>
        </w:tc>
        <w:tc>
          <w:tcPr>
            <w:tcW w:w="860" w:type="dxa"/>
            <w:vAlign w:val="bottom"/>
            <w:gridSpan w:val="2"/>
          </w:tcPr>
          <w:p>
            <w:pPr>
              <w:jc w:val="right"/>
              <w:ind w:right="359"/>
              <w:spacing w:after="0"/>
              <w:rPr>
                <w:sz w:val="20"/>
                <w:szCs w:val="20"/>
                <w:color w:val="auto"/>
              </w:rPr>
            </w:pPr>
            <w:r>
              <w:rPr>
                <w:rFonts w:ascii="Times New Roman" w:cs="Times New Roman" w:eastAsia="Times New Roman" w:hAnsi="Times New Roman"/>
                <w:sz w:val="13"/>
                <w:szCs w:val="13"/>
                <w:color w:val="auto"/>
              </w:rPr>
              <w:t>Deficit</w:t>
            </w:r>
          </w:p>
        </w:tc>
        <w:tc>
          <w:tcPr>
            <w:tcW w:w="100" w:type="dxa"/>
            <w:vAlign w:val="bottom"/>
          </w:tcPr>
          <w:p>
            <w:pPr>
              <w:spacing w:after="0"/>
              <w:rPr>
                <w:sz w:val="15"/>
                <w:szCs w:val="15"/>
                <w:color w:val="auto"/>
              </w:rPr>
            </w:pPr>
          </w:p>
        </w:tc>
        <w:tc>
          <w:tcPr>
            <w:tcW w:w="1120" w:type="dxa"/>
            <w:vAlign w:val="bottom"/>
            <w:gridSpan w:val="2"/>
          </w:tcPr>
          <w:p>
            <w:pPr>
              <w:jc w:val="center"/>
              <w:ind w:right="239"/>
              <w:spacing w:after="0"/>
              <w:rPr>
                <w:sz w:val="20"/>
                <w:szCs w:val="20"/>
                <w:color w:val="auto"/>
              </w:rPr>
            </w:pPr>
            <w:r>
              <w:rPr>
                <w:rFonts w:ascii="Times New Roman" w:cs="Times New Roman" w:eastAsia="Times New Roman" w:hAnsi="Times New Roman"/>
                <w:sz w:val="13"/>
                <w:szCs w:val="13"/>
                <w:color w:val="auto"/>
                <w:w w:val="97"/>
              </w:rPr>
              <w:t>Loss</w:t>
            </w:r>
          </w:p>
        </w:tc>
        <w:tc>
          <w:tcPr>
            <w:tcW w:w="180" w:type="dxa"/>
            <w:vAlign w:val="bottom"/>
          </w:tcPr>
          <w:p>
            <w:pPr>
              <w:spacing w:after="0"/>
              <w:rPr>
                <w:sz w:val="15"/>
                <w:szCs w:val="15"/>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January 29, 2022</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77,025</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319,511</w:t>
            </w:r>
          </w:p>
        </w:tc>
        <w:tc>
          <w:tcPr>
            <w:tcW w:w="22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(12,755</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(92,658</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(163,879</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Restricted stock units (RSUs) granted for</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achievement of performance-based</w:t>
            </w: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reclassified from liability to equity</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Shares withheld for taxes related to net share</w:t>
            </w:r>
          </w:p>
        </w:tc>
        <w:tc>
          <w:tcPr>
            <w:tcW w:w="9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(414 )</w:t>
            </w: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(415 )</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94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(946 )</w:t>
            </w: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(4,847 )</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(4,847 )</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plan, net of taxes</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net of taxes</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13,388</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April 30,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320,745</w:t>
            </w:r>
          </w:p>
        </w:tc>
        <w:tc>
          <w:tcPr>
            <w:tcW w:w="22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(13,702 )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(97,505 )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(150,491 )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(5,462 )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340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Shares withheld for taxes related to net share</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(6 )</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(1,923 )</w:t>
            </w:r>
          </w:p>
        </w:tc>
        <w:tc>
          <w:tcPr>
            <w:tcW w:w="14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(7,881 )</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(7,881 )</w:t>
            </w: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Pension plan, net of taxes</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currency, net of taxes</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(3 )</w:t>
            </w: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56,942</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July 30, 2022</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77,360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321,253</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(15,625</w:t>
            </w:r>
          </w:p>
        </w:tc>
        <w:tc>
          <w:tcPr>
            <w:tcW w:w="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(105,386</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(93,549</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(5,397</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Shares withheld for taxes related to net share</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(305 )</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(1,421 )</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(1,424 )</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Pension plan, net of taxes</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currency, net of taxes</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(3 )</w:t>
            </w: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October 29, 2022</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78,057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320,457</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(15,625 )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(105,386 )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(83,076 )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(5,332 )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-3076575</wp:posOffset>
            </wp:positionV>
            <wp:extent cx="7683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-3076575</wp:posOffset>
            </wp:positionV>
            <wp:extent cx="7747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-3076575</wp:posOffset>
            </wp:positionV>
            <wp:extent cx="6858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-3076575</wp:posOffset>
            </wp:positionV>
            <wp:extent cx="6858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-3076575</wp:posOffset>
            </wp:positionV>
            <wp:extent cx="6858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-3076575</wp:posOffset>
            </wp:positionV>
            <wp:extent cx="6858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-3076575</wp:posOffset>
            </wp:positionV>
            <wp:extent cx="6858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-25400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-8255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-25400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-8255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(DEFICIT)</w:t>
      </w:r>
    </w:p>
    <w:p>
      <w:pPr>
        <w:ind w:left="5080"/>
        <w:spacing w:after="0" w:line="234" w:lineRule="auto"/>
        <w:rPr>
          <w:sz w:val="20"/>
          <w:szCs w:val="20"/>
          <w:color w:val="auto"/>
        </w:rPr>
      </w:pPr>
      <w:r>
        <w:rPr>
          <w:rFonts w:ascii="Times New Roman" w:cs="Times New Roman" w:eastAsia="Times New Roman" w:hAnsi="Times New Roman"/>
          <w:sz w:val="18"/>
          <w:szCs w:val="18"/>
          <w:i w:val="1"/>
          <w:iCs w:val="1"/>
          <w:color w:val="auto"/>
        </w:rPr>
        <w:t>(In thousands)</w:t>
      </w:r>
    </w:p>
    <w:p>
      <w:pPr>
        <w:spacing w:after="0" w:line="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39"/>
              <w:spacing w:after="0"/>
              <w:rPr>
                <w:sz w:val="20"/>
                <w:szCs w:val="20"/>
                <w:color w:val="auto"/>
              </w:rPr>
            </w:pPr>
            <w:r>
              <w:rPr>
                <w:rFonts w:ascii="Times New Roman" w:cs="Times New Roman" w:eastAsia="Times New Roman" w:hAnsi="Times New Roman"/>
                <w:sz w:val="13"/>
                <w:szCs w:val="13"/>
                <w:color w:val="auto"/>
                <w:w w:val="98"/>
              </w:rPr>
              <w:t>Accumulated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w w:val="93"/>
              </w:rPr>
              <w:t>Additional</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39"/>
              <w:spacing w:after="0"/>
              <w:rPr>
                <w:sz w:val="20"/>
                <w:szCs w:val="20"/>
                <w:color w:val="auto"/>
              </w:rPr>
            </w:pPr>
            <w:r>
              <w:rPr>
                <w:rFonts w:ascii="Times New Roman" w:cs="Times New Roman" w:eastAsia="Times New Roman" w:hAnsi="Times New Roman"/>
                <w:sz w:val="13"/>
                <w:szCs w:val="13"/>
                <w:color w:val="auto"/>
                <w:w w:val="94"/>
              </w:rPr>
              <w:t>Other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Paid-in</w:t>
            </w:r>
          </w:p>
        </w:tc>
        <w:tc>
          <w:tcPr>
            <w:tcW w:w="1900" w:type="dxa"/>
            <w:vAlign w:val="bottom"/>
            <w:gridSpan w:val="5"/>
          </w:tcPr>
          <w:p>
            <w:pPr>
              <w:jc w:val="right"/>
              <w:ind w:right="599"/>
              <w:spacing w:after="0"/>
              <w:rPr>
                <w:sz w:val="20"/>
                <w:szCs w:val="20"/>
                <w:color w:val="auto"/>
              </w:rPr>
            </w:pPr>
            <w:r>
              <w:rPr>
                <w:rFonts w:ascii="Times New Roman" w:cs="Times New Roman" w:eastAsia="Times New Roman" w:hAnsi="Times New Roman"/>
                <w:sz w:val="13"/>
                <w:szCs w:val="13"/>
                <w:color w:val="auto"/>
              </w:rPr>
              <w:t>Treasury Stock</w:t>
            </w:r>
          </w:p>
        </w:tc>
        <w:tc>
          <w:tcPr>
            <w:tcW w:w="1000" w:type="dxa"/>
            <w:vAlign w:val="bottom"/>
            <w:gridSpan w:val="3"/>
          </w:tcPr>
          <w:p>
            <w:pPr>
              <w:jc w:val="right"/>
              <w:ind w:right="199"/>
              <w:spacing w:after="0"/>
              <w:rPr>
                <w:sz w:val="20"/>
                <w:szCs w:val="20"/>
                <w:color w:val="auto"/>
              </w:rPr>
            </w:pPr>
            <w:r>
              <w:rPr>
                <w:rFonts w:ascii="Times New Roman" w:cs="Times New Roman" w:eastAsia="Times New Roman" w:hAnsi="Times New Roman"/>
                <w:sz w:val="13"/>
                <w:szCs w:val="13"/>
                <w:color w:val="auto"/>
              </w:rPr>
              <w:t>Accumulated</w:t>
            </w:r>
          </w:p>
        </w:tc>
        <w:tc>
          <w:tcPr>
            <w:tcW w:w="100" w:type="dxa"/>
            <w:vAlign w:val="bottom"/>
          </w:tcPr>
          <w:p>
            <w:pPr>
              <w:spacing w:after="0"/>
              <w:rPr>
                <w:sz w:val="14"/>
                <w:szCs w:val="14"/>
                <w:color w:val="auto"/>
              </w:rPr>
            </w:pPr>
          </w:p>
        </w:tc>
        <w:tc>
          <w:tcPr>
            <w:tcW w:w="1120" w:type="dxa"/>
            <w:vAlign w:val="bottom"/>
            <w:gridSpan w:val="2"/>
          </w:tcPr>
          <w:p>
            <w:pPr>
              <w:jc w:val="center"/>
              <w:ind w:right="239"/>
              <w:spacing w:after="0"/>
              <w:rPr>
                <w:sz w:val="20"/>
                <w:szCs w:val="20"/>
                <w:color w:val="auto"/>
              </w:rPr>
            </w:pPr>
            <w:r>
              <w:rPr>
                <w:rFonts w:ascii="Times New Roman" w:cs="Times New Roman" w:eastAsia="Times New Roman" w:hAnsi="Times New Roman"/>
                <w:sz w:val="13"/>
                <w:szCs w:val="13"/>
                <w:color w:val="auto"/>
                <w:w w:val="97"/>
              </w:rPr>
              <w:t>Comprehensive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40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w w:val="96"/>
              </w:rPr>
              <w:t>Amounts</w:t>
            </w:r>
          </w:p>
        </w:tc>
        <w:tc>
          <w:tcPr>
            <w:tcW w:w="10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Capital</w:t>
            </w:r>
          </w:p>
        </w:tc>
        <w:tc>
          <w:tcPr>
            <w:tcW w:w="880" w:type="dxa"/>
            <w:vAlign w:val="bottom"/>
            <w:gridSpan w:val="2"/>
          </w:tcPr>
          <w:p>
            <w:pPr>
              <w:jc w:val="right"/>
              <w:ind w:right="299"/>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Pr>
          <w:p>
            <w:pPr>
              <w:spacing w:after="0"/>
              <w:rPr>
                <w:sz w:val="15"/>
                <w:szCs w:val="15"/>
                <w:color w:val="auto"/>
              </w:rPr>
            </w:pPr>
          </w:p>
        </w:tc>
        <w:tc>
          <w:tcPr>
            <w:tcW w:w="880" w:type="dxa"/>
            <w:vAlign w:val="bottom"/>
            <w:gridSpan w:val="2"/>
          </w:tcPr>
          <w:p>
            <w:pPr>
              <w:jc w:val="right"/>
              <w:ind w:right="299"/>
              <w:spacing w:after="0"/>
              <w:rPr>
                <w:sz w:val="20"/>
                <w:szCs w:val="20"/>
                <w:color w:val="auto"/>
              </w:rPr>
            </w:pPr>
            <w:r>
              <w:rPr>
                <w:rFonts w:ascii="Times New Roman" w:cs="Times New Roman" w:eastAsia="Times New Roman" w:hAnsi="Times New Roman"/>
                <w:sz w:val="13"/>
                <w:szCs w:val="13"/>
                <w:color w:val="auto"/>
              </w:rPr>
              <w:t>Amounts</w:t>
            </w:r>
          </w:p>
        </w:tc>
        <w:tc>
          <w:tcPr>
            <w:tcW w:w="140" w:type="dxa"/>
            <w:vAlign w:val="bottom"/>
          </w:tcPr>
          <w:p>
            <w:pPr>
              <w:spacing w:after="0"/>
              <w:rPr>
                <w:sz w:val="15"/>
                <w:szCs w:val="15"/>
                <w:color w:val="auto"/>
              </w:rPr>
            </w:pPr>
          </w:p>
        </w:tc>
        <w:tc>
          <w:tcPr>
            <w:tcW w:w="860" w:type="dxa"/>
            <w:vAlign w:val="bottom"/>
            <w:gridSpan w:val="2"/>
          </w:tcPr>
          <w:p>
            <w:pPr>
              <w:jc w:val="right"/>
              <w:ind w:right="359"/>
              <w:spacing w:after="0"/>
              <w:rPr>
                <w:sz w:val="20"/>
                <w:szCs w:val="20"/>
                <w:color w:val="auto"/>
              </w:rPr>
            </w:pPr>
            <w:r>
              <w:rPr>
                <w:rFonts w:ascii="Times New Roman" w:cs="Times New Roman" w:eastAsia="Times New Roman" w:hAnsi="Times New Roman"/>
                <w:sz w:val="13"/>
                <w:szCs w:val="13"/>
                <w:color w:val="auto"/>
              </w:rPr>
              <w:t>Deficit</w:t>
            </w:r>
          </w:p>
        </w:tc>
        <w:tc>
          <w:tcPr>
            <w:tcW w:w="100" w:type="dxa"/>
            <w:vAlign w:val="bottom"/>
          </w:tcPr>
          <w:p>
            <w:pPr>
              <w:spacing w:after="0"/>
              <w:rPr>
                <w:sz w:val="15"/>
                <w:szCs w:val="15"/>
                <w:color w:val="auto"/>
              </w:rPr>
            </w:pPr>
          </w:p>
        </w:tc>
        <w:tc>
          <w:tcPr>
            <w:tcW w:w="1120" w:type="dxa"/>
            <w:vAlign w:val="bottom"/>
            <w:gridSpan w:val="2"/>
          </w:tcPr>
          <w:p>
            <w:pPr>
              <w:jc w:val="center"/>
              <w:ind w:right="239"/>
              <w:spacing w:after="0"/>
              <w:rPr>
                <w:sz w:val="20"/>
                <w:szCs w:val="20"/>
                <w:color w:val="auto"/>
              </w:rPr>
            </w:pPr>
            <w:r>
              <w:rPr>
                <w:rFonts w:ascii="Times New Roman" w:cs="Times New Roman" w:eastAsia="Times New Roman" w:hAnsi="Times New Roman"/>
                <w:sz w:val="13"/>
                <w:szCs w:val="13"/>
                <w:color w:val="auto"/>
                <w:w w:val="97"/>
              </w:rPr>
              <w:t>Loss</w:t>
            </w:r>
          </w:p>
        </w:tc>
        <w:tc>
          <w:tcPr>
            <w:tcW w:w="180" w:type="dxa"/>
            <w:vAlign w:val="bottom"/>
          </w:tcPr>
          <w:p>
            <w:pPr>
              <w:spacing w:after="0"/>
              <w:rPr>
                <w:sz w:val="15"/>
                <w:szCs w:val="15"/>
                <w:color w:val="auto"/>
              </w:rPr>
            </w:pPr>
          </w:p>
        </w:tc>
        <w:tc>
          <w:tcPr>
            <w:tcW w:w="720" w:type="dxa"/>
            <w:vAlign w:val="bottom"/>
            <w:gridSpan w:val="2"/>
          </w:tcPr>
          <w:p>
            <w:pPr>
              <w:jc w:val="right"/>
              <w:ind w:right="299"/>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January 30, 2021</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64,656</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314,747</w:t>
            </w:r>
          </w:p>
        </w:tc>
        <w:tc>
          <w:tcPr>
            <w:tcW w:w="22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(12,755</w:t>
            </w:r>
          </w:p>
        </w:tc>
        <w:tc>
          <w:tcPr>
            <w:tcW w:w="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(92,658</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(220,592</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49"/>
        </w:trPr>
        <w:tc>
          <w:tcPr>
            <w:tcW w:w="340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stock through private direct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11,111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offering, net of offering costs</w:t>
            </w:r>
          </w:p>
        </w:tc>
        <w:tc>
          <w:tcPr>
            <w:tcW w:w="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plan, net of taxes</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net of taxes</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(25 )</w:t>
            </w: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8,697</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May 1,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76,212</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319,443</w:t>
            </w:r>
          </w:p>
        </w:tc>
        <w:tc>
          <w:tcPr>
            <w:tcW w:w="22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(12,755 )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(92,658 )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(211,895 )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(6,168 )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plan, net of taxes</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net of taxes</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(17 )</w:t>
            </w: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24,451</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24,451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July 31,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76,289</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319,872</w:t>
            </w:r>
          </w:p>
        </w:tc>
        <w:tc>
          <w:tcPr>
            <w:tcW w:w="22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(12,755 )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(92,658 )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(187,444 )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(6,107 )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PSUs release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40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6"/>
                <w:szCs w:val="16"/>
                <w:color w:val="auto"/>
              </w:rPr>
              <w:t>Shares withheld for taxes related to net share</w:t>
            </w:r>
          </w:p>
        </w:tc>
        <w:tc>
          <w:tcPr>
            <w:tcW w:w="9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(190 )</w:t>
            </w:r>
          </w:p>
        </w:tc>
        <w:tc>
          <w:tcPr>
            <w:tcW w:w="10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(1,144 )</w:t>
            </w: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(1,146 )</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94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plan, net of taxes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net of taxes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13,656</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October 30,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76,777</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319,439</w:t>
            </w:r>
          </w:p>
        </w:tc>
        <w:tc>
          <w:tcPr>
            <w:tcW w:w="22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(12,755 )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(92,658 )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(173,788 )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(6,028 )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-2656840</wp:posOffset>
            </wp:positionV>
            <wp:extent cx="7683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-2656840</wp:posOffset>
            </wp:positionV>
            <wp:extent cx="7747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-2656840</wp:posOffset>
            </wp:positionV>
            <wp:extent cx="6858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-2656840</wp:posOffset>
            </wp:positionV>
            <wp:extent cx="6858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-2656840</wp:posOffset>
            </wp:positionV>
            <wp:extent cx="6858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-2656840</wp:posOffset>
            </wp:positionV>
            <wp:extent cx="6858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-2656840</wp:posOffset>
            </wp:positionV>
            <wp:extent cx="6858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-1619250</wp:posOffset>
            </wp:positionV>
            <wp:extent cx="7683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-1619250</wp:posOffset>
            </wp:positionV>
            <wp:extent cx="7747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-1619250</wp:posOffset>
            </wp:positionV>
            <wp:extent cx="6858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-1619250</wp:posOffset>
            </wp:positionV>
            <wp:extent cx="6858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-1619250</wp:posOffset>
            </wp:positionV>
            <wp:extent cx="6858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-1619250</wp:posOffset>
            </wp:positionV>
            <wp:extent cx="6858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-1619250</wp:posOffset>
            </wp:positionV>
            <wp:extent cx="6858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-162560</wp:posOffset>
            </wp:positionV>
            <wp:extent cx="7683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-162560</wp:posOffset>
            </wp:positionV>
            <wp:extent cx="7747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-162560</wp:posOffset>
            </wp:positionV>
            <wp:extent cx="6858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-162560</wp:posOffset>
            </wp:positionV>
            <wp:extent cx="6858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-162560</wp:posOffset>
            </wp:positionV>
            <wp:extent cx="6858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-162560</wp:posOffset>
            </wp:positionV>
            <wp:extent cx="6858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-162560</wp:posOffset>
            </wp:positionV>
            <wp:extent cx="6858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32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jc w:val="center"/>
        <w:ind w:right="40"/>
        <w:spacing w:after="0" w:line="234" w:lineRule="auto"/>
        <w:rPr>
          <w:sz w:val="20"/>
          <w:szCs w:val="20"/>
          <w:color w:val="auto"/>
        </w:rPr>
      </w:pPr>
      <w:r>
        <w:rPr>
          <w:rFonts w:ascii="Times New Roman" w:cs="Times New Roman" w:eastAsia="Times New Roman" w:hAnsi="Times New Roman"/>
          <w:sz w:val="18"/>
          <w:szCs w:val="18"/>
          <w:i w:val="1"/>
          <w:i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40" w:type="dxa"/>
            <w:vAlign w:val="bottom"/>
            <w:gridSpan w:val="5"/>
          </w:tcPr>
          <w:p>
            <w:pPr>
              <w:jc w:val="right"/>
              <w:ind w:right="779"/>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6"/>
        </w:trPr>
        <w:tc>
          <w:tcPr>
            <w:tcW w:w="8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color w:val="auto"/>
              </w:rPr>
              <w:t>October 29, 2022</w:t>
            </w:r>
          </w:p>
        </w:tc>
        <w:tc>
          <w:tcPr>
            <w:tcW w:w="140" w:type="dxa"/>
            <w:vAlign w:val="bottom"/>
          </w:tcPr>
          <w:p>
            <w:pPr>
              <w:spacing w:after="0"/>
              <w:rPr>
                <w:sz w:val="15"/>
                <w:szCs w:val="15"/>
                <w:color w:val="auto"/>
              </w:rPr>
            </w:pPr>
          </w:p>
        </w:tc>
        <w:tc>
          <w:tcPr>
            <w:tcW w:w="13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October 30, 2021</w:t>
            </w:r>
          </w:p>
        </w:tc>
      </w:tr>
      <w:tr>
        <w:trPr>
          <w:trHeight w:val="185"/>
        </w:trPr>
        <w:tc>
          <w:tcPr>
            <w:tcW w:w="8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color w:val="auto"/>
              </w:rPr>
              <w:t>(Fiscal 2022)</w:t>
            </w:r>
          </w:p>
        </w:tc>
        <w:tc>
          <w:tcPr>
            <w:tcW w:w="140" w:type="dxa"/>
            <w:vAlign w:val="bottom"/>
          </w:tcPr>
          <w:p>
            <w:pPr>
              <w:spacing w:after="0"/>
              <w:rPr>
                <w:sz w:val="16"/>
                <w:szCs w:val="16"/>
                <w:color w:val="auto"/>
              </w:rPr>
            </w:pPr>
          </w:p>
        </w:tc>
        <w:tc>
          <w:tcPr>
            <w:tcW w:w="138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color w:val="auto"/>
              </w:rPr>
              <w:t>(Fiscal 2021)</w:t>
            </w:r>
          </w:p>
        </w:tc>
      </w:tr>
      <w:tr>
        <w:trPr>
          <w:trHeight w:val="209"/>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80,803</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46,804</w:t>
            </w: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and write-off of deferred debt issuance costs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Impairment (gain) of assets</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(398 )</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(2,103 )</w:t>
            </w:r>
          </w:p>
        </w:tc>
      </w:tr>
      <w:tr>
        <w:trPr>
          <w:trHeight w:val="203"/>
        </w:trPr>
        <w:tc>
          <w:tcPr>
            <w:tcW w:w="8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13,031</w:t>
            </w: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taxes, net of valuation allowance</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(33,480 )</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Pr>
          <w:p>
            <w:pPr>
              <w:spacing w:after="0"/>
              <w:rPr>
                <w:sz w:val="18"/>
                <w:szCs w:val="18"/>
                <w:color w:val="auto"/>
              </w:rPr>
            </w:pPr>
          </w:p>
        </w:tc>
      </w:tr>
      <w:tr>
        <w:trPr>
          <w:trHeight w:val="205"/>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Board of directors stock compensation</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w:t>
            </w: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(25,052 )</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7"/>
                <w:szCs w:val="17"/>
                <w:color w:val="auto"/>
              </w:rPr>
            </w:pP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(1,892 )</w:t>
            </w:r>
          </w:p>
        </w:tc>
        <w:tc>
          <w:tcPr>
            <w:tcW w:w="1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(3,237 )</w:t>
            </w:r>
          </w:p>
        </w:tc>
      </w:tr>
      <w:tr>
        <w:trPr>
          <w:trHeight w:val="203"/>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(61 )</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leases, net</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(5,590 )</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(12,275 )</w:t>
            </w:r>
          </w:p>
        </w:tc>
      </w:tr>
      <w:tr>
        <w:trPr>
          <w:trHeight w:val="203"/>
        </w:trPr>
        <w:tc>
          <w:tcPr>
            <w:tcW w:w="8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8,945</w:t>
            </w:r>
          </w:p>
        </w:tc>
        <w:tc>
          <w:tcPr>
            <w:tcW w:w="100" w:type="dxa"/>
            <w:vAlign w:val="bottom"/>
          </w:tcPr>
          <w:p>
            <w:pPr>
              <w:spacing w:after="0"/>
              <w:rPr>
                <w:sz w:val="17"/>
                <w:szCs w:val="17"/>
                <w:color w:val="auto"/>
              </w:rPr>
            </w:pPr>
          </w:p>
        </w:tc>
      </w:tr>
      <w:tr>
        <w:trPr>
          <w:trHeight w:val="196"/>
        </w:trPr>
        <w:tc>
          <w:tcPr>
            <w:tcW w:w="8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30,169</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Additions to property and equipment, net</w:t>
            </w:r>
          </w:p>
        </w:tc>
        <w:tc>
          <w:tcPr>
            <w:tcW w:w="160" w:type="dxa"/>
            <w:vAlign w:val="bottom"/>
          </w:tcPr>
          <w:p>
            <w:pPr>
              <w:spacing w:after="0"/>
              <w:rPr>
                <w:sz w:val="17"/>
                <w:szCs w:val="17"/>
                <w:color w:val="auto"/>
              </w:rPr>
            </w:pP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(7,853 )</w:t>
            </w:r>
          </w:p>
        </w:tc>
        <w:tc>
          <w:tcPr>
            <w:tcW w:w="1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(2,802 )</w:t>
            </w:r>
          </w:p>
        </w:tc>
      </w:tr>
      <w:tr>
        <w:trPr>
          <w:trHeight w:val="196"/>
        </w:trPr>
        <w:tc>
          <w:tcPr>
            <w:tcW w:w="8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(7,853</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8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60" w:type="dxa"/>
            <w:vAlign w:val="bottom"/>
          </w:tcPr>
          <w:p>
            <w:pPr>
              <w:spacing w:after="0"/>
              <w:rPr>
                <w:sz w:val="17"/>
                <w:szCs w:val="17"/>
                <w:color w:val="auto"/>
              </w:rPr>
            </w:pP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(12,728 )</w:t>
            </w:r>
          </w:p>
        </w:tc>
        <w:tc>
          <w:tcPr>
            <w:tcW w:w="140" w:type="dxa"/>
            <w:vAlign w:val="bottom"/>
          </w:tcPr>
          <w:p>
            <w:pPr>
              <w:spacing w:after="0"/>
              <w:rPr>
                <w:sz w:val="17"/>
                <w:szCs w:val="17"/>
                <w:color w:val="auto"/>
              </w:rPr>
            </w:pP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issuance of common stock from private direct offering, net of offering costs</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 of FILO loan</w:t>
            </w:r>
          </w:p>
        </w:tc>
        <w:tc>
          <w:tcPr>
            <w:tcW w:w="160" w:type="dxa"/>
            <w:vAlign w:val="bottom"/>
          </w:tcPr>
          <w:p>
            <w:pPr>
              <w:spacing w:after="0"/>
              <w:rPr>
                <w:sz w:val="17"/>
                <w:szCs w:val="17"/>
                <w:color w:val="auto"/>
              </w:rPr>
            </w:pPr>
          </w:p>
        </w:tc>
        <w:tc>
          <w:tcPr>
            <w:tcW w:w="15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(32,500 )</w:t>
            </w:r>
          </w:p>
        </w:tc>
      </w:tr>
      <w:tr>
        <w:trPr>
          <w:trHeight w:val="203"/>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new FILO loan</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repayments under credit facility</w:t>
            </w:r>
          </w:p>
        </w:tc>
        <w:tc>
          <w:tcPr>
            <w:tcW w:w="160" w:type="dxa"/>
            <w:vAlign w:val="bottom"/>
          </w:tcPr>
          <w:p>
            <w:pPr>
              <w:spacing w:after="0"/>
              <w:rPr>
                <w:sz w:val="17"/>
                <w:szCs w:val="17"/>
                <w:color w:val="auto"/>
              </w:rPr>
            </w:pPr>
          </w:p>
        </w:tc>
        <w:tc>
          <w:tcPr>
            <w:tcW w:w="15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(59,733 )</w:t>
            </w:r>
          </w:p>
        </w:tc>
      </w:tr>
      <w:tr>
        <w:trPr>
          <w:trHeight w:val="203"/>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Debt extinguishment costs</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(1,111 )</w:t>
            </w:r>
          </w:p>
        </w:tc>
      </w:tr>
      <w:tr>
        <w:trPr>
          <w:trHeight w:val="203"/>
        </w:trPr>
        <w:tc>
          <w:tcPr>
            <w:tcW w:w="8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Debt issuance costs</w:t>
            </w:r>
          </w:p>
        </w:tc>
        <w:tc>
          <w:tcPr>
            <w:tcW w:w="160" w:type="dxa"/>
            <w:vAlign w:val="bottom"/>
          </w:tcPr>
          <w:p>
            <w:pPr>
              <w:spacing w:after="0"/>
              <w:rPr>
                <w:sz w:val="17"/>
                <w:szCs w:val="17"/>
                <w:color w:val="auto"/>
              </w:rPr>
            </w:pPr>
          </w:p>
        </w:tc>
        <w:tc>
          <w:tcPr>
            <w:tcW w:w="15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(1,143 )</w:t>
            </w:r>
          </w:p>
        </w:tc>
      </w:tr>
      <w:tr>
        <w:trPr>
          <w:trHeight w:val="203"/>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 withholdings paid related to net share settlements</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(1,845 )</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(1,146 )</w:t>
            </w:r>
          </w:p>
        </w:tc>
      </w:tr>
      <w:tr>
        <w:trPr>
          <w:trHeight w:val="203"/>
        </w:trPr>
        <w:tc>
          <w:tcPr>
            <w:tcW w:w="8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7"/>
                <w:szCs w:val="17"/>
                <w:color w:val="auto"/>
              </w:rPr>
            </w:pPr>
          </w:p>
        </w:tc>
      </w:tr>
      <w:tr>
        <w:trPr>
          <w:trHeight w:val="196"/>
        </w:trPr>
        <w:tc>
          <w:tcPr>
            <w:tcW w:w="8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(14,337</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(12,060 )</w:t>
            </w:r>
          </w:p>
        </w:tc>
      </w:tr>
      <w:tr>
        <w:trPr>
          <w:trHeight w:val="203"/>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Beginning of period</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15,506</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18,997</w:t>
            </w:r>
          </w:p>
        </w:tc>
        <w:tc>
          <w:tcPr>
            <w:tcW w:w="100" w:type="dxa"/>
            <w:vAlign w:val="bottom"/>
          </w:tcPr>
          <w:p>
            <w:pPr>
              <w:spacing w:after="0"/>
              <w:rPr>
                <w:sz w:val="17"/>
                <w:szCs w:val="17"/>
                <w:color w:val="auto"/>
              </w:rPr>
            </w:pPr>
          </w:p>
        </w:tc>
      </w:tr>
      <w:tr>
        <w:trPr>
          <w:trHeight w:val="236"/>
        </w:trPr>
        <w:tc>
          <w:tcPr>
            <w:tcW w:w="8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23,485</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-2647950</wp:posOffset>
            </wp:positionV>
            <wp:extent cx="6858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-2116455</wp:posOffset>
            </wp:positionV>
            <wp:extent cx="6858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-556895</wp:posOffset>
            </wp:positionV>
            <wp:extent cx="6858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28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0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29, 2022 included in the Company’s Annual Report on Form 10-K, which was filed with the Securities and Exchange Commission on March 17, 2022.</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fiscal year is a 52- or 53- week period ending on the Saturday closest to January 31. Fiscal 2022 and fiscal 2021 are 52-week periods ending on January 28, 2023 and January 29, 2022,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has two principal operating segments: its stores and its direct business. The Company considers its stores and direct operating segments to be similar in terms of economic characteristics, production processes and operations, and has therefore aggregated them into one reportable segment, retail segment, consistent with its omni-channel business approach. The Company’s wholesale business was a third operating segment. In the first quarter of fiscal 2022, the Company ended its relationship with its primary wholesale customer. Due to the immateriality of the wholesale segment’s revenues, profits and assets, its operating results are aggregated with the retail segment for all periods presented.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disclosure of the fair value of certain financial instruments.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Disclosures</w:t>
      </w:r>
      <w:r>
        <w:rPr>
          <w:rFonts w:ascii="Times New Roman" w:cs="Times New Roman" w:eastAsia="Times New Roman" w:hAnsi="Times New Roman"/>
          <w:sz w:val="18"/>
          <w:szCs w:val="18"/>
          <w:color w:val="auto"/>
        </w:rPr>
        <w:t>,” defines fair value, establishes a framework for measuring fair value and enhances disclosures about fair value measurements.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4" w:lineRule="exact"/>
        <w:rPr>
          <w:sz w:val="20"/>
          <w:szCs w:val="20"/>
          <w:color w:val="auto"/>
        </w:rPr>
      </w:pPr>
    </w:p>
    <w:p>
      <w:pPr>
        <w:ind w:left="26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assets or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observable market inputs (quoted market prices) when measuring fair value whenever possible.</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 maturity of these instruments.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 (“AOCI”)</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Other comprehensive income (loss) includes amounts related to foreign currency and pension plans and is reported in the Consolidated Statements of Comprehensive Income (Loss). Other comprehensive income (loss) and reclassifications from AOCI for the three and nine months ended October 29, 2022 and October 30, 2021, respectively, were as follows:</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October 29, 2022</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October 30, 2021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18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For the three months ended:</w:t>
            </w: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20" w:type="dxa"/>
            <w:vAlign w:val="bottom"/>
            <w:gridSpan w:val="3"/>
          </w:tcPr>
          <w:p>
            <w:pPr>
              <w:ind w:left="380"/>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Pension</w:t>
            </w:r>
          </w:p>
        </w:tc>
        <w:tc>
          <w:tcPr>
            <w:tcW w:w="13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Foreign</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Pension</w:t>
            </w:r>
          </w:p>
        </w:tc>
        <w:tc>
          <w:tcPr>
            <w:tcW w:w="13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Foreign</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Plans</w:t>
            </w:r>
          </w:p>
        </w:tc>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Currency</w:t>
            </w: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Plans</w:t>
            </w:r>
          </w:p>
        </w:tc>
        <w:tc>
          <w:tcPr>
            <w:tcW w:w="1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Currency</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45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Balance at beginning of the quarter</w:t>
      </w:r>
    </w:p>
    <w:p>
      <w:pPr>
        <w:spacing w:after="0" w:line="220" w:lineRule="exact"/>
        <w:rPr>
          <w:sz w:val="20"/>
          <w:szCs w:val="20"/>
          <w:color w:val="auto"/>
        </w:rPr>
      </w:pPr>
    </w:p>
    <w:p>
      <w:pPr>
        <w:ind w:left="160" w:right="1400" w:hanging="134"/>
        <w:spacing w:after="0" w:line="250" w:lineRule="auto"/>
        <w:rPr>
          <w:sz w:val="20"/>
          <w:szCs w:val="20"/>
          <w:color w:val="auto"/>
        </w:rPr>
      </w:pPr>
      <w:r>
        <w:rPr>
          <w:rFonts w:ascii="Times New Roman" w:cs="Times New Roman" w:eastAsia="Times New Roman" w:hAnsi="Times New Roman"/>
          <w:sz w:val="18"/>
          <w:szCs w:val="18"/>
          <w:color w:val="auto"/>
        </w:rPr>
        <w:t>Other comprehensive income (loss) before reclassifications, net of taxes</w:t>
      </w:r>
    </w:p>
    <w:p>
      <w:pPr>
        <w:spacing w:after="0" w:line="190" w:lineRule="exact"/>
        <w:rPr>
          <w:sz w:val="20"/>
          <w:szCs w:val="20"/>
          <w:color w:val="auto"/>
        </w:rPr>
      </w:pPr>
    </w:p>
    <w:p>
      <w:pPr>
        <w:ind w:left="160" w:right="1180" w:hanging="134"/>
        <w:spacing w:after="0" w:line="263" w:lineRule="auto"/>
        <w:rPr>
          <w:sz w:val="20"/>
          <w:szCs w:val="20"/>
          <w:color w:val="auto"/>
        </w:rPr>
      </w:pPr>
      <w:r>
        <w:rPr>
          <w:rFonts w:ascii="Times New Roman" w:cs="Times New Roman" w:eastAsia="Times New Roman" w:hAnsi="Times New Roman"/>
          <w:sz w:val="17"/>
          <w:szCs w:val="17"/>
          <w:color w:val="auto"/>
        </w:rPr>
        <w:t xml:space="preserve">Amounts reclassified from accumulated other comprehensive income, net of taxes </w:t>
      </w:r>
      <w:r>
        <w:rPr>
          <w:rFonts w:ascii="Times New Roman" w:cs="Times New Roman" w:eastAsia="Times New Roman" w:hAnsi="Times New Roman"/>
          <w:sz w:val="23"/>
          <w:szCs w:val="23"/>
          <w:color w:val="auto"/>
          <w:vertAlign w:val="superscript"/>
        </w:rPr>
        <w:t>(1)</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comprehensive income (loss) for the period</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quarter</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For the nine months ended: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(5,331 )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(5,397 )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(6,068 )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(6,107 )</w:t>
            </w:r>
          </w:p>
        </w:tc>
        <w:tc>
          <w:tcPr>
            <w:tcW w:w="0" w:type="dxa"/>
            <w:vAlign w:val="bottom"/>
          </w:tcPr>
          <w:p>
            <w:pPr>
              <w:spacing w:after="0"/>
              <w:rPr>
                <w:sz w:val="1"/>
                <w:szCs w:val="1"/>
                <w:color w:val="auto"/>
              </w:rPr>
            </w:pPr>
          </w:p>
        </w:tc>
      </w:tr>
      <w:tr>
        <w:trPr>
          <w:trHeight w:val="596"/>
        </w:trPr>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(9 )</w:t>
            </w:r>
          </w:p>
        </w:tc>
        <w:tc>
          <w:tcPr>
            <w:tcW w:w="360" w:type="dxa"/>
            <w:vAlign w:val="bottom"/>
          </w:tcPr>
          <w:p>
            <w:pPr>
              <w:spacing w:after="0"/>
              <w:rPr>
                <w:sz w:val="24"/>
                <w:szCs w:val="24"/>
                <w:color w:val="auto"/>
              </w:rPr>
            </w:pPr>
          </w:p>
        </w:tc>
        <w:tc>
          <w:tcPr>
            <w:tcW w:w="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Pr>
          <w:p>
            <w:pPr>
              <w:spacing w:after="0"/>
              <w:rPr>
                <w:sz w:val="24"/>
                <w:szCs w:val="24"/>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(13 )</w:t>
            </w:r>
          </w:p>
        </w:tc>
        <w:tc>
          <w:tcPr>
            <w:tcW w:w="340" w:type="dxa"/>
            <w:vAlign w:val="bottom"/>
          </w:tcPr>
          <w:p>
            <w:pPr>
              <w:spacing w:after="0"/>
              <w:rPr>
                <w:sz w:val="24"/>
                <w:szCs w:val="24"/>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24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2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22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-1370965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-976630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-582295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-307975</wp:posOffset>
            </wp:positionV>
            <wp:extent cx="7132320" cy="308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October 29, 2022</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October 30, 2021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20" w:type="dxa"/>
            <w:vAlign w:val="bottom"/>
            <w:gridSpan w:val="3"/>
          </w:tcPr>
          <w:p>
            <w:pPr>
              <w:ind w:left="380"/>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Pension</w:t>
            </w:r>
          </w:p>
        </w:tc>
        <w:tc>
          <w:tcPr>
            <w:tcW w:w="13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Pension</w:t>
            </w:r>
          </w:p>
        </w:tc>
        <w:tc>
          <w:tcPr>
            <w:tcW w:w="13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Plans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Currency</w:t>
            </w: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Plans</w:t>
            </w:r>
          </w:p>
        </w:tc>
        <w:tc>
          <w:tcPr>
            <w:tcW w:w="1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Currency</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4480" w:space="720"/>
            <w:col w:w="6040"/>
          </w:cols>
          <w:pgMar w:left="320" w:top="45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5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Balance at beginning of fiscal year</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(5,466 )</w:t>
            </w:r>
          </w:p>
        </w:tc>
        <w:tc>
          <w:tcPr>
            <w:tcW w:w="3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(59 )</w:t>
            </w:r>
          </w:p>
        </w:tc>
        <w:tc>
          <w:tcPr>
            <w:tcW w:w="2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(5,525 )</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(6,224 )</w:t>
            </w:r>
          </w:p>
        </w:tc>
        <w:tc>
          <w:tcPr>
            <w:tcW w:w="3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6"/>
                <w:szCs w:val="16"/>
                <w:color w:val="auto"/>
              </w:rPr>
            </w:pPr>
          </w:p>
        </w:tc>
        <w:tc>
          <w:tcPr>
            <w:tcW w:w="22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(6,221 )</w:t>
            </w:r>
          </w:p>
        </w:tc>
      </w:tr>
      <w:tr>
        <w:trPr>
          <w:trHeight w:val="216"/>
        </w:trPr>
        <w:tc>
          <w:tcPr>
            <w:tcW w:w="5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52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reclassifications, net of taxes</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(40 )</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0"/>
                <w:szCs w:val="20"/>
                <w:color w:val="auto"/>
              </w:rPr>
            </w:pPr>
          </w:p>
        </w:tc>
      </w:tr>
      <w:tr>
        <w:trPr>
          <w:trHeight w:val="216"/>
        </w:trPr>
        <w:tc>
          <w:tcPr>
            <w:tcW w:w="5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2"/>
        </w:trPr>
        <w:tc>
          <w:tcPr>
            <w:tcW w:w="520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5200" w:type="dxa"/>
            <w:vAlign w:val="bottom"/>
          </w:tcPr>
          <w:p>
            <w:pPr>
              <w:ind w:left="160"/>
              <w:spacing w:after="0" w:line="229" w:lineRule="exact"/>
              <w:rPr>
                <w:sz w:val="20"/>
                <w:szCs w:val="20"/>
                <w:color w:val="auto"/>
              </w:rPr>
            </w:pPr>
            <w:r>
              <w:rPr>
                <w:rFonts w:ascii="Times New Roman" w:cs="Times New Roman" w:eastAsia="Times New Roman" w:hAnsi="Times New Roman"/>
                <w:sz w:val="18"/>
                <w:szCs w:val="18"/>
                <w:color w:val="auto"/>
              </w:rPr>
              <w:t xml:space="preserve">comprehensive income, net of taxes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(29 )</w:t>
            </w:r>
          </w:p>
        </w:tc>
        <w:tc>
          <w:tcPr>
            <w:tcW w:w="36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(37 )</w:t>
            </w:r>
          </w:p>
        </w:tc>
        <w:tc>
          <w:tcPr>
            <w:tcW w:w="3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r>
      <w:tr>
        <w:trPr>
          <w:trHeight w:val="210"/>
        </w:trPr>
        <w:tc>
          <w:tcPr>
            <w:tcW w:w="5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for the period</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(40 )</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r>
      <w:tr>
        <w:trPr>
          <w:trHeight w:val="216"/>
        </w:trPr>
        <w:tc>
          <w:tcPr>
            <w:tcW w:w="5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quarter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(5,991 )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(6,028 )</w:t>
            </w:r>
          </w:p>
        </w:tc>
      </w:tr>
      <w:tr>
        <w:trPr>
          <w:trHeight w:val="20"/>
        </w:trPr>
        <w:tc>
          <w:tcPr>
            <w:tcW w:w="5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-170815</wp:posOffset>
            </wp:positionV>
            <wp:extent cx="7747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7747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-170815</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jc w:val="both"/>
        <w:ind w:left="760" w:hanging="378"/>
        <w:spacing w:after="0" w:line="24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the unrecognized loss on pension plans, which was charged to “Selling, General and Administrative” Expense on the Consolidated Statements of Operations for all periods presented. The Company recognized income of $9,000 and $13,000 for the three months ended October 29, 2022 and October 30, 2021, respectively, and income of $29,000 and $37,000 for the first nine months ended October 29, 2022 and October 30, 2021, respectively, as a result of a change in amortization from average remaining future service to average remaining lifetime. There was no related tax effect for the three and nine months ended October 29, 2022 and October 30,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that will ultimately vest requires judgment. Actual results and future changes in estimates may differ from the Company’s current estimates.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based on the assumptions in the table below as it relates to stock options granted during the first nine months of fiscal 2022 and fiscal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October 29, 2022</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October 30, 2021</w:t>
            </w:r>
          </w:p>
        </w:tc>
        <w:tc>
          <w:tcPr>
            <w:tcW w:w="100" w:type="dxa"/>
            <w:vAlign w:val="bottom"/>
          </w:tcPr>
          <w:p>
            <w:pPr>
              <w:spacing w:after="0"/>
              <w:rPr>
                <w:sz w:val="16"/>
                <w:szCs w:val="16"/>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87.9%-123.7%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 - 104.9%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 - 0.60%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 yrs.</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3.0 - 4.0 yrs.</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outstanding performance stock units (PSUs) with a market condition. The respective grant-date fair value and derived service periods assigned to the PSUs were determined using a Monte Carlo model. The valuation included assumptions with respect to the Company’s historical volatility, risk-free rate and cost of equity and the related stock compensation expense was fully expensed by the end of fiscal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There were no impairments or non-cash gains recognized in the third quarter of fiscal 2022. For the third quarter of fiscal 2021, the Company recognized a non-cash gain of $1.2 million, and for the first nine months of fiscal 2022 and fiscal 2021, the Company recognized non-cash gains of $0.6 million and $2.3 million, respectively. These non-cash gains related to the Company’s decision to close certain retail stores, which resulted in a revaluation of the existing lease liabilities. The portion of the gains that related to previously recorded impairment charges against the operating lease right-of-use asset were included as an offset to previously recorded asset impairment charges. Accordingly, for the third quarter of fiscal 2021, $1.1 million was included as an offset to asset impairment charges. For the first nine months of fiscal 2022 and fiscal 2021, $0.4 million and $2.1 million, respectively, were included as an offset to asset impairment charges. The remaining gains for the third quarter of fiscal 2021 and the first nine months of fiscal 2022 and fiscal 2021 were included as a reduction of store occupancy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adopted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in fiscal 2019. Under ASC 842, 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(“ROU”)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October 29, 2022, the Company had no short-term leases.</w:t>
      </w:r>
    </w:p>
    <w:p>
      <w:pPr>
        <w:spacing w:after="0" w:line="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when the Company considers it reasonably certain that it will exercise an option to extend, the associated payment of that option will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In September 2022, the FASB issued Accounting Standards Update ("ASU") </w:t>
      </w:r>
      <w:r>
        <w:rPr>
          <w:rFonts w:ascii="Times New Roman" w:cs="Times New Roman" w:eastAsia="Times New Roman" w:hAnsi="Times New Roman"/>
          <w:sz w:val="18"/>
          <w:szCs w:val="18"/>
          <w:color w:val="252525"/>
        </w:rPr>
        <w:t>2022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52525"/>
        </w:rPr>
        <w:t>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52525"/>
        </w:rPr>
        <w:t>Liabilities – Supplier Finance Programs,</w:t>
      </w:r>
      <w:r>
        <w:rPr>
          <w:rFonts w:ascii="Times New Roman" w:cs="Times New Roman" w:eastAsia="Times New Roman" w:hAnsi="Times New Roman"/>
          <w:sz w:val="18"/>
          <w:szCs w:val="18"/>
          <w:color w:val="auto"/>
        </w:rPr>
        <w:t xml:space="preserve"> which is intended to enhance the transparency surrounding the use of supplier finance programs in connection with the purchase of goods and services. The guidance requires companies that use supplier finance programs to make annual disclosures about the program’s key terms, the balance sheet presentation of related amounts, the confirmed amount outstanding at the end of the period and associated rollforward information. The new standard does not affect the recognition, measurement, or financial statement presentation of supplier finance program obligations. ASU 2022-04 is effective as of the Company's first quarter of fiscal 2023, with the exception of the rollforward information, which is effective for fiscal 2024. The Company does not plan to elect early adoption of this update and does not expect this pronouncement to materially affect its Consolidated Financial Statements.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first nine months of fiscal 2022, have had or are expected to have a significant impact on the Company’s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212121"/>
        </w:rPr>
        <w:t xml:space="preserve">The Company operates as a retailer of big and tall men’s clothing, which includes stores, direct and wholesale. </w:t>
      </w:r>
      <w:r>
        <w:rPr>
          <w:rFonts w:ascii="Times New Roman" w:cs="Times New Roman" w:eastAsia="Times New Roman" w:hAnsi="Times New Roman"/>
          <w:sz w:val="18"/>
          <w:szCs w:val="18"/>
          <w:color w:val="000000"/>
        </w:rPr>
        <w:t>Revenue is recognized by the operating</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segment that initiates a customer’s order. Store sales are defined as sales that 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w:t>
      </w:r>
      <w:r>
        <w:rPr>
          <w:rFonts w:ascii="Times New Roman" w:cs="Times New Roman" w:eastAsia="Times New Roman" w:hAnsi="Times New Roman"/>
          <w:sz w:val="18"/>
          <w:szCs w:val="18"/>
          <w:color w:val="212121"/>
        </w:rPr>
        <w:t>Generally, all revenues are recognized when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control of the promised goods is transferred to customers, in an amount that reflects the consideration in exchange for those goods. </w:t>
      </w:r>
      <w:r>
        <w:rPr>
          <w:rFonts w:ascii="Times New Roman" w:cs="Times New Roman" w:eastAsia="Times New Roman" w:hAnsi="Times New Roman"/>
          <w:sz w:val="18"/>
          <w:szCs w:val="18"/>
          <w:color w:val="000000"/>
        </w:rPr>
        <w:t>Sales tax collected from</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customers and remitted to taxing authorities is excluded from revenue and is included as part of accrued expenses on the Consolidated Balance Sheets.</w:t>
      </w:r>
    </w:p>
    <w:p>
      <w:pPr>
        <w:spacing w:after="0" w:line="72" w:lineRule="exact"/>
        <w:rPr>
          <w:sz w:val="20"/>
          <w:szCs w:val="20"/>
          <w:color w:val="auto"/>
        </w:rPr>
      </w:pPr>
    </w:p>
    <w:p>
      <w:pPr>
        <w:ind w:left="760" w:hanging="378"/>
        <w:spacing w:after="0" w:line="265" w:lineRule="auto"/>
        <w:tabs>
          <w:tab w:leader="none" w:pos="760" w:val="left"/>
        </w:tabs>
        <w:numPr>
          <w:ilvl w:val="0"/>
          <w:numId w:val="4"/>
        </w:numPr>
        <w:rPr>
          <w:rFonts w:ascii="Arial" w:cs="Arial" w:eastAsia="Arial" w:hAnsi="Arial"/>
          <w:sz w:val="18"/>
          <w:szCs w:val="18"/>
          <w:color w:val="212121"/>
        </w:rPr>
      </w:pPr>
      <w:r>
        <w:rPr>
          <w:rFonts w:ascii="Times New Roman" w:cs="Times New Roman" w:eastAsia="Times New Roman" w:hAnsi="Times New Roman"/>
          <w:sz w:val="18"/>
          <w:szCs w:val="18"/>
          <w:color w:val="auto"/>
        </w:rPr>
        <w:t>Revenue from the Company’s store operations is recorded upon purchase of merchandise by customers, net of an allowance for sales returns, which is estimated based upon historical experience.</w:t>
      </w:r>
    </w:p>
    <w:p>
      <w:pPr>
        <w:spacing w:after="0" w:line="55" w:lineRule="exact"/>
        <w:rPr>
          <w:rFonts w:ascii="Arial" w:cs="Arial" w:eastAsia="Arial" w:hAnsi="Arial"/>
          <w:sz w:val="18"/>
          <w:szCs w:val="18"/>
          <w:color w:val="212121"/>
        </w:rPr>
      </w:pPr>
    </w:p>
    <w:p>
      <w:pPr>
        <w:ind w:left="760" w:hanging="378"/>
        <w:spacing w:after="0" w:line="281" w:lineRule="auto"/>
        <w:tabs>
          <w:tab w:leader="none" w:pos="760" w:val="left"/>
        </w:tabs>
        <w:numPr>
          <w:ilvl w:val="0"/>
          <w:numId w:val="4"/>
        </w:numPr>
        <w:rPr>
          <w:rFonts w:ascii="Arial" w:cs="Arial" w:eastAsia="Arial" w:hAnsi="Arial"/>
          <w:sz w:val="18"/>
          <w:szCs w:val="18"/>
          <w:color w:val="212121"/>
        </w:rPr>
      </w:pPr>
      <w:r>
        <w:rPr>
          <w:rFonts w:ascii="Times New Roman" w:cs="Times New Roman" w:eastAsia="Times New Roman" w:hAnsi="Times New Roman"/>
          <w:sz w:val="18"/>
          <w:szCs w:val="18"/>
          <w:color w:val="auto"/>
        </w:rPr>
        <w:t>Revenue from the Company’s direct operations is recognized at the time a customer order is delivered, net of an allowance for sales returns, which is estimated based upon historical experience.</w:t>
      </w:r>
    </w:p>
    <w:p>
      <w:pPr>
        <w:spacing w:after="0" w:line="40" w:lineRule="exact"/>
        <w:rPr>
          <w:rFonts w:ascii="Arial" w:cs="Arial" w:eastAsia="Arial" w:hAnsi="Arial"/>
          <w:sz w:val="18"/>
          <w:szCs w:val="18"/>
          <w:color w:val="212121"/>
        </w:rPr>
      </w:pPr>
    </w:p>
    <w:p>
      <w:pPr>
        <w:jc w:val="both"/>
        <w:ind w:left="760" w:hanging="378"/>
        <w:spacing w:after="0" w:line="257" w:lineRule="auto"/>
        <w:tabs>
          <w:tab w:leader="none" w:pos="760" w:val="left"/>
        </w:tabs>
        <w:numPr>
          <w:ilvl w:val="0"/>
          <w:numId w:val="4"/>
        </w:numPr>
        <w:rPr>
          <w:rFonts w:ascii="Arial" w:cs="Arial" w:eastAsia="Arial" w:hAnsi="Arial"/>
          <w:sz w:val="18"/>
          <w:szCs w:val="18"/>
          <w:color w:val="212121"/>
        </w:rPr>
      </w:pPr>
      <w:r>
        <w:rPr>
          <w:rFonts w:ascii="Times New Roman" w:cs="Times New Roman" w:eastAsia="Times New Roman" w:hAnsi="Times New Roman"/>
          <w:sz w:val="18"/>
          <w:szCs w:val="18"/>
          <w:color w:val="auto"/>
        </w:rPr>
        <w:t>Revenue from the Company’s wholesale operations was recognized at the time the wholesale customer took physical receipt of the merchandise, net of any identified discounts in accordance with each individual order. For the first nine months of fiscal 2022 and fiscal 2021, chargebacks were immaterial.</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Unredeemed Gift Cards, Gift Certificates, and Credit Vouchers. </w:t>
      </w:r>
      <w:r>
        <w:rPr>
          <w:rFonts w:ascii="Times New Roman" w:cs="Times New Roman" w:eastAsia="Times New Roman" w:hAnsi="Times New Roman"/>
          <w:sz w:val="18"/>
          <w:szCs w:val="18"/>
          <w:color w:val="auto"/>
        </w:rPr>
        <w:t>Upon issuance of a gift card, gift certificate, or credit voucher, a liability is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$2.1 million and $3.3 million at October 29, 2022 and January 29, 2022, respectively.</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Unredeemed Loyalty Coupons. </w:t>
      </w:r>
      <w:r>
        <w:rPr>
          <w:rFonts w:ascii="Times New Roman" w:cs="Times New Roman" w:eastAsia="Times New Roman" w:hAnsi="Times New Roman"/>
          <w:sz w:val="18"/>
          <w:szCs w:val="18"/>
          <w:color w:val="auto"/>
        </w:rPr>
        <w:t>The Company offers a free loyalty program to its customers for which points accumulate based on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merchandise. Approximately 90% of the Company’s customers participate in the loyalty program. Under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these loyalty points provide the customer with a material right and a distinct performance obligation with revenue deferred and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points are expected to redeem or expire. The cycle of earning and redeeming loyalty points is generally under one year in duration. The loyalty accrual, net of breakage, was $1.3 million and $1.3 million at October 29, 2022 and January 29, 2022, respectively.</w:t>
      </w:r>
    </w:p>
    <w:p>
      <w:pPr>
        <w:spacing w:after="0" w:line="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Shipping and handling costs are accounted for as fulfillment costs and are included in cost of sales for all periods presented. Amounts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15"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18"/>
          <w:szCs w:val="18"/>
          <w:color w:val="auto"/>
        </w:rPr>
        <w:t xml:space="preserve">As noted above under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Note 1, the Company’s business consists of one reportable segment, its retail segment. Substantially all of the Company’s revenue is generated from its stores and direct businesses. The operating results from the wholesale segment, which were immaterial, have been aggregated with this reportable segment, but the revenues are separately reported below. Accordingly, the Company has determined that the following sales channels depict the nature, amount, timing, and uncertainty of how revenue and cash flows are affected by economic factors: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jc w:val="right"/>
              <w:ind w:right="55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6"/>
          </w:tcPr>
          <w:p>
            <w:pPr>
              <w:jc w:val="right"/>
              <w:ind w:right="49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October 29,</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October 30,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98"/>
              </w:rPr>
              <w:t>October 29,</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October 30,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70.3 %</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70.5 %</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91,770</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70.8 %</w:t>
            </w: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84,762</w:t>
            </w:r>
          </w:p>
        </w:tc>
        <w:tc>
          <w:tcPr>
            <w:tcW w:w="1040" w:type="dxa"/>
            <w:vAlign w:val="bottom"/>
            <w:gridSpan w:val="3"/>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280,973</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70.0 %</w:t>
            </w: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258,685</w:t>
            </w:r>
          </w:p>
        </w:tc>
        <w:tc>
          <w:tcPr>
            <w:tcW w:w="9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sales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37,901</w:t>
            </w: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29.2 %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35,837</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29.7 %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120,588</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30.0 %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108,043</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29.5 %</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segment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129,671</w:t>
            </w: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120,599</w:t>
            </w: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401,561</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366,728</w:t>
            </w: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Wholesale segment</w:t>
            </w: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129,671</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121,486</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401,960</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371,570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283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-170815</wp:posOffset>
            </wp:positionV>
            <wp:extent cx="7683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-170815</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-170815</wp:posOffset>
            </wp:positionV>
            <wp:extent cx="685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-170815</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with Citizens Bank, N.A.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28, 2021, the Company entered into a credit facility with Citizens Bank, N.A. (the "Credit Facility”).</w:t>
      </w:r>
    </w:p>
    <w:p>
      <w:pPr>
        <w:spacing w:after="0" w:line="10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Credit Facility is a $125.0 million secured, asset-based credit facility with a maturity date of October 28, 2026. The maximum committed borrowing of $125.0 million includes a sublimit of $20.0 million for commercial and standby letter of credits and a sublimit of up to $15.0 million for swing line loans. The Company’s ability to borrow under the Credit Facility is determined using an availability formula based on eligible assets.</w:t>
      </w:r>
    </w:p>
    <w:p>
      <w:pPr>
        <w:spacing w:after="0" w:line="6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Borrowings made pursuant to the Credit Facility will be made pursuant to either a Base Rate loan or LIBOR Rate loan, at the Company's option. Base Rate loans will bear interest at a rate equal to (i) the greater of: (a) the Prime Rate, (b) the Federal Funds effective rate plus 0.50% per annum and (c) the daily LIBOR rate plus 1.00% per annum, plus (ii) a varying percentage, based on the Company’s average excess availability, of either 0.25% or 0.50%. LIBOR Rate loans, which may be either for 1 month or 3 months, will bear interest at (i) the LIBOR rate, or the Benchmark Rate as defined in the credit agreement plus (ii) a varying percentage based on the Company’s average excess availability, of either 1.25% or 1.50%. Any swingline loan will bear interest at a rate equal to the rate of a Base Rate loan, plus a varying percentage based on the Company’s average excess availability, of either 0.25% or 0.50%. The Company will be subject to an unused line fee of 0.25%.</w:t>
      </w:r>
    </w:p>
    <w:p>
      <w:pPr>
        <w:spacing w:after="0" w:line="73"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6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At October 29, 2022, the Company had no borrowings outstanding under the Credit Facility and unused availability was $90.2 million. The Company had no borrowings during the first nine months of fiscal 2022, resulting in an average unused excess availability of approximately $82.0 million. Outstanding standby letters of credit were $3.8 million and outstanding documentary letters were $1.0 million at October 29, 2022. At October 29, 2022, the Company’s prime-based interest rate was 6.50%.</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and repayments for the first nine months ended October 30, 2021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85"/>
        </w:trPr>
        <w:tc>
          <w:tcPr>
            <w:tcW w:w="3840" w:type="dxa"/>
            <w:vAlign w:val="bottom"/>
            <w:vMerge w:val="continue"/>
          </w:tcPr>
          <w:p>
            <w:pPr>
              <w:spacing w:after="0"/>
              <w:rPr>
                <w:sz w:val="16"/>
                <w:szCs w:val="16"/>
                <w:color w:val="auto"/>
              </w:rPr>
            </w:pPr>
          </w:p>
        </w:tc>
        <w:tc>
          <w:tcPr>
            <w:tcW w:w="4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October 30, 2021</w:t>
            </w: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43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4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(100,030 )</w:t>
            </w: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432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borrowings (repayments)</w:t>
            </w:r>
          </w:p>
        </w:tc>
        <w:tc>
          <w:tcPr>
            <w:tcW w:w="4840" w:type="dxa"/>
            <w:vAlign w:val="bottom"/>
            <w:gridSpan w:val="2"/>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(59,733 )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32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840" w:type="dxa"/>
            <w:vAlign w:val="bottom"/>
            <w:tcBorders>
              <w:bottom w:val="single" w:sz="8" w:color="9A9A9A"/>
            </w:tcBorders>
          </w:tcPr>
          <w:p>
            <w:pPr>
              <w:spacing w:after="0"/>
              <w:rPr>
                <w:sz w:val="7"/>
                <w:szCs w:val="7"/>
                <w:color w:val="auto"/>
              </w:rPr>
            </w:pPr>
          </w:p>
        </w:tc>
        <w:tc>
          <w:tcPr>
            <w:tcW w:w="43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32" w:right="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outstanding long-term debt during the first nine months of fiscal 2022.</w:t>
      </w:r>
    </w:p>
    <w:p>
      <w:pPr>
        <w:spacing w:after="0" w:line="1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2021, the Company refinanced its then existing $15.0 million FILO (first-in, last-out) loan and entered into a new $17.5 million FILO loan, which was subsequently repaid in full in September 2021.</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paid interest and fees totaling $0.3 million and $3.1 million for the nine months ended October 29, 2022 and October 30, 2021, respectively. Included in the $3.1 million of interest and fees paid in fiscal 2021 was a prepayment fee of $1.1 million associated with the prepayment of the Company $17.5 million FILO loan. In connection with the execution of the Credit Facility and prepayment of the FILO loan, in the third quarter of fiscal 2021, the Company also wrote-off a total of $0.8 million in unamortized debt issuance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3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 was for 20 years, with the opportunity to extend for six additional consecutive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8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In April 2020, the FASB issued guidance allowing entities to make a policy election to account for lease concessions related to the COVID-19 pandemic as though enforceable rights and obligations for those concessions existed. The election applies to any lessor-provided lease concession related to the impact of the COVID-19 pandemic, provided the concession does not result in a substantial increase in the rights of the lessor or in the obligations of the lessee. The Company opted not to elect this practical expedient and instead accounted for these rent concessions as lease modifications in accordance with ASC 842. As of October 29, 2022, the Company’s operating leases liabilities represent the present value of the remaining future minimum lease payments updated based on concessions and lease modifications.</w:t>
      </w:r>
    </w:p>
    <w:p>
      <w:pPr>
        <w:spacing w:after="0" w:line="7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6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table is a summary of the Company’s components of net lease cost for the three and nine months ended October 29, 2022 and October 30, 2021: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300" w:type="dxa"/>
            <w:vAlign w:val="bottom"/>
            <w:gridSpan w:val="7"/>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340" w:type="dxa"/>
            <w:vAlign w:val="bottom"/>
            <w:gridSpan w:val="7"/>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175"/>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w w:val="98"/>
              </w:rPr>
              <w:t>October 29, 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3"/>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October 30, 2021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98"/>
              </w:rPr>
              <w:t>October 29, 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October 30, 2021</w:t>
            </w: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11,365</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11,064</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33,123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32,698</w:t>
            </w:r>
          </w:p>
        </w:tc>
        <w:tc>
          <w:tcPr>
            <w:tcW w:w="100" w:type="dxa"/>
            <w:vAlign w:val="bottom"/>
          </w:tcPr>
          <w:p>
            <w:pPr>
              <w:spacing w:after="0"/>
              <w:rPr>
                <w:sz w:val="18"/>
                <w:szCs w:val="18"/>
                <w:color w:val="auto"/>
              </w:rPr>
            </w:pPr>
          </w:p>
        </w:tc>
      </w:tr>
      <w:tr>
        <w:trPr>
          <w:trHeight w:val="216"/>
        </w:trPr>
        <w:tc>
          <w:tcPr>
            <w:tcW w:w="404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3,261</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3,284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9,534</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14,626</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14,348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42,657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43,171</w:t>
            </w:r>
          </w:p>
        </w:tc>
        <w:tc>
          <w:tcPr>
            <w:tcW w:w="10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-170815</wp:posOffset>
            </wp:positionV>
            <wp:extent cx="7747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685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9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Variable lease costs include the cost of property taxes, insurance and common area maintenance fees related to its leases.</w:t>
      </w:r>
    </w:p>
    <w:p>
      <w:pPr>
        <w:spacing w:after="0" w:line="13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Supplemental cash flow and balance sheet information related to leases for the first nine months ended October 29, 2022 and October 30, 2021 was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40" w:type="dxa"/>
            <w:vAlign w:val="bottom"/>
            <w:gridSpan w:val="5"/>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175"/>
        </w:trPr>
        <w:tc>
          <w:tcPr>
            <w:tcW w:w="5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29, 2022</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30, 2021</w:t>
            </w:r>
          </w:p>
        </w:tc>
        <w:tc>
          <w:tcPr>
            <w:tcW w:w="300" w:type="dxa"/>
            <w:vAlign w:val="bottom"/>
          </w:tcPr>
          <w:p>
            <w:pPr>
              <w:spacing w:after="0"/>
              <w:rPr>
                <w:sz w:val="15"/>
                <w:szCs w:val="15"/>
                <w:color w:val="auto"/>
              </w:rPr>
            </w:pPr>
          </w:p>
        </w:tc>
      </w:tr>
      <w:tr>
        <w:trPr>
          <w:trHeight w:val="237"/>
        </w:trPr>
        <w:tc>
          <w:tcPr>
            <w:tcW w:w="5340" w:type="dxa"/>
            <w:vAlign w:val="bottom"/>
          </w:tcPr>
          <w:p>
            <w:pPr>
              <w:ind w:left="120"/>
              <w:spacing w:after="0" w:line="236" w:lineRule="exact"/>
              <w:rPr>
                <w:sz w:val="20"/>
                <w:szCs w:val="20"/>
                <w:color w:val="auto"/>
              </w:rPr>
            </w:pPr>
            <w:r>
              <w:rPr>
                <w:rFonts w:ascii="Times New Roman" w:cs="Times New Roman" w:eastAsia="Times New Roman" w:hAnsi="Times New Roman"/>
                <w:sz w:val="18"/>
                <w:szCs w:val="18"/>
                <w:color w:val="auto"/>
              </w:rPr>
              <w:t xml:space="preserve">Operating cash flows for operating leases </w:t>
            </w:r>
            <w:r>
              <w:rPr>
                <w:rFonts w:ascii="Times New Roman" w:cs="Times New Roman" w:eastAsia="Times New Roman" w:hAnsi="Times New Roman"/>
                <w:sz w:val="24"/>
                <w:szCs w:val="24"/>
                <w:color w:val="auto"/>
                <w:vertAlign w:val="superscript"/>
              </w:rPr>
              <w:t>(1)</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42,001</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43,846</w:t>
            </w: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5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21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20,667</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6,099</w:t>
            </w:r>
          </w:p>
        </w:tc>
      </w:tr>
      <w:tr>
        <w:trPr>
          <w:trHeight w:val="216"/>
        </w:trPr>
        <w:tc>
          <w:tcPr>
            <w:tcW w:w="534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4.3 yrs.</w:t>
            </w:r>
          </w:p>
        </w:tc>
        <w:tc>
          <w:tcPr>
            <w:tcW w:w="32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4.1 yrs.</w:t>
            </w:r>
          </w:p>
        </w:tc>
      </w:tr>
      <w:tr>
        <w:trPr>
          <w:trHeight w:val="216"/>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6.45%</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6.95%</w:t>
            </w:r>
          </w:p>
        </w:tc>
        <w:tc>
          <w:tcPr>
            <w:tcW w:w="300" w:type="dxa"/>
            <w:vAlign w:val="bottom"/>
            <w:shd w:val="clear" w:color="auto" w:fill="CFF0FC"/>
          </w:tcPr>
          <w:p>
            <w:pPr>
              <w:spacing w:after="0"/>
              <w:rPr>
                <w:sz w:val="18"/>
                <w:szCs w:val="18"/>
                <w:color w:val="auto"/>
              </w:rPr>
            </w:pPr>
          </w:p>
        </w:tc>
      </w:tr>
      <w:tr>
        <w:trPr>
          <w:trHeight w:val="419"/>
        </w:trPr>
        <w:tc>
          <w:tcPr>
            <w:tcW w:w="5340" w:type="dxa"/>
            <w:vAlign w:val="bottom"/>
          </w:tcPr>
          <w:p>
            <w:pPr>
              <w:spacing w:after="0"/>
              <w:rPr>
                <w:sz w:val="24"/>
                <w:szCs w:val="24"/>
                <w:color w:val="auto"/>
              </w:rPr>
            </w:pPr>
          </w:p>
        </w:tc>
        <w:tc>
          <w:tcPr>
            <w:tcW w:w="210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01"/>
        </w:trPr>
        <w:tc>
          <w:tcPr>
            <w:tcW w:w="534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 w:name="page14"/>
    <w:bookmarkEnd w:id="13"/>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cash paid for the first nine months of fiscal 2022 and fiscal 2021 included prepaid rent of $4.1 million and $3.8 million, respectively.</w:t>
      </w:r>
    </w:p>
    <w:p>
      <w:pPr>
        <w:spacing w:after="0" w:line="22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Consolidated Balance Sheet as of October 29, 2022: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(remaining)</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48,113</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40,063</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31,745</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19,266</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168,750</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147,708</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Incentive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LTIPs are granted annually and each LTIP covers a three-year performance period.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Awards for any achievement of performance targets are not granted until the performance targets are achieved and then are subject to additional vesting through August 31 following the end of the applicable performance period.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2019-2021 LTIP</w:t>
      </w:r>
    </w:p>
    <w:p>
      <w:pPr>
        <w:spacing w:after="0" w:line="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performance targets for the Company’s 2019-2021 LTIP were approved by the Compensation Committee of the Board of Directors (the "Compensation Committee”) on August 7, 2019 and covered a three-year period performance period, which ended on January 29, 2022. The time-vested portion of the 2019-2021 LTIP vests in four annual installments, with the remaining installment vesting on April 1, 2023.</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first quarter of fiscal 2022, on March 21, 2022, the Compensation Committee approved a 141.9% payout of its performance targets for the 2019-2021 LTIP. On that date, the Company granted awards totaling $2.7 million, in a combination of 50% cash and 50% restricted stock units (RSUs), which vested, net of any forfeitures, on August 31, 2022. In connection with the grant of 269,162 RSUs, the Company reclassified $1.1 million of its liability accrual from “Accrued expenses and other current liabilities” to “Additional paid-in capital” in the first quarter of fiscal 2022. See the Consolidated Statement of Changes in Stockholders’ Equity.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Active LTIPs</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October 29, 2022, the Company had three active LTIPs: the 2020-2022 LTIP, the 2021-2023 LTIP and the 2022-2024 LTIP. The time-based awards under the 2020-2022 LTIP were granted in a combination of 50% stock options and 50% cash; the 2021-2023 LTIP time-based awards were granted in a combination of 25% stock options and 75% cash; and the 2022-2024 LTIP time-based awards were granted in a combination of 50% RSUs and 50% cash.</w:t>
      </w:r>
    </w:p>
    <w:p>
      <w:pPr>
        <w:spacing w:after="0" w:line="82"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Performance targets for the 2020-2022 LTIP, 2021-2023 LTIP and 2022-2024 LTIP were established and approved by the Compensation Committee on June 11, 2020, March 8, 2021 and April 9, 2022, respectively. The performance period for each LTIP is three years. Awards for any achievement of performance targets will not be granted until the performance targets are achieved and then will be subject to additional vesting through August 31, 2023, August 31, 2024 and August 31, 2025, respectively. The time-based awards under the 2020-2022 LTIP, 2021-2023 LTIP and 2022-2024 LTIP vest in four equal installments through April 1, 2024, April 1, 2025 and April 1, 2026, respectively. Assuming that the Company achieves the performance targets at target levels and all time-based awards vest, the compensation expense associated with the 2020-2022 LTIP, 2021-2023 LTIP and 2022-2024 LTIP is estimated to be approximately $3.7 million, $4.1 million and $4.7 million, respectively. Approximately half of the compensation expense for each LTIP relates to the time-based awards, which are being expensed straight-line over 46 months, 49 months and 48 months, respectively.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4" w:name="page15"/>
    <w:bookmarkEnd w:id="14"/>
    <w:p>
      <w:pPr>
        <w:ind w:right="60"/>
        <w:spacing w:after="0" w:line="282" w:lineRule="auto"/>
        <w:rPr>
          <w:sz w:val="20"/>
          <w:szCs w:val="20"/>
          <w:color w:val="auto"/>
        </w:rPr>
      </w:pPr>
      <w:r>
        <w:rPr>
          <w:rFonts w:ascii="Times New Roman" w:cs="Times New Roman" w:eastAsia="Times New Roman" w:hAnsi="Times New Roman"/>
          <w:sz w:val="18"/>
          <w:szCs w:val="18"/>
          <w:color w:val="auto"/>
        </w:rPr>
        <w:t>At October 29, 2022, the Company had accrued $2.1 million under the 2020-2022 LTIP, $1.4 million under the 2021-2023 LTIP and $0.6 million under the 2022-2024 LTIP for the performance awards.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The Company has one active stock-based compensation plan: the 2016 Incentive Compensation Plan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The Company’s shareholders approved amendments to increase the share reserve by 2,800,000 shares on August 8, 2019, an additional 1,740,000 shares on August 12, 2020 and an additional 4,855,000 on August 5, 2021. At October 29, 2022, the Company had 3,975,145 shares available under the 2016 Plan.</w:t>
      </w:r>
    </w:p>
    <w:p>
      <w:pPr>
        <w:spacing w:after="0" w:line="7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October 29, 2022, 263,341 stock options remained outstanding under the 2006 Plan.</w:t>
      </w:r>
    </w:p>
    <w:p>
      <w:pPr>
        <w:spacing w:after="0" w:line="83"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share activity and stock option activity for the first nine months of fiscal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9"/>
                <w:szCs w:val="19"/>
                <w:color w:val="auto"/>
                <w:vertAlign w:val="superscript"/>
              </w:rPr>
              <w:t>(1)</w:t>
            </w:r>
          </w:p>
        </w:tc>
        <w:tc>
          <w:tcPr>
            <w:tcW w:w="820" w:type="dxa"/>
            <w:vAlign w:val="bottom"/>
          </w:tcPr>
          <w:p>
            <w:pPr>
              <w:jc w:val="right"/>
              <w:ind w:right="76"/>
              <w:spacing w:after="0" w:line="158" w:lineRule="exact"/>
              <w:rPr>
                <w:sz w:val="20"/>
                <w:szCs w:val="20"/>
                <w:color w:val="auto"/>
              </w:rPr>
            </w:pPr>
            <w:r>
              <w:rPr>
                <w:rFonts w:ascii="Times New Roman" w:cs="Times New Roman" w:eastAsia="Times New Roman" w:hAnsi="Times New Roman"/>
                <w:sz w:val="14"/>
                <w:szCs w:val="14"/>
                <w:color w:val="auto"/>
              </w:rPr>
              <w:t>Deferred</w:t>
            </w:r>
          </w:p>
        </w:tc>
        <w:tc>
          <w:tcPr>
            <w:tcW w:w="240" w:type="dxa"/>
            <w:vAlign w:val="bottom"/>
          </w:tcPr>
          <w:p>
            <w:pPr>
              <w:spacing w:after="0"/>
              <w:rPr>
                <w:sz w:val="13"/>
                <w:szCs w:val="13"/>
                <w:color w:val="auto"/>
              </w:rPr>
            </w:pPr>
          </w:p>
        </w:tc>
        <w:tc>
          <w:tcPr>
            <w:tcW w:w="92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4"/>
                <w:szCs w:val="14"/>
                <w:color w:val="auto"/>
              </w:rPr>
              <w:t>Performance</w:t>
            </w:r>
          </w:p>
        </w:tc>
        <w:tc>
          <w:tcPr>
            <w:tcW w:w="200" w:type="dxa"/>
            <w:vAlign w:val="bottom"/>
          </w:tcPr>
          <w:p>
            <w:pPr>
              <w:spacing w:after="0"/>
              <w:rPr>
                <w:sz w:val="13"/>
                <w:szCs w:val="13"/>
                <w:color w:val="auto"/>
              </w:rPr>
            </w:pPr>
          </w:p>
        </w:tc>
        <w:tc>
          <w:tcPr>
            <w:tcW w:w="1120" w:type="dxa"/>
            <w:vAlign w:val="bottom"/>
            <w:gridSpan w:val="2"/>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Fully-Vested</w:t>
            </w:r>
          </w:p>
        </w:tc>
        <w:tc>
          <w:tcPr>
            <w:tcW w:w="1080" w:type="dxa"/>
            <w:vAlign w:val="bottom"/>
            <w:gridSpan w:val="2"/>
          </w:tcPr>
          <w:p>
            <w:pPr>
              <w:jc w:val="right"/>
              <w:ind w:right="260"/>
              <w:spacing w:after="0" w:line="158" w:lineRule="exact"/>
              <w:rPr>
                <w:sz w:val="20"/>
                <w:szCs w:val="20"/>
                <w:color w:val="auto"/>
              </w:rPr>
            </w:pPr>
            <w:r>
              <w:rPr>
                <w:rFonts w:ascii="Times New Roman" w:cs="Times New Roman" w:eastAsia="Times New Roman" w:hAnsi="Times New Roman"/>
                <w:sz w:val="14"/>
                <w:szCs w:val="14"/>
                <w:color w:val="auto"/>
              </w:rPr>
              <w:t>Total number</w:t>
            </w:r>
          </w:p>
        </w:tc>
        <w:tc>
          <w:tcPr>
            <w:tcW w:w="140" w:type="dxa"/>
            <w:vAlign w:val="bottom"/>
          </w:tcPr>
          <w:p>
            <w:pPr>
              <w:spacing w:after="0"/>
              <w:rPr>
                <w:sz w:val="13"/>
                <w:szCs w:val="13"/>
                <w:color w:val="auto"/>
              </w:rPr>
            </w:pPr>
          </w:p>
        </w:tc>
        <w:tc>
          <w:tcPr>
            <w:tcW w:w="820" w:type="dxa"/>
            <w:vAlign w:val="bottom"/>
          </w:tcPr>
          <w:p>
            <w:pPr>
              <w:jc w:val="center"/>
              <w:ind w:right="78"/>
              <w:spacing w:after="0" w:line="158" w:lineRule="exact"/>
              <w:rPr>
                <w:sz w:val="20"/>
                <w:szCs w:val="20"/>
                <w:color w:val="auto"/>
              </w:rPr>
            </w:pPr>
            <w:r>
              <w:rPr>
                <w:rFonts w:ascii="Times New Roman" w:cs="Times New Roman" w:eastAsia="Times New Roman" w:hAnsi="Times New Roman"/>
                <w:sz w:val="14"/>
                <w:szCs w:val="14"/>
                <w:color w:val="auto"/>
              </w:rPr>
              <w:t>grant-date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00" w:type="dxa"/>
            <w:vAlign w:val="bottom"/>
            <w:gridSpan w:val="2"/>
            <w:vMerge w:val="continue"/>
          </w:tcPr>
          <w:p>
            <w:pPr>
              <w:spacing w:after="0"/>
              <w:rPr>
                <w:sz w:val="16"/>
                <w:szCs w:val="16"/>
                <w:color w:val="auto"/>
              </w:rPr>
            </w:pPr>
          </w:p>
        </w:tc>
        <w:tc>
          <w:tcPr>
            <w:tcW w:w="820" w:type="dxa"/>
            <w:vAlign w:val="bottom"/>
          </w:tcPr>
          <w:p>
            <w:pPr>
              <w:jc w:val="right"/>
              <w:ind w:right="76"/>
              <w:spacing w:after="0" w:line="189"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(2)</w:t>
            </w: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4"/>
                <w:szCs w:val="14"/>
                <w:color w:val="auto"/>
              </w:rPr>
              <w:t xml:space="preserve">Share Units </w:t>
            </w:r>
            <w:r>
              <w:rPr>
                <w:rFonts w:ascii="Times New Roman" w:cs="Times New Roman" w:eastAsia="Times New Roman" w:hAnsi="Times New Roman"/>
                <w:sz w:val="19"/>
                <w:szCs w:val="19"/>
                <w:color w:val="auto"/>
                <w:vertAlign w:val="superscript"/>
              </w:rPr>
              <w:t>(3)</w:t>
            </w:r>
          </w:p>
        </w:tc>
        <w:tc>
          <w:tcPr>
            <w:tcW w:w="200" w:type="dxa"/>
            <w:vAlign w:val="bottom"/>
          </w:tcPr>
          <w:p>
            <w:pPr>
              <w:spacing w:after="0"/>
              <w:rPr>
                <w:sz w:val="16"/>
                <w:szCs w:val="16"/>
                <w:color w:val="auto"/>
              </w:rPr>
            </w:pPr>
          </w:p>
        </w:tc>
        <w:tc>
          <w:tcPr>
            <w:tcW w:w="1120" w:type="dxa"/>
            <w:vAlign w:val="bottom"/>
            <w:gridSpan w:val="2"/>
          </w:tcPr>
          <w:p>
            <w:pPr>
              <w:jc w:val="right"/>
              <w:ind w:right="380"/>
              <w:spacing w:after="0" w:line="189"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(4)</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of shares</w:t>
            </w:r>
          </w:p>
        </w:tc>
        <w:tc>
          <w:tcPr>
            <w:tcW w:w="140" w:type="dxa"/>
            <w:vAlign w:val="bottom"/>
          </w:tcPr>
          <w:p>
            <w:pPr>
              <w:spacing w:after="0"/>
              <w:rPr>
                <w:sz w:val="16"/>
                <w:szCs w:val="16"/>
                <w:color w:val="auto"/>
              </w:rPr>
            </w:pPr>
          </w:p>
        </w:tc>
        <w:tc>
          <w:tcPr>
            <w:tcW w:w="820" w:type="dxa"/>
            <w:vAlign w:val="bottom"/>
          </w:tcPr>
          <w:p>
            <w:pPr>
              <w:jc w:val="center"/>
              <w:ind w:right="78"/>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7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1,190,85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beginning of year</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515,291</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435,568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563,691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27,386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591,077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vested and/or issued</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(584,359 )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(27,386 )</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(611,745 )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(23,617 )</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(23,617 )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70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1,146,57</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end of quarter</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471,006</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435,568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760" w:hanging="378"/>
        <w:spacing w:after="0" w:line="25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first nine months of fiscal 2022, the Company granted RSUs for the achievement of performance metrics under the 2019-2021 LTIP that were subject to additional vesting through August 31, 2022 and time-based RSUs under its 2022-2024 LTIP. See Note 5,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Plans</w:t>
      </w:r>
      <w:r>
        <w:rPr>
          <w:rFonts w:ascii="Times New Roman" w:cs="Times New Roman" w:eastAsia="Times New Roman" w:hAnsi="Times New Roman"/>
          <w:sz w:val="18"/>
          <w:szCs w:val="18"/>
          <w:color w:val="auto"/>
        </w:rPr>
        <w:t>. As a result of net share settlements, of the 584,359 RSUs that vested, only 419,542 shares of common stock were issued.</w:t>
      </w:r>
    </w:p>
    <w:p>
      <w:pPr>
        <w:spacing w:after="0" w:line="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deferred shares will be issued upon the director’s separation from service.</w:t>
      </w:r>
    </w:p>
    <w:p>
      <w:pPr>
        <w:spacing w:after="0" w:line="10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remaining performance stock units (“PSUs”) granted to Mr. Kanter in February 2019. The 240,000 PSUs will vest when the trailing 90-day volume-weighted average closing stock price (“VWAP”) is $8.00. The PSUs will expire on April 1, 2023 if the $8.00 VWAP is not achieved by that date.</w:t>
      </w:r>
    </w:p>
    <w:p>
      <w:pPr>
        <w:spacing w:after="0" w:line="6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compensation, with a fair value of $121,485, to certain directors, who are required to receive shares, in lieu of cash, in order to satisfy their minimum equity ownership under the Non-Employee Director Plan. Voluntary shares received, in lieu of cash, are reported below under </w:t>
      </w:r>
      <w:r>
        <w:rPr>
          <w:rFonts w:ascii="Times New Roman" w:cs="Times New Roman" w:eastAsia="Times New Roman" w:hAnsi="Times New Roman"/>
          <w:sz w:val="18"/>
          <w:szCs w:val="18"/>
          <w:i w:val="1"/>
          <w:iCs w:val="1"/>
          <w:color w:val="auto"/>
        </w:rPr>
        <w:t>Non-Employee Director Compensation Plan</w:t>
      </w:r>
      <w:r>
        <w:rPr>
          <w:rFonts w:ascii="Times New Roman" w:cs="Times New Roman" w:eastAsia="Times New Roman" w:hAnsi="Times New Roman"/>
          <w:sz w:val="18"/>
          <w:szCs w:val="18"/>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Weighted-</w:t>
            </w: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Number of</w:t>
            </w: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color w:val="auto"/>
              </w:rPr>
              <w:t>exercise price</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6"/>
                <w:szCs w:val="16"/>
                <w:color w:val="auto"/>
              </w:rPr>
            </w:pP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per option</w:t>
            </w: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contractual term</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options at beginning of year</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4,621,550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years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16,066,914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Options exercised </w:t>
            </w:r>
            <w:r>
              <w:rPr>
                <w:rFonts w:ascii="Times New Roman" w:cs="Times New Roman" w:eastAsia="Times New Roman" w:hAnsi="Times New Roman"/>
                <w:sz w:val="24"/>
                <w:szCs w:val="24"/>
                <w:color w:val="auto"/>
                <w:vertAlign w:val="superscript"/>
              </w:rPr>
              <w:t>(1)</w:t>
            </w:r>
          </w:p>
        </w:tc>
        <w:tc>
          <w:tcPr>
            <w:tcW w:w="2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(752,938 )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expired and canceled</w:t>
            </w:r>
          </w:p>
        </w:tc>
        <w:tc>
          <w:tcPr>
            <w:tcW w:w="15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(177,454 )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804,868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Outstanding options at end of quarter</w:t>
            </w:r>
          </w:p>
        </w:tc>
        <w:tc>
          <w:tcPr>
            <w:tcW w:w="1560" w:type="dxa"/>
            <w:vAlign w:val="bottom"/>
            <w:tcBorders>
              <w:top w:val="single" w:sz="8" w:color="CFF0FC"/>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3,706,905</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0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years</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21,505,348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exercisable at end of quarter</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1,242,201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years</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6,447,396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40" w:type="dxa"/>
            <w:vAlign w:val="bottom"/>
          </w:tcPr>
          <w:p>
            <w:pPr>
              <w:spacing w:after="0"/>
              <w:rPr>
                <w:sz w:val="24"/>
                <w:szCs w:val="24"/>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3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-633730</wp:posOffset>
            </wp:positionV>
            <wp:extent cx="7683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-633730</wp:posOffset>
            </wp:positionV>
            <wp:extent cx="6858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-633730</wp:posOffset>
            </wp:positionV>
            <wp:extent cx="6858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 w:name="page16"/>
    <w:bookmarkEnd w:id="15"/>
    <w:p>
      <w:pPr>
        <w:ind w:left="520" w:right="400" w:hanging="3"/>
        <w:spacing w:after="0" w:line="282" w:lineRule="auto"/>
        <w:tabs>
          <w:tab w:leader="none" w:pos="7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net share settlements, of the 752,938 shares underlying stock options that were exercised during the first nine months of fiscal 2022, only 527,712 shares of common stock were issued.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first nine months of fiscal 2022, the Company granted stock options to purchase an aggregate of 15,747 shares of common stock, 563,691 restricted stock units and 27,386 fully-vested shares. For the first nine months of fiscal 2021, the Company granted stock options to purchase an aggregate of 1,518,154 shares of common stock and 8,054 restricted stock units.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Non-Employee Director Compensation Plan</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granted 57,307 shares of common stock, with a fair value of approximately $254,218, to certain of its non-employee directors as compensation in lieu of cash in the first nine months of fiscal 2022. These shares are in addition to any shares that may be granted under the 2016 Plan related to the requirement to receive equity if a director has not yet satisfied his or her minimum equity ownership requirement under the Non-Employee Director Compensation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Compensation Expense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of $1.1 million and $0.9 million for the first nine months of fiscal 2022 and fiscal 2021, respectively. The total compensation cost related to time-vested stock options and RSU awards not yet recognized as of October 29, 2022 was approximately $2.2 million, net of estimated forfeitures, which will be expensed over a weighted average remaining life of 32 months.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 and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number of shares outstanding for basic and diluted earnings per share:</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54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00" w:type="dxa"/>
            <w:vAlign w:val="bottom"/>
          </w:tcPr>
          <w:p>
            <w:pPr>
              <w:spacing w:after="0"/>
              <w:rPr>
                <w:sz w:val="15"/>
                <w:szCs w:val="15"/>
                <w:color w:val="auto"/>
              </w:rPr>
            </w:pPr>
          </w:p>
        </w:tc>
        <w:tc>
          <w:tcPr>
            <w:tcW w:w="248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For the nine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b w:val="1"/>
                <w:bCs w:val="1"/>
                <w:i w:val="1"/>
                <w:i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October 29, 2022</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October 30, 2021</w:t>
            </w: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October 29, 2022</w:t>
            </w:r>
          </w:p>
        </w:tc>
        <w:tc>
          <w:tcPr>
            <w:tcW w:w="18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October 30,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63,699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62,928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78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Common stock equivalents – stock options, restricted stock</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20" w:type="dxa"/>
            <w:vAlign w:val="bottom"/>
            <w:vMerge w:val="restart"/>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200" w:type="dxa"/>
            <w:vAlign w:val="bottom"/>
            <w:vMerge w:val="restart"/>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80" w:type="dxa"/>
            <w:vAlign w:val="bottom"/>
            <w:vMerge w:val="restart"/>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and deferred stock</w:t>
            </w: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vMerge w:val="continue"/>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68,644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-156845</wp:posOffset>
            </wp:positionV>
            <wp:extent cx="6858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-156845</wp:posOffset>
            </wp:positionV>
            <wp:extent cx="6858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-156845</wp:posOffset>
            </wp:positionV>
            <wp:extent cx="60325"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146050"/>
                    </a:xfrm>
                    <a:prstGeom prst="rect">
                      <a:avLst/>
                    </a:prstGeom>
                    <a:noFill/>
                  </pic:spPr>
                </pic:pic>
              </a:graphicData>
            </a:graphic>
          </wp:anchor>
        </w:drawing>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restricted stock units, or deferred stock had an anti-dilutive effect.</w:t>
      </w:r>
    </w:p>
    <w:p>
      <w:pPr>
        <w:spacing w:after="0" w:line="186" w:lineRule="exact"/>
        <w:rPr>
          <w:sz w:val="20"/>
          <w:szCs w:val="20"/>
          <w:color w:val="auto"/>
        </w:rPr>
      </w:pPr>
    </w:p>
    <w:tbl>
      <w:tblPr>
        <w:tblLayout w:type="fixed"/>
        <w:tblInd w:w="42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70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00" w:type="dxa"/>
            <w:vAlign w:val="bottom"/>
          </w:tcPr>
          <w:p>
            <w:pPr>
              <w:spacing w:after="0"/>
              <w:rPr>
                <w:sz w:val="15"/>
                <w:szCs w:val="15"/>
                <w:color w:val="auto"/>
              </w:rPr>
            </w:pPr>
          </w:p>
        </w:tc>
        <w:tc>
          <w:tcPr>
            <w:tcW w:w="2620" w:type="dxa"/>
            <w:vAlign w:val="bottom"/>
            <w:gridSpan w:val="3"/>
          </w:tcPr>
          <w:p>
            <w:pPr>
              <w:jc w:val="right"/>
              <w:ind w:right="459"/>
              <w:spacing w:after="0"/>
              <w:rPr>
                <w:sz w:val="20"/>
                <w:szCs w:val="20"/>
                <w:color w:val="auto"/>
              </w:rPr>
            </w:pPr>
            <w:r>
              <w:rPr>
                <w:rFonts w:ascii="Times New Roman" w:cs="Times New Roman" w:eastAsia="Times New Roman" w:hAnsi="Times New Roman"/>
                <w:sz w:val="14"/>
                <w:szCs w:val="14"/>
                <w:color w:val="auto"/>
              </w:rPr>
              <w:t>For the nine months ended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October 29, 2022</w:t>
            </w:r>
          </w:p>
        </w:tc>
        <w:tc>
          <w:tcPr>
            <w:tcW w:w="220" w:type="dxa"/>
            <w:vAlign w:val="bottom"/>
          </w:tcPr>
          <w:p>
            <w:pPr>
              <w:spacing w:after="0"/>
              <w:rPr>
                <w:sz w:val="16"/>
                <w:szCs w:val="16"/>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October 30, 2021</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October 29, 2022</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color w:val="auto"/>
              </w:rPr>
              <w:t>October 30, 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2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$4.48-$6.59</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$6.59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$4.19 - $5.50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options, which were outstanding at October 29, 2022, expire from May 28, 2023 to October 26, 2032.</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Excluded from the computation of basic and diluted earnings per share were 240,000 shares for the third quarter and first nine months of fiscal 2022 and 480,000 shares for the third quarter and first nine months of fiscal 2021 of unvested performance stock units. These performance-based awards are included in the computation of basic and diluted earnings per share if, and when, the respective performance targets are achieved. In addition, 435,568 shares of deferred stock at October 29, 2022 and at October 30, 2021 were excluded from basic earnings per share. Outstanding shares of deferred stock are not considered issued and outstanding until the vesting date of the deferral period.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Repurchase Program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15, 2022, the Company’s Board of Directors approved a stock repurchase program. Under the stock repurchase program, the Company may repurchase up to $15.0 million of its common stock through open market and privately negotiated transactions.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6" w:name="page17"/>
    <w:bookmarkEnd w:id="16"/>
    <w:p>
      <w:pPr>
        <w:jc w:val="both"/>
        <w:spacing w:after="0" w:line="250" w:lineRule="auto"/>
        <w:rPr>
          <w:sz w:val="20"/>
          <w:szCs w:val="20"/>
          <w:color w:val="auto"/>
        </w:rPr>
      </w:pPr>
      <w:r>
        <w:rPr>
          <w:rFonts w:ascii="Times New Roman" w:cs="Times New Roman" w:eastAsia="Times New Roman" w:hAnsi="Times New Roman"/>
          <w:sz w:val="18"/>
          <w:szCs w:val="18"/>
          <w:color w:val="auto"/>
        </w:rPr>
        <w:t>The timing and the amount of any repurchases of common stock will be determined based on the Company’s evaluation of market conditions and other factors. The stock repurchase program commenced in the first quarter of fiscal 2022 and will expire on March 15, 2023, but may be suspended, terminated or modified at any time for any reason. The Company expects to finance the repurchases from operating funds and/or periodic borrowings on its credit facility.</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stock repurchases in the third quarter of fiscal 2022. For the first nine months of fiscal 2022, the Company repurchased 2.9 million shares at an aggregate cost of $12.7 million, including fees, from available cash on hand. Shares of repurchased common stock are held as treasury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0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Since the end of fiscal 2013, the Company has maintained a full valuation allowance against its deferred tax assets. During the second quarter of fiscal 2022, the Company determined that it was more likely than not that it would be able to realize the benefit of substantially all of its deferred tax assets in the United States. In reaching this determination, the Company considered the cumulative three years of profitability, its expectations regarding the generation of future taxable income as well as the overall improvement in the Company's business and its current market position. As a result, in the second quarter of fiscal 2022, the Company recognized a discrete tax benefit related to the release of approximately $35.5 million in valuation allowance against its deferred tax assets in the United States that are expected to be realized in future years. At October 29, 2022, the Company continued to provide a valuation allowance of $2.4 million primarily against certain state and foreign net operating losses ("NOLs").</w:t>
      </w:r>
    </w:p>
    <w:p>
      <w:pPr>
        <w:spacing w:after="0" w:line="7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For the third quarter of fiscal 2022, the Company recorded an income tax provision of $2.1 million, which included a $2.0 million discrete tax expense to adjust the release of the valuation allowance to reflect an increase in the Company's third quarter earnings and full-year earnings forecast. For the first nine months of fiscal 2022, the Company recorded an income tax benefit of $32.9 million, which included a discrete tax benefit of $33.5 million for the release of the valuation allowance discussed above.</w:t>
      </w:r>
    </w:p>
    <w:p>
      <w:pPr>
        <w:spacing w:after="0" w:line="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the third quarter and first nine months of fiscal 2021, the Company recorded an income tax provision of $94,000 and $548,000, respectively, primarily related to income tax in states where NOL usage was statutorily limited.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tax payments of $0.3 million and $0.1 million for the first nine months of fiscal 2022 and fiscal 2021, respectively.</w:t>
      </w:r>
    </w:p>
    <w:p>
      <w:pPr>
        <w:spacing w:after="0" w:line="117" w:lineRule="exact"/>
        <w:rPr>
          <w:sz w:val="20"/>
          <w:szCs w:val="20"/>
          <w:color w:val="auto"/>
        </w:rPr>
      </w:pPr>
    </w:p>
    <w:p>
      <w:pPr>
        <w:jc w:val="both"/>
        <w:ind w:right="120"/>
        <w:spacing w:after="0" w:line="245" w:lineRule="auto"/>
        <w:rPr>
          <w:sz w:val="20"/>
          <w:szCs w:val="20"/>
          <w:color w:val="auto"/>
        </w:rPr>
      </w:pPr>
      <w:r>
        <w:rPr>
          <w:rFonts w:ascii="Times New Roman" w:cs="Times New Roman" w:eastAsia="Times New Roman" w:hAnsi="Times New Roman"/>
          <w:sz w:val="18"/>
          <w:szCs w:val="18"/>
          <w:color w:val="auto"/>
        </w:rPr>
        <w:t>For federal income tax purposes, at the end of fiscal 2021, the Company had net operating loss carryforwards of approximately $100.7 million, which will expire from fiscal 2028 through fiscal 2037, and net operating loss carryforwards of $43.1 million that are not subject to expiration. For state purposes, at the end of fiscal 2021, the Company had $90.0 million of net operating losses that are available to offset future taxable income, the majority of which will expire from fiscal 2028 through fiscal 2041.</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expectations with respect to sales trends, including expected sales growth in the fourth quarter of 2022, expected marketing costs in 2022, gross margin rate, improved inventory levels and our management of inventory levels, our ability to realize our deferred tax assets, increased freight costs, increases in certain raw materials cost, our long-term outlook, expected capital expenditures in 2022, our ability to attract new customers, and our plans with respect to our store portfolio, including anticipated closures, re-brandings, and new and relocated stores.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29, 2022, included in our Annual Report on Form 10-K for the year ended January 29, 2022, as filed with the Securities and Exchange Commission on March 17, 2022 (our “Fiscal 2021 Annual Report”).</w:t>
      </w:r>
    </w:p>
    <w:p>
      <w:pPr>
        <w:spacing w:after="0" w:line="19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Numerous factors could cause our actual results to differ materially from such forward-looking statements. This discussion sets forth certain risks and uncertainties that may have an impact on future results and direction of our Company, including, without limitation, risks related to labor shortages, increased labor costs, changes in consumer spending in response to the economy, the ongoing effects of the COVID-19 pandemic, the economic impact of the war in Ukraine, our ability to navigate supply chain uncertainties, our ability to maintain appropriate inventory levels, our ability to successfully execute on our corporate strategy, our ability to predict customer tastes and fashion trends, our ability to grow market share, and the other risks and uncertainties set forth in the “Risk Factors” section in Part I, Item 1A of our Fiscal 2021 Annual Report.</w:t>
      </w:r>
    </w:p>
    <w:p>
      <w:pPr>
        <w:spacing w:after="0" w:line="18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Destination XL Group, Inc., together with our consolidated subsidiaries (the “Company”), is the largest specialty retailer of big and tall men’s clothing with</w:t>
      </w:r>
    </w:p>
    <w:p>
      <w:pPr>
        <w:spacing w:after="0" w:line="3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retail and direct operations in the United States. We operate under the trade names of Destination 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 Outlets,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Casual Male XL Outlets. At October 29, 2022, we operated 218 Destination XL stores, 16 DXL outlet stores, 30 Casual Male XL retail stores, 19 Casual Male XL outlet stores and a digital business, including an e-commerce site at dxl.com and a mobile site, m.destinationXL.com, mobile app and third-party marketplaces.</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 “us” and “the Company” refer to Destination XL Group, Inc. and our consolidated subsidiaries. We refer to our fiscal years, which end on January 28, 2023, January 29, 2022 and January 30, 2021 as “fiscal 2022,” “fiscal 2021” and “fiscal 2020,” respectively. All three fiscal years are 52-week periods.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08"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color w:val="auto"/>
        </w:rPr>
        <w:t>We currently have two principal operating segments: our stores and direct business. We consider our stores and direct business segments to be similar in terms of economic characteristics, production processes and operations, and have therefore aggregated them into one reportable segment, retail segment, consistent with our omni-channel business approach. Our wholesale segment was a third operating segment. In the first quarter of fiscal 2022, we ended the relationship with our primary wholesale customer. Due to the immateriality of the wholesale segment’s revenues, profits and assets, its operating results have been aggregated with the retail segment for all periods.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2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w:t>
      </w: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8" w:name="page19"/>
    <w:bookmarkEnd w:id="18"/>
    <w:p>
      <w:pPr>
        <w:ind w:right="160"/>
        <w:spacing w:after="0" w:line="250" w:lineRule="auto"/>
        <w:rPr>
          <w:sz w:val="20"/>
          <w:szCs w:val="20"/>
          <w:color w:val="auto"/>
        </w:rPr>
      </w:pPr>
      <w:r>
        <w:rPr>
          <w:rFonts w:ascii="Times New Roman" w:cs="Times New Roman" w:eastAsia="Times New Roman" w:hAnsi="Times New Roman"/>
          <w:sz w:val="18"/>
          <w:szCs w:val="18"/>
          <w:color w:val="auto"/>
        </w:rPr>
        <w:t>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and at curbside. We define store sales as sales that originate and are fulfilled directly at the store level. Digital commerce sales, which we also refer to as direct sales, are defined as sales that originate online, whether through our website, at the store level or through a third-party marketplace.</w:t>
      </w:r>
    </w:p>
    <w:p>
      <w:pPr>
        <w:spacing w:after="0" w:line="19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Stores that have been open for at least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5"/>
                <w:szCs w:val="15"/>
                <w:color w:val="auto"/>
              </w:rPr>
            </w:pPr>
          </w:p>
        </w:tc>
        <w:tc>
          <w:tcPr>
            <w:tcW w:w="28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8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October 29, 2022</w:t>
            </w:r>
          </w:p>
        </w:tc>
        <w:tc>
          <w:tcPr>
            <w:tcW w:w="120" w:type="dxa"/>
            <w:vAlign w:val="bottom"/>
          </w:tcPr>
          <w:p>
            <w:pPr>
              <w:spacing w:after="0"/>
              <w:rPr>
                <w:sz w:val="16"/>
                <w:szCs w:val="16"/>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October 30, 2021</w:t>
            </w:r>
          </w:p>
        </w:tc>
        <w:tc>
          <w:tcPr>
            <w:tcW w:w="100" w:type="dxa"/>
            <w:vAlign w:val="bottom"/>
          </w:tcPr>
          <w:p>
            <w:pPr>
              <w:spacing w:after="0"/>
              <w:rPr>
                <w:sz w:val="16"/>
                <w:szCs w:val="16"/>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October 29, 2022</w:t>
            </w:r>
          </w:p>
        </w:tc>
        <w:tc>
          <w:tcPr>
            <w:tcW w:w="10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October 30, 2021</w:t>
            </w:r>
          </w:p>
        </w:tc>
      </w:tr>
      <w:tr>
        <w:trPr>
          <w:trHeight w:val="149"/>
        </w:trPr>
        <w:tc>
          <w:tcPr>
            <w:tcW w:w="20" w:type="dxa"/>
            <w:vAlign w:val="bottom"/>
            <w:tcBorders>
              <w:bottom w:val="single" w:sz="8" w:color="CFF0FC"/>
            </w:tcBorders>
            <w:shd w:val="clear" w:color="auto" w:fill="CFF0FC"/>
          </w:tcPr>
          <w:p>
            <w:pPr>
              <w:spacing w:after="0"/>
              <w:rPr>
                <w:sz w:val="12"/>
                <w:szCs w:val="12"/>
                <w:color w:val="auto"/>
              </w:rPr>
            </w:pPr>
          </w:p>
        </w:tc>
        <w:tc>
          <w:tcPr>
            <w:tcW w:w="3420" w:type="dxa"/>
            <w:vAlign w:val="bottom"/>
            <w:tcBorders>
              <w:bottom w:val="single" w:sz="8" w:color="auto"/>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millions, except percentage of sales and per share data)</w:t>
            </w:r>
          </w:p>
        </w:tc>
        <w:tc>
          <w:tcPr>
            <w:tcW w:w="1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CFF0FC"/>
            </w:tcBorders>
            <w:shd w:val="clear" w:color="auto" w:fill="CFF0FC"/>
          </w:tcPr>
          <w:p>
            <w:pPr>
              <w:spacing w:after="0"/>
              <w:rPr>
                <w:sz w:val="12"/>
                <w:szCs w:val="12"/>
                <w:color w:val="auto"/>
              </w:rPr>
            </w:pPr>
          </w:p>
        </w:tc>
        <w:tc>
          <w:tcPr>
            <w:tcW w:w="1200" w:type="dxa"/>
            <w:vAlign w:val="bottom"/>
            <w:tcBorders>
              <w:top w:val="single" w:sz="8" w:color="auto"/>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CFF0FC"/>
            </w:tcBorders>
            <w:shd w:val="clear" w:color="auto" w:fill="CFF0FC"/>
          </w:tcPr>
          <w:p>
            <w:pPr>
              <w:spacing w:after="0"/>
              <w:rPr>
                <w:sz w:val="12"/>
                <w:szCs w:val="12"/>
                <w:color w:val="auto"/>
              </w:rPr>
            </w:pPr>
          </w:p>
        </w:tc>
        <w:tc>
          <w:tcPr>
            <w:tcW w:w="1180" w:type="dxa"/>
            <w:vAlign w:val="bottom"/>
            <w:tcBorders>
              <w:top w:val="single" w:sz="8" w:color="auto"/>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CFF0FC"/>
            </w:tcBorders>
            <w:shd w:val="clear" w:color="auto" w:fill="CFF0FC"/>
          </w:tcPr>
          <w:p>
            <w:pPr>
              <w:spacing w:after="0"/>
              <w:rPr>
                <w:sz w:val="12"/>
                <w:szCs w:val="12"/>
                <w:color w:val="auto"/>
              </w:rPr>
            </w:pPr>
          </w:p>
        </w:tc>
        <w:tc>
          <w:tcPr>
            <w:tcW w:w="1160" w:type="dxa"/>
            <w:vAlign w:val="bottom"/>
            <w:tcBorders>
              <w:top w:val="single" w:sz="8" w:color="auto"/>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CFF0FC"/>
            </w:tcBorders>
            <w:shd w:val="clear" w:color="auto" w:fill="CFF0FC"/>
          </w:tcPr>
          <w:p>
            <w:pPr>
              <w:spacing w:after="0"/>
              <w:rPr>
                <w:sz w:val="12"/>
                <w:szCs w:val="12"/>
                <w:color w:val="auto"/>
              </w:rPr>
            </w:pPr>
          </w:p>
        </w:tc>
        <w:tc>
          <w:tcPr>
            <w:tcW w:w="1120" w:type="dxa"/>
            <w:vAlign w:val="bottom"/>
            <w:tcBorders>
              <w:top w:val="single" w:sz="8" w:color="auto"/>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r>
      <w:tr>
        <w:trPr>
          <w:trHeight w:val="175"/>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3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220" w:type="dxa"/>
            <w:vAlign w:val="bottom"/>
          </w:tcPr>
          <w:p>
            <w:pPr>
              <w:spacing w:after="0"/>
              <w:rPr>
                <w:sz w:val="15"/>
                <w:szCs w:val="15"/>
                <w:color w:val="auto"/>
              </w:rPr>
            </w:pPr>
          </w:p>
        </w:tc>
      </w:tr>
      <w:tr>
        <w:trPr>
          <w:trHeight w:val="176"/>
        </w:trPr>
        <w:tc>
          <w:tcPr>
            <w:tcW w:w="5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20" w:type="dxa"/>
            <w:vAlign w:val="bottom"/>
            <w:shd w:val="clear" w:color="auto" w:fill="CFF0FC"/>
          </w:tcPr>
          <w:p>
            <w:pPr>
              <w:spacing w:after="0"/>
              <w:rPr>
                <w:sz w:val="15"/>
                <w:szCs w:val="15"/>
                <w:color w:val="auto"/>
              </w:rPr>
            </w:pPr>
          </w:p>
        </w:tc>
      </w:tr>
      <w:tr>
        <w:trPr>
          <w:trHeight w:val="175"/>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3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20" w:type="dxa"/>
            <w:vAlign w:val="bottom"/>
          </w:tcPr>
          <w:p>
            <w:pPr>
              <w:spacing w:after="0"/>
              <w:rPr>
                <w:sz w:val="15"/>
                <w:szCs w:val="15"/>
                <w:color w:val="auto"/>
              </w:rPr>
            </w:pPr>
          </w:p>
        </w:tc>
      </w:tr>
      <w:tr>
        <w:trPr>
          <w:trHeight w:val="176"/>
        </w:trPr>
        <w:tc>
          <w:tcPr>
            <w:tcW w:w="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spacing w:after="0"/>
              <w:rPr>
                <w:sz w:val="15"/>
                <w:szCs w:val="15"/>
                <w:color w:val="auto"/>
              </w:rPr>
            </w:pPr>
          </w:p>
        </w:tc>
      </w:tr>
      <w:tr>
        <w:trPr>
          <w:trHeight w:val="176"/>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Gross Margin. as a percentage of sales</w:t>
            </w:r>
          </w:p>
        </w:tc>
        <w:tc>
          <w:tcPr>
            <w:tcW w:w="12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50.0 %</w:t>
            </w:r>
          </w:p>
        </w:tc>
        <w:tc>
          <w:tcPr>
            <w:tcW w:w="12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50.2 %</w:t>
            </w:r>
          </w:p>
        </w:tc>
        <w:tc>
          <w:tcPr>
            <w:tcW w:w="1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50.8 %</w:t>
            </w:r>
          </w:p>
        </w:tc>
        <w:tc>
          <w:tcPr>
            <w:tcW w:w="10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49.4 %</w:t>
            </w:r>
          </w:p>
        </w:tc>
      </w:tr>
      <w:tr>
        <w:trPr>
          <w:trHeight w:val="175"/>
        </w:trPr>
        <w:tc>
          <w:tcPr>
            <w:tcW w:w="5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SG&amp;A expenses, as a percentage of sales</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37.3 %</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34.5 %</w:t>
            </w:r>
          </w:p>
        </w:tc>
        <w:tc>
          <w:tcPr>
            <w:tcW w:w="1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35.9 %</w:t>
            </w:r>
          </w:p>
        </w:tc>
        <w:tc>
          <w:tcPr>
            <w:tcW w:w="1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32.5 %</w:t>
            </w: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20" w:type="dxa"/>
            <w:vAlign w:val="bottom"/>
            <w:shd w:val="clear" w:color="auto" w:fill="CFF0FC"/>
          </w:tcPr>
          <w:p>
            <w:pPr>
              <w:spacing w:after="0"/>
              <w:rPr>
                <w:sz w:val="13"/>
                <w:szCs w:val="13"/>
                <w:color w:val="auto"/>
              </w:rPr>
            </w:pPr>
          </w:p>
        </w:tc>
        <w:tc>
          <w:tcPr>
            <w:tcW w:w="50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Per diluted share:</w:t>
            </w: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r>
      <w:tr>
        <w:trPr>
          <w:trHeight w:val="188"/>
        </w:trPr>
        <w:tc>
          <w:tcPr>
            <w:tcW w:w="20" w:type="dxa"/>
            <w:vAlign w:val="bottom"/>
            <w:tcBorders>
              <w:top w:val="single" w:sz="8" w:color="CFF0FC"/>
            </w:tcBorders>
          </w:tcPr>
          <w:p>
            <w:pPr>
              <w:spacing w:after="0"/>
              <w:rPr>
                <w:sz w:val="16"/>
                <w:szCs w:val="16"/>
                <w:color w:val="auto"/>
              </w:rPr>
            </w:pP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income</w:t>
            </w:r>
          </w:p>
        </w:tc>
        <w:tc>
          <w:tcPr>
            <w:tcW w:w="4000" w:type="dxa"/>
            <w:vAlign w:val="bottom"/>
            <w:tcBorders>
              <w:top w:val="single" w:sz="8" w:color="CFF0FC"/>
            </w:tcBorders>
            <w:gridSpan w:val="2"/>
          </w:tcPr>
          <w:p>
            <w:pPr>
              <w:spacing w:after="0"/>
              <w:rPr>
                <w:sz w:val="16"/>
                <w:szCs w:val="16"/>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3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3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8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220" w:type="dxa"/>
            <w:vAlign w:val="bottom"/>
            <w:tcBorders>
              <w:top w:val="single" w:sz="8" w:color="CFF0FC"/>
            </w:tcBorders>
          </w:tcPr>
          <w:p>
            <w:pPr>
              <w:spacing w:after="0"/>
              <w:rPr>
                <w:sz w:val="16"/>
                <w:szCs w:val="16"/>
                <w:color w:val="auto"/>
              </w:rPr>
            </w:pPr>
          </w:p>
        </w:tc>
      </w:tr>
    </w:tbl>
    <w:p>
      <w:pPr>
        <w:spacing w:after="0" w:line="200" w:lineRule="exact"/>
        <w:rPr>
          <w:sz w:val="20"/>
          <w:szCs w:val="20"/>
          <w:color w:val="auto"/>
        </w:rPr>
      </w:pPr>
    </w:p>
    <w:p>
      <w:pPr>
        <w:spacing w:after="0" w:line="22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are pleased to report continued earnings and sales growth this quarter, with results exceeding our internal expectations, especially up against a very strong third quarter last year. Comparable sales increased 8.7% for the quarter, with strong performance from our stores, which were up 10.1% for the third quarter, with all regions reporting sales growth over last year. This growth was primarily driven by higher dollars per transactions and conversion. The increase in dollars per transactions was attributable to our reduced reliance on promotions and a shift in merchandise mix to higher-price items, such as tailored clothing. Our direct business had a comparable sales increase of 5.5% for the third quarter, driven primarily by our web, app and marketplaces. Our gross margin rate for the third quarter continued to benefit from the low promotions and clearance enabling us to partially offset the increase in freight and raw material costs that we continue to experience. In line with our expectations, our selling, general and administrative expenses (SG&amp;A) increased by 280 basis points during the third quarter, with our marketing costs representing approximately 140 basis points of this increase. The remainder of the increase in SG&amp;A was primarily due to increased payroll costs to support sales growth and higher accruals for performance-based incentive plans. As a result, net income for the third quarter was $10.5 million, or $0.16 per diluted share, as compared to net income for the third quarter of fiscal 2021 of $13.7 million, or $0.20 per diluted share.</w:t>
      </w:r>
    </w:p>
    <w:p>
      <w:pPr>
        <w:spacing w:after="0" w:line="188"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At October 29, 2022, we had no debt outstanding and we did not borrow from our credit facility during the first nine months. Our unused excess availability at October 29, 2022 was $90.2 million. At the end of the third quarter, we are in a strong inventory position and have been able to replenish those categories that were depleted last year. As a result, our inventory level at the end of the third quarter was intentionally up 29.8% from last year, but was down 11.1%, when compared to the end of the third quarter in fiscal 2019 inventory, or pre-pandemic levels. In addition, we have improved our inventory turn by over 30% from the third quarter of fiscal 2019.</w:t>
      </w:r>
    </w:p>
    <w:p>
      <w:pPr>
        <w:spacing w:after="0" w:line="19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we previously disclosed, the Company's Board of Directors approved a $15.0 million stock repurchase program in March 2022 and, during the first nine months of fiscal 2022, we utilized our free cash flow to repurchase 2.9 million shares of our common stock, at an aggregate cost of $12.7 million, including fees. There were no repurchases of stock during the third quarter of fiscal 2022.</w:t>
      </w:r>
    </w:p>
    <w:p>
      <w:pPr>
        <w:spacing w:after="0" w:line="16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Our results year-to-date have outperformed our expectations and we believe that we are well-positioned as we head into the fourth quarter. While we remain optimistic, we are cognizant of the potential impact that inflation and other macro-economic factors may have on fourth quarter consumer spending. We expect to grow our comparable sales in the fourth quarter by single digits.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sales by segment for the three and nine months ended October 29, 2022 and October 30,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jc w:val="right"/>
              <w:ind w:right="55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6"/>
          </w:tcPr>
          <w:p>
            <w:pPr>
              <w:jc w:val="right"/>
              <w:ind w:right="49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October 29,</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October 30,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98"/>
              </w:rPr>
              <w:t>October 29,</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October 30,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70.3 %</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70.5 %</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91,770</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70.8 %</w:t>
            </w: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84,762</w:t>
            </w:r>
          </w:p>
        </w:tc>
        <w:tc>
          <w:tcPr>
            <w:tcW w:w="1040" w:type="dxa"/>
            <w:vAlign w:val="bottom"/>
            <w:gridSpan w:val="3"/>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280,973</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70.0 %</w:t>
            </w: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258,685</w:t>
            </w:r>
          </w:p>
        </w:tc>
        <w:tc>
          <w:tcPr>
            <w:tcW w:w="9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sales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37,901</w:t>
            </w: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29.2 %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35,837</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29.7 %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120,588</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30.0 %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108,043</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29.5 %</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segment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129,671</w:t>
            </w: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120,599</w:t>
            </w: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401,561</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366,728</w:t>
            </w: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Wholesale segment</w:t>
            </w: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129,671</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121,486</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401,960</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371,570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2832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-170815</wp:posOffset>
            </wp:positionV>
            <wp:extent cx="7683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-170815</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-170815</wp:posOffset>
            </wp:positionV>
            <wp:extent cx="685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-170815</wp:posOffset>
            </wp:positionV>
            <wp:extent cx="6858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Total sales for the third quarter of fiscal 2022 were $129.7 million, as compared to $121.5 million in the third quarter of fiscal 2021. Comparable sales for the third quarter were up 8.7% with comparable sales from our stores up 10.1% and our direct business up 5.5%.</w:t>
      </w:r>
    </w:p>
    <w:p>
      <w:pPr>
        <w:spacing w:after="0" w:line="40"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18"/>
          <w:szCs w:val="18"/>
          <w:color w:val="auto"/>
        </w:rPr>
        <w:t>Store sales for the third quarter exceeded our plan, driven primarily by increases in dollars per transaction and conversion. The increase in dollars per transaction was attributable to a combination of factors, including less markdowns as a result of fewer promotions and deeper penetration in high-ticket categories such as tailored clothing. All regions outperformed the prior year third quarter, with the southeast region showing the strongest sales increase. The growth in our direct business of 5.5% was driven primarily by our web and app with continued growth from online marketplaces. Stores accelerated and outpaced the direct business in total during the third quarter, as consumers continued to return to stores at an increasing level.</w:t>
      </w:r>
    </w:p>
    <w:p>
      <w:pPr>
        <w:spacing w:after="0" w:line="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Compared to the third quarter of fiscal 2019, the last normalized selling year, our comparable sales for the third quarter of fiscal 2022 were up 33.7%. We believe the comparison to fiscal 2019 is relevant when evaluating our sales performance given the impact of the pandemic on the past two years.</w:t>
      </w:r>
    </w:p>
    <w:p>
      <w:pPr>
        <w:spacing w:after="0" w:line="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compared to the third quarter of fiscal 2021, for the third quarter of fiscal 2022 comparable sales were up 7.4% in August, up 8.5% in September and up 10.3% in October. We are aware of the potential macro-economic impact on consumer spending in the fourth quarter. As a result, while we remain optimistic, we are conservatively forecasting comparable sales growth for the fourth quarter of fiscal 2022 to be single digits.</w:t>
      </w:r>
    </w:p>
    <w:p>
      <w:pPr>
        <w:spacing w:after="0" w:line="6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first nine months of fiscal 2022, total sales increased 8.2% to $402.0 million, as compared to $371.6 million for the first nine months of fiscal 2021. Comparable sales for the first nine months of fiscal 2022, as compared to fiscal 2021, increased 10.9%, with comparable sales from our stores up 10.7% and our direct business up 11.5%.</w:t>
      </w:r>
    </w:p>
    <w:p>
      <w:pPr>
        <w:spacing w:after="0" w:line="61"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As we previously disclosed, during the first quarter of fiscal 2022, we ended our relationship with our primary wholesale customer. As a result, our wholesale revenues for the first nine months of fiscal 2022 were $0.4 million as compared to $4.8 million for the first nine months of fiscal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 Rate</w:t>
      </w:r>
    </w:p>
    <w:p>
      <w:pPr>
        <w:spacing w:after="0" w:line="10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the third quarter of fiscal 2022, our gross margin rate, inclusive of occupancy costs, was 50.0% as compared to a gross margin rate of 50.2% for third quarter of fiscal 2021.</w:t>
      </w:r>
    </w:p>
    <w:p>
      <w:pPr>
        <w:spacing w:after="0" w:line="68"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8"/>
          <w:szCs w:val="18"/>
          <w:color w:val="auto"/>
        </w:rPr>
        <w:t>Our gross margin rate decreased by 20-basis points, with a decrease in merchandise margin of 70-basis points, partially offset by a 50-basis point improvement in occupancy costs due to the increased leverage from sales. The decrease in merchandise margin of 70-basis points was due to increased costs for raw materials, increased shipping costs per package, driven by higher fuel costs and surcharges, and a higher penetration of our marketplace business, which has commission costs. Those increases were partially offset by lower promotional markdowns. We continue to optimize our pricing and promotional cadence to mitigate cost increases and preserve our margin rates.</w:t>
      </w:r>
    </w:p>
    <w:p>
      <w:pPr>
        <w:spacing w:after="0" w:line="73"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For the first nine months of fiscal 2022, our gross margin rate, inclusive of occupancy costs, was 50.8%, as compared to a gross margin rate of 49.4% for the first nine months of fiscal 2021. The increase of 140-basis points was due to an improvement of 110-basis points in occupancy costs, due to the increased leverage from sales, and an increase in merchandise margins of 30-basis points, due primarily to lower promotional markdowns partially offset by an increase in freight and shipping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As a percentage of sales, SG&amp;A (selling, general and administrative) expenses for the third quarter of fiscal 2022 were 37.3% as compared to 34.5% for the third quarter of fiscal 2021. The SG&amp;A rate for third quarter of fiscal 2021 was abnormally low due to the surge in sales from pent-up demand and stimulus money while at the same time experiencing a shortage in store staffing. However,</w:t>
      </w: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44" w:right="279" w:bottom="1440" w:gutter="0" w:footer="0" w:header="0"/>
        </w:sectPr>
      </w:pPr>
    </w:p>
    <w:bookmarkStart w:id="20" w:name="page21"/>
    <w:bookmarkEnd w:id="20"/>
    <w:p>
      <w:pPr>
        <w:ind w:right="140"/>
        <w:spacing w:after="0" w:line="282" w:lineRule="auto"/>
        <w:rPr>
          <w:sz w:val="20"/>
          <w:szCs w:val="20"/>
          <w:color w:val="auto"/>
        </w:rPr>
      </w:pPr>
      <w:r>
        <w:rPr>
          <w:rFonts w:ascii="Times New Roman" w:cs="Times New Roman" w:eastAsia="Times New Roman" w:hAnsi="Times New Roman"/>
          <w:sz w:val="18"/>
          <w:szCs w:val="18"/>
          <w:color w:val="auto"/>
        </w:rPr>
        <w:t>our SG&amp;A rate as a percentage of sales is favorable when compared against 39.5% in the third quarter of fiscal 2019, which was our last normalized third quarter, pre-pandemic.</w:t>
      </w:r>
    </w:p>
    <w:p>
      <w:pPr>
        <w:spacing w:after="0" w:line="4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On a dollar basis, SG&amp;A expenses increased by $6.4 million as compared to the third quarter of fiscal 2021. The increase was primarily due to an increase in marketing costs to drive customer acquisition and engagement, payroll costs to support sales growth, including merit adjustments and filling open positions, and an increase in performance-based incentive accruals. Our marketing costs for the third quarter of fiscal 2022 represented 5.9% of sales as compared to 4.5% in the third quarter of fiscal 2021. For fiscal 2022, we are expecting marketing costs to be approximately 6.2% of sales.</w:t>
      </w:r>
    </w:p>
    <w:p>
      <w:pPr>
        <w:spacing w:after="0" w:line="69"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For the first nine months of fiscal 2022, SG&amp;A expenses were 35.9% of sales as compared to 32.5% of sales for the first nine months of fiscal 2021. Similar to the third quarter, the prior year rate was abnormally low. When compared against the first nine months of fiscal 2019 when the rate was 39.1% of sales, the savings that we have been able to realize in our SG&amp;A costs is evident. As compared to the first nine months of fiscal 2021, SG&amp;A costs increased $23.6 million, or 19.5%, as a result of increased marketing costs, payroll costs to support sales growth, annual merit adjustments, filling open positions and an increase in performance-based incentive accruals. Marketing costs represented 5.5% of sales for the first nine months of fiscal 2022 as compared to 3.7% for the first nine months of fiscal 2021.</w:t>
      </w:r>
    </w:p>
    <w:p>
      <w:pPr>
        <w:spacing w:after="0" w:line="7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Management views SG&amp;A expenses through two primary cost centers: Customer Facing Costs and Corporate Support Costs. Customer Facing Costs, which include store payroll, marketing and other store and direct operating costs, represented 20.4% of sales in the first nine months of fiscal 2022 as compared to 18.1% of sales in the first nine months of fiscal 2021. Corporate Support Costs, which include the distribution center and corporate overhead costs, represented 15.5% of sales in the first nine months of fiscal 2022 compared to 14.4% of sales in the first nine months of fiscal 2021.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(Gain) of Assets</w:t>
      </w:r>
    </w:p>
    <w:p>
      <w:pPr>
        <w:spacing w:after="0" w:line="11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There were no impairments or non-cash gains recognized in the third quarter of fiscal 2022. During the third quarter of fiscal 2021, we recorded non-cash gains of $1.2 million, and for the first nine months of fiscal 2022 and fiscal 2021, we recorded non-cash gains of $0.6 million and $2.3 million, respectively. These non-cash gains related to the reduction of our operating lease liability in connection with our decision to close certain retail stores, which resulted in a revaluation of the lease liability. The portion of the gains that related to previously recorded impairment charges against the operating lease right-of-use asset were included as an offset to previously recorded asset impairment charges. Accordingly, $1.1 million for the third quarter of fiscal 2021, and $0.4 million and $2.1 million for the first nine months of fiscal 2022 and fiscal 2021, respectively, were included in the Impairment (Gain)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line of the Consolidated Statement of Operations. The remaining gains were recorded as a reduction to occupancy costs in each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Depreciation and amortization for the third quarter of fiscal 2022 decreased to $3.8 million as compared to $4.1 million for the third quarter of fiscal 2021. For the first nine months of fiscal 2022, depreciation and amortization decreased to $11.7 million as compared to $13.0 million for the first nine months of fiscal 2021. The decrease was due to a lower depreciable cost base, especially from our store assets, due to our limited capital spending since fiscal 2020.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0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Interest expense for third quarter of fiscal 2022 was $0.1 million, as compared to $2.2 million for the third quarter of fiscal 2021. For the first nine months of fiscal 2022, interest expense was $0.4 million as compared to $4.3 million for the first nine months of fiscal 2021. The Company had no outstanding debt and no borrowings under its credit facility during the third quarter and first nine months of fiscal 2022 resulting in a decrease in interest expense as compared to the third quarter and first nine months of fiscal 2021. Interest expense for the third quarter and first nine months of fiscal 2021 included a prepayment penalty of $1.1 million associated with the Company's early prepayment of its long-term debt.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Since the end of fiscal 2013, we have maintained a full valuation allowance against our deferred tax assets. During the second quarter of fiscal 2022, we determined that it was more likely than not that we would be able to realize the benefit of substantially all of our deferred tax assets in the United States. In reaching this determination, we considered the cumulative three years of profitability, our expectations regarding the generation of future taxable income as well as the overall improvement in the Company's business and its current market position. As a result, in the second quarter of fiscal 2022, we recognized a tax benefit related to the release of approximately $35.5 million in valuation allowance against our deferred tax assets in the United States. At October 29, 2022, we continued to provide a valuation allowance of $2.4 million, primarily against certain state and foreign net operating losses ("NOLs").</w:t>
      </w:r>
    </w:p>
    <w:p>
      <w:pPr>
        <w:spacing w:after="0" w:line="87"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For the third quarter of fiscal 2022, we recorded an income tax provision of $2.1 million, which included a $2.0 million discrete tax expense to adjust the release of the valuation allowance to reflect an increase in third quarter earnings and full-year earnings forecast.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1" w:name="page22"/>
    <w:bookmarkEnd w:id="21"/>
    <w:p>
      <w:pPr>
        <w:ind w:right="100"/>
        <w:spacing w:after="0" w:line="282" w:lineRule="auto"/>
        <w:rPr>
          <w:sz w:val="20"/>
          <w:szCs w:val="20"/>
          <w:color w:val="auto"/>
        </w:rPr>
      </w:pPr>
      <w:r>
        <w:rPr>
          <w:rFonts w:ascii="Times New Roman" w:cs="Times New Roman" w:eastAsia="Times New Roman" w:hAnsi="Times New Roman"/>
          <w:sz w:val="18"/>
          <w:szCs w:val="18"/>
          <w:color w:val="auto"/>
        </w:rPr>
        <w:t>For the first nine months of fiscal 2022, we recorded an income tax benefit of $32.9 million, which included a discrete tax benefit of $33.5 million for the release of the valuation allowance.</w:t>
      </w:r>
    </w:p>
    <w:p>
      <w:pPr>
        <w:spacing w:after="0" w:line="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third quarter and first nine months of fiscal 2021, we recorded an income tax provision of $94,000 and $548,000, respectively, primarily related to income tax in states where NOL usage was statutorily limited.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0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For the third quarter of fiscal 2022, we recorded net income of $10.5 million, or $0.16 per diluted share, as compared to net income of $13.7 million, or $0.20 per diluted share, for the third quarter of fiscal 2021. The decrease in earnings from the prior year third quarter was primarily due to the planned investment in marketing, an increase in payroll to support the increased sales volume and an increase in tax provision as a result of the reversal of the valuation allowance. As mentioned previously, our operating cost structure in fiscal 2021 was insufficient to support our 2022 sales growth objectives and was unsustainable over the long-term.</w:t>
      </w:r>
    </w:p>
    <w:p>
      <w:pPr>
        <w:spacing w:after="0" w:line="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first nine months of fiscal 2022, we have recorded net income of $80.8 million, or $1.20 per diluted share, as compared to net income of $46.8 million, or $0.69 per diluted share, for the first nine months of fiscal 2021. Results for the first nine months of fiscal 2022 include a non-cash tax benefit of $33.5 million, or $0.50 per diluted share, related to the release of substantially all of the Company's valuation allowance against its deferred tax assets.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As of October 29, 2022, our inventory increased approximately $24.5 million to $106.8 million, as compared to $82.3 million at October 30, 2021. We are in a stronger inventory position at October 29, 2022 than at the end of the third quarter last year. This increase was purposeful in order to replenish several categories that were depleted last year. While our inventory has increased over last year's third quarter, inventory is down 11.1% and inventory turnover is up over 30% from the third quarter of fiscal 2019, or pre-pandemic levels. Managing our inventory remains a primary focus for us given the potential impact that inflation may have on consumer spending. As we head into the fourth quarter of fiscal 2022, we believe that we are in a strong inventory position. At October 29, 2022, our clearance inventory was 6.7% of our total inventory, as compared to 8.9% at October 30, 2021 and 10.0% at November 2, 2019.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as it relates to our operating income and 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Traditionally, a significant portion of our operating income and net income is generated in the fourth quarter, as a result of the “Holiday” season.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Our primary sources of liquidity are cash generated from operations and availability under our credit facility. At October 29, 2022, we had no outstanding debt, including no borrowings under our credit facility during the first nine months of fiscal 2022. We believe our cash on hand, availability under our credit facility, and ongoing cash generated from our operations will be sufficient to fund our working capital requirements, our stock repurchase program and capital expenditures for the next 12 months. We believe that cash flows from operating activities and cash on hand will also be sufficient to satisfy our capital requirements in the longer-term, however, to the extent future capital requirements exceed cash on hand plus cash flows from operating activities, we anticipate that working capital will be financed by our credit facility, as discussed below.</w:t>
      </w:r>
    </w:p>
    <w:p>
      <w:pPr>
        <w:spacing w:after="0" w:line="18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For the first nine months of fiscal 2022, cash flow from operations decreased to $30.2 million as compared to $64.2 million for the first nine months of fiscal 2021. Free cash flow, a non-GAAP measure, decreased to $22.3 million for the first nine months of fiscal 2022 as compared to $61.3 million for the first nine months of fiscal 2021. The decrease in free cash flow was due to our purposeful replenishment of inventory in several categories that were depleted last year, the payout of incentive-based awards, and an increase in capital expenditures.</w:t>
      </w:r>
    </w:p>
    <w:p>
      <w:pPr>
        <w:spacing w:after="0" w:line="17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Cash flow used from financing activities for the first nine months of fiscal 2022 improved by $59.1 million as compared to the first nine months of fiscal 2021, primarily due to the repayment in the prior year of amounts outstanding under our credit facility and the early repayment of our long-term debt. This was partially offset by the stock offering in February 2021 and the repurchase of our common stock, as discussed below, in the first nine months of fiscal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 Program</w:t>
      </w:r>
    </w:p>
    <w:p>
      <w:pPr>
        <w:spacing w:after="0" w:line="212" w:lineRule="exact"/>
        <w:rPr>
          <w:sz w:val="20"/>
          <w:szCs w:val="20"/>
          <w:color w:val="auto"/>
        </w:rPr>
      </w:pPr>
    </w:p>
    <w:p>
      <w:pPr>
        <w:ind w:right="720"/>
        <w:spacing w:after="0" w:line="246" w:lineRule="auto"/>
        <w:rPr>
          <w:sz w:val="20"/>
          <w:szCs w:val="20"/>
          <w:color w:val="auto"/>
        </w:rPr>
      </w:pPr>
      <w:r>
        <w:rPr>
          <w:rFonts w:ascii="Times New Roman" w:cs="Times New Roman" w:eastAsia="Times New Roman" w:hAnsi="Times New Roman"/>
          <w:sz w:val="18"/>
          <w:szCs w:val="18"/>
          <w:color w:val="auto"/>
        </w:rPr>
        <w:t>In March 2022, the Company’s Board of Directors approved a stock repurchase program. Under the stock repurchase program, the Company may repurchase up to $15.0 million of its common stock through open market and privately negotiated transactions. For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2" w:name="page23"/>
    <w:bookmarkEnd w:id="22"/>
    <w:p>
      <w:pPr>
        <w:ind w:right="140"/>
        <w:spacing w:after="0" w:line="258" w:lineRule="auto"/>
        <w:rPr>
          <w:sz w:val="20"/>
          <w:szCs w:val="20"/>
          <w:color w:val="auto"/>
        </w:rPr>
      </w:pPr>
      <w:r>
        <w:rPr>
          <w:rFonts w:ascii="Times New Roman" w:cs="Times New Roman" w:eastAsia="Times New Roman" w:hAnsi="Times New Roman"/>
          <w:sz w:val="18"/>
          <w:szCs w:val="18"/>
          <w:color w:val="auto"/>
        </w:rPr>
        <w:t>the first nine months of fiscal 2022, the Company repurchased 2.9 million shares at an aggregate cost, including fees, of $12.7 million from available cash on hand. There were no stock repurchases in the third quarter of fiscal 2022. Shares of repurchased common stock are held as treasury stock. The stock repurchase program will expire in March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On October 28, 2021, we entered into a $125.0 million revolving credit agreement with a five-year term, which replaced our prior credit facility that was due to expire in May 2023 (the "Credit Facility"). The Credit Facility includes a sublimit of $20.0 million for commercial and standby letters of credit and a sublimit of up to $15.0 million for swingline loans. Borrowings made pursuant to the Credit Facility will be made pursuant to either a Base Rate loan or LIBOR Rate loan, at the Company's option. Base Rate loans bear interest, at a rate equal to (i) the greater of: (a) the Prime Rate, (b) the Federal Funds effective rate plus 0.50% per annum and (c) the daily LIBOR rate plus 1.00% per annum, plus (ii) a varying percentage, based on the Company’s average excess availability, of either 0.25% or 0.50%. LIBOR Rate loans, which may be either for 1 month or 3 months, bear interest at (i) the LIBOR rate, or the Benchmark Rate as defined in the credit agreement plus (ii) a varying percentage based on the Company’s average excess availability, of either 1.25% or 1.50%.</w:t>
      </w:r>
    </w:p>
    <w:p>
      <w:pPr>
        <w:spacing w:after="0" w:line="18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had no outstanding borrowings under our Credit Facility at October 29, 2022 and no borrowings during the first nine months of fiscal 2022. At October 29, 2022, outstanding standby letters of credit were $3.8 million and outstanding documentary letters of credit were $1.0 million. The average unused excess availability during the first nine months of fiscal 2022 was approximately $82.0 million and the unused excess availability at October 29, 2022 was $90.2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October 29, 2022 and October 30, 2021, respectively: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color w:val="auto"/>
              </w:rPr>
              <w:t>October 29, 2022</w:t>
            </w:r>
          </w:p>
        </w:tc>
        <w:tc>
          <w:tcPr>
            <w:tcW w:w="220" w:type="dxa"/>
            <w:vAlign w:val="bottom"/>
          </w:tcPr>
          <w:p>
            <w:pPr>
              <w:spacing w:after="0"/>
              <w:rPr>
                <w:sz w:val="15"/>
                <w:szCs w:val="15"/>
                <w:color w:val="auto"/>
              </w:rPr>
            </w:pPr>
          </w:p>
        </w:tc>
        <w:tc>
          <w:tcPr>
            <w:tcW w:w="2460" w:type="dxa"/>
            <w:vAlign w:val="bottom"/>
            <w:gridSpan w:val="3"/>
          </w:tcPr>
          <w:p>
            <w:pPr>
              <w:jc w:val="right"/>
              <w:ind w:right="648"/>
              <w:spacing w:after="0"/>
              <w:rPr>
                <w:sz w:val="20"/>
                <w:szCs w:val="20"/>
                <w:color w:val="auto"/>
              </w:rPr>
            </w:pPr>
            <w:r>
              <w:rPr>
                <w:rFonts w:ascii="Times New Roman" w:cs="Times New Roman" w:eastAsia="Times New Roman" w:hAnsi="Times New Roman"/>
                <w:sz w:val="14"/>
                <w:szCs w:val="14"/>
                <w:color w:val="auto"/>
              </w:rPr>
              <w:t>October 30, 2021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Store Concept</w:t>
            </w:r>
          </w:p>
        </w:tc>
        <w:tc>
          <w:tcPr>
            <w:tcW w:w="120" w:type="dxa"/>
            <w:vAlign w:val="bottom"/>
          </w:tcPr>
          <w:p>
            <w:pPr>
              <w:spacing w:after="0"/>
              <w:rPr>
                <w:sz w:val="12"/>
                <w:szCs w:val="12"/>
                <w:color w:val="auto"/>
              </w:rPr>
            </w:pPr>
          </w:p>
        </w:tc>
        <w:tc>
          <w:tcPr>
            <w:tcW w:w="11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240" w:type="dxa"/>
            <w:vAlign w:val="bottom"/>
          </w:tcPr>
          <w:p>
            <w:pPr>
              <w:spacing w:after="0"/>
              <w:rPr>
                <w:sz w:val="12"/>
                <w:szCs w:val="12"/>
                <w:color w:val="auto"/>
              </w:rPr>
            </w:pPr>
          </w:p>
        </w:tc>
        <w:tc>
          <w:tcPr>
            <w:tcW w:w="114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Square</w:t>
            </w:r>
          </w:p>
        </w:tc>
        <w:tc>
          <w:tcPr>
            <w:tcW w:w="220" w:type="dxa"/>
            <w:vAlign w:val="bottom"/>
          </w:tcPr>
          <w:p>
            <w:pPr>
              <w:spacing w:after="0"/>
              <w:rPr>
                <w:sz w:val="12"/>
                <w:szCs w:val="12"/>
                <w:color w:val="auto"/>
              </w:rPr>
            </w:pPr>
          </w:p>
        </w:tc>
        <w:tc>
          <w:tcPr>
            <w:tcW w:w="11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220" w:type="dxa"/>
            <w:vAlign w:val="bottom"/>
          </w:tcPr>
          <w:p>
            <w:pPr>
              <w:spacing w:after="0"/>
              <w:rPr>
                <w:sz w:val="12"/>
                <w:szCs w:val="12"/>
                <w:color w:val="auto"/>
              </w:rPr>
            </w:pPr>
          </w:p>
        </w:tc>
        <w:tc>
          <w:tcPr>
            <w:tcW w:w="114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Square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Stores</w:t>
            </w: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Footage</w:t>
            </w: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Stores</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Footage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(square footage in thousands)</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DXL Retail</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DXL Outlets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Casual Male XL Retail</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Outlets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Stores</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Our capital expenditures in fiscal 2021 and fiscal 2020 were very limited due to the pandemic. For fiscal 2022, we expect our capital expenditures will be approximately $10.0-$12.0 million as we make investments in technology related to our marketing and merchandising initiatives. We are also actively pursuing opportunities to relocate or convert our remaining Casual Male XL stores to DXL stores which may require some capital investment in fiscal 2022. During the first nine months of fiscal 2022, we closed 5 Casual Male XL retail stores and 2 DXL retail stores.</w:t>
      </w:r>
    </w:p>
    <w:p>
      <w:pPr>
        <w:spacing w:after="0" w:line="17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are also reviewing white space opportunities in markets where our store footprint is underpenetrated and relocation opportunities where we have an existing Casual Male XL store. We believe that our store portfolio is a vital asset to our business strategy and we expect to continue to invest in stores over the next several years as we further strengthen the store portfolio. Over the next three to five years, based on our preliminary store development plan, we believe that we could potentially open up to 50 new and relocated stores.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Fiscal 2021 Annual Report. See Note 1 to the Consolidated Financial Statements included in this report for information on recent accounting pronouncements and changes in accounting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Free cash flow and Adjusted EBITDA are non-GAAP measures. These non-GAAP measures are not presented in accordance with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p>
      <w:pPr>
        <w:ind w:right="60"/>
        <w:spacing w:after="0" w:line="282" w:lineRule="auto"/>
        <w:rPr>
          <w:sz w:val="20"/>
          <w:szCs w:val="20"/>
          <w:color w:val="auto"/>
        </w:rPr>
      </w:pPr>
      <w:r>
        <w:rPr>
          <w:rFonts w:ascii="Times New Roman" w:cs="Times New Roman" w:eastAsia="Times New Roman" w:hAnsi="Times New Roman"/>
          <w:sz w:val="18"/>
          <w:szCs w:val="18"/>
          <w:color w:val="auto"/>
        </w:rPr>
        <w:t>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Reconciliations of these non-GAAP measures are presented in the following tables </w:t>
      </w:r>
      <w:r>
        <w:rPr>
          <w:rFonts w:ascii="Times New Roman" w:cs="Times New Roman" w:eastAsia="Times New Roman" w:hAnsi="Times New Roman"/>
          <w:sz w:val="18"/>
          <w:szCs w:val="18"/>
          <w:i w:val="1"/>
          <w:iCs w:val="1"/>
          <w:color w:val="auto"/>
        </w:rPr>
        <w:t>(certain columns may not foot due to rounding)</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Free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define free cash flow as cash flow from operating activities less capital expenditures. Free cash flow excludes the mandatory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discretionary repayment of debt. Free cash flow is a metric that management uses to monitor liquidity. We expect to fund our ongoing capital expenditures with cash flow from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free cash flow: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gridSpan w:val="5"/>
          </w:tcPr>
          <w:p>
            <w:pPr>
              <w:jc w:val="right"/>
              <w:ind w:right="184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8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214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color w:val="auto"/>
              </w:rPr>
              <w:t>October 29, 2022</w:t>
            </w:r>
          </w:p>
        </w:tc>
        <w:tc>
          <w:tcPr>
            <w:tcW w:w="400" w:type="dxa"/>
            <w:vAlign w:val="bottom"/>
          </w:tcPr>
          <w:p>
            <w:pPr>
              <w:spacing w:after="0"/>
              <w:rPr>
                <w:sz w:val="16"/>
                <w:szCs w:val="16"/>
                <w:color w:val="auto"/>
              </w:rPr>
            </w:pPr>
          </w:p>
        </w:tc>
        <w:tc>
          <w:tcPr>
            <w:tcW w:w="236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color w:val="auto"/>
              </w:rPr>
              <w:t>October 30, 2021</w:t>
            </w:r>
          </w:p>
        </w:tc>
      </w:tr>
      <w:tr>
        <w:trPr>
          <w:trHeight w:val="169"/>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320" w:type="dxa"/>
            <w:vAlign w:val="bottom"/>
            <w:tcBorders>
              <w:top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360" w:type="dxa"/>
            <w:vAlign w:val="bottom"/>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380" w:type="dxa"/>
            <w:vAlign w:val="bottom"/>
            <w:shd w:val="clear" w:color="auto" w:fill="CFF0FC"/>
          </w:tcPr>
          <w:p>
            <w:pPr>
              <w:spacing w:after="0"/>
              <w:rPr>
                <w:sz w:val="14"/>
                <w:szCs w:val="14"/>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5"/>
                <w:szCs w:val="15"/>
                <w:color w:val="auto"/>
              </w:rPr>
            </w:pPr>
          </w:p>
        </w:tc>
        <w:tc>
          <w:tcPr>
            <w:tcW w:w="2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(7.9 )</w:t>
            </w:r>
          </w:p>
        </w:tc>
        <w:tc>
          <w:tcPr>
            <w:tcW w:w="400" w:type="dxa"/>
            <w:vAlign w:val="bottom"/>
          </w:tcPr>
          <w:p>
            <w:pPr>
              <w:spacing w:after="0"/>
              <w:rPr>
                <w:sz w:val="15"/>
                <w:szCs w:val="15"/>
                <w:color w:val="auto"/>
              </w:rPr>
            </w:pPr>
          </w:p>
        </w:tc>
        <w:tc>
          <w:tcPr>
            <w:tcW w:w="23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(2.8 )</w:t>
            </w:r>
          </w:p>
        </w:tc>
      </w:tr>
      <w:tr>
        <w:trPr>
          <w:trHeight w:val="209"/>
        </w:trPr>
        <w:tc>
          <w:tcPr>
            <w:tcW w:w="60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32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22.3</w:t>
            </w:r>
          </w:p>
        </w:tc>
        <w:tc>
          <w:tcPr>
            <w:tcW w:w="3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61.3</w:t>
            </w:r>
          </w:p>
        </w:tc>
        <w:tc>
          <w:tcPr>
            <w:tcW w:w="3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 is calculated as earnings before interest, taxes, depreciation and amortization and is before any impairment of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any. We believe that adjusted EBITDA is useful to investors in evaluating our performance and is a key metric to measure profitability and economic productivity. The following table reconciles adjusted EBITDA from net income: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5"/>
                <w:szCs w:val="15"/>
                <w:color w:val="auto"/>
              </w:rPr>
            </w:pPr>
          </w:p>
        </w:tc>
        <w:tc>
          <w:tcPr>
            <w:tcW w:w="28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October 29, 2022</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October 30, 2021</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October 29, 2022</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October 30, 2021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3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2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(GAAP basis)</w:t>
            </w:r>
          </w:p>
        </w:tc>
        <w:tc>
          <w:tcPr>
            <w:tcW w:w="1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 back:</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Impairment (gain) of assets</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75"/>
        </w:trPr>
        <w:tc>
          <w:tcPr>
            <w:tcW w:w="5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(32.9 )</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3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-144780</wp:posOffset>
            </wp:positionV>
            <wp:extent cx="77470"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-144780</wp:posOffset>
            </wp:positionV>
            <wp:extent cx="68580"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-144780</wp:posOffset>
            </wp:positionV>
            <wp:extent cx="6858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-144780</wp:posOffset>
            </wp:positionV>
            <wp:extent cx="68580"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6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have not been any material changes to our interest rate or foreign currency risks previously disclosed in Part II, Item 7A of our Fiscal 2021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1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October 29, 2022.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October 29, 2022, our disclosure controls and procedures were effective.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17"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While the majority of our home office employees continue to work remotely for a portion of the work week, we have not experienced any changes in our internal control over financial reporting (as defined in Rules 13a-15(f) and 15d-15(f) under the Exchange Act) during the three months ended October 29, 2022 that has materially affected, or is reasonably likely to materially affect, our internal control over financial reporting.</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Part I, Item 1A of our Fiscal 2021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20"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Employment Agreement between the Company and James Reath dated as of September 19, 2022.*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160" w:type="dxa"/>
            <w:vAlign w:val="bottom"/>
            <w:tcBorders>
              <w:right w:val="single" w:sz="8" w:color="0000EE"/>
            </w:tcBorders>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Stand-alone Inducement Restricted Stock Unit Award Agreement between the Company and James Reath dated as of October 7, 2022</w:t>
            </w:r>
            <w:r>
              <w:rPr>
                <w:rFonts w:ascii="Times New Roman" w:cs="Times New Roman" w:eastAsia="Times New Roman" w:hAnsi="Times New Roman"/>
                <w:sz w:val="18"/>
                <w:szCs w:val="18"/>
                <w:color w:val="000000"/>
              </w:rPr>
              <w:t>.*</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Stand-alone Inducement Restricted Stock Unit Award Agreement between the Company and Jonathan Sainsbury dated as of October 26,</w:t>
            </w:r>
          </w:p>
        </w:tc>
      </w:tr>
      <w:tr>
        <w:trPr>
          <w:trHeight w:val="169"/>
        </w:trPr>
        <w:tc>
          <w:tcPr>
            <w:tcW w:w="960" w:type="dxa"/>
            <w:vAlign w:val="bottom"/>
          </w:tcPr>
          <w:p>
            <w:pPr>
              <w:spacing w:after="0"/>
              <w:rPr>
                <w:sz w:val="14"/>
                <w:szCs w:val="14"/>
                <w:color w:val="auto"/>
              </w:rPr>
            </w:pPr>
          </w:p>
        </w:tc>
        <w:tc>
          <w:tcPr>
            <w:tcW w:w="68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2022</w:t>
            </w:r>
            <w:r>
              <w:rPr>
                <w:rFonts w:ascii="Times New Roman" w:cs="Times New Roman" w:eastAsia="Times New Roman" w:hAnsi="Times New Roman"/>
                <w:sz w:val="18"/>
                <w:szCs w:val="18"/>
                <w:color w:val="000000"/>
              </w:rPr>
              <w:t>.*</w:t>
            </w:r>
          </w:p>
        </w:tc>
        <w:tc>
          <w:tcPr>
            <w:tcW w:w="20" w:type="dxa"/>
            <w:vAlign w:val="bottom"/>
            <w:tcBorders>
              <w:top w:val="single" w:sz="8" w:color="0000FF"/>
            </w:tcBorders>
          </w:tcPr>
          <w:p>
            <w:pPr>
              <w:spacing w:after="0"/>
              <w:rPr>
                <w:sz w:val="14"/>
                <w:szCs w:val="14"/>
                <w:color w:val="auto"/>
              </w:rPr>
            </w:pPr>
          </w:p>
        </w:tc>
        <w:tc>
          <w:tcPr>
            <w:tcW w:w="180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160" w:type="dxa"/>
            <w:vAlign w:val="bottom"/>
            <w:tcBorders>
              <w:top w:val="single" w:sz="8" w:color="0000FF"/>
            </w:tcBorders>
          </w:tcPr>
          <w:p>
            <w:pPr>
              <w:spacing w:after="0"/>
              <w:rPr>
                <w:sz w:val="14"/>
                <w:szCs w:val="14"/>
                <w:color w:val="auto"/>
              </w:rPr>
            </w:pPr>
          </w:p>
        </w:tc>
        <w:tc>
          <w:tcPr>
            <w:tcW w:w="24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r>
      <w:tr>
        <w:trPr>
          <w:trHeight w:val="169"/>
        </w:trPr>
        <w:tc>
          <w:tcPr>
            <w:tcW w:w="960" w:type="dxa"/>
            <w:vAlign w:val="bottom"/>
          </w:tcPr>
          <w:p>
            <w:pPr>
              <w:spacing w:after="0"/>
              <w:rPr>
                <w:sz w:val="14"/>
                <w:szCs w:val="14"/>
                <w:color w:val="auto"/>
              </w:rPr>
            </w:pPr>
          </w:p>
        </w:tc>
        <w:tc>
          <w:tcPr>
            <w:tcW w:w="6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5"/>
              </w:rPr>
              <w:t>of 2002.*</w:t>
            </w:r>
          </w:p>
        </w:tc>
        <w:tc>
          <w:tcPr>
            <w:tcW w:w="20" w:type="dxa"/>
            <w:vAlign w:val="bottom"/>
            <w:tcBorders>
              <w:top w:val="single" w:sz="8" w:color="0000FF"/>
              <w:bottom w:val="single" w:sz="8" w:color="0000EE"/>
            </w:tcBorders>
          </w:tcPr>
          <w:p>
            <w:pPr>
              <w:spacing w:after="0"/>
              <w:rPr>
                <w:sz w:val="14"/>
                <w:szCs w:val="14"/>
                <w:color w:val="auto"/>
              </w:rPr>
            </w:pPr>
          </w:p>
        </w:tc>
        <w:tc>
          <w:tcPr>
            <w:tcW w:w="9380" w:type="dxa"/>
            <w:vAlign w:val="bottom"/>
            <w:tcBorders>
              <w:top w:val="single" w:sz="8" w:color="0000FF"/>
            </w:tcBorders>
            <w:gridSpan w:val="12"/>
          </w:tcPr>
          <w:p>
            <w:pPr>
              <w:spacing w:after="0"/>
              <w:rPr>
                <w:sz w:val="14"/>
                <w:szCs w:val="1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r>
      <w:tr>
        <w:trPr>
          <w:trHeight w:val="169"/>
        </w:trPr>
        <w:tc>
          <w:tcPr>
            <w:tcW w:w="960" w:type="dxa"/>
            <w:vAlign w:val="bottom"/>
          </w:tcPr>
          <w:p>
            <w:pPr>
              <w:spacing w:after="0"/>
              <w:rPr>
                <w:sz w:val="14"/>
                <w:szCs w:val="14"/>
                <w:color w:val="auto"/>
              </w:rPr>
            </w:pPr>
          </w:p>
        </w:tc>
        <w:tc>
          <w:tcPr>
            <w:tcW w:w="6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5"/>
              </w:rPr>
              <w:t>of 2002.*</w:t>
            </w:r>
          </w:p>
        </w:tc>
        <w:tc>
          <w:tcPr>
            <w:tcW w:w="20" w:type="dxa"/>
            <w:vAlign w:val="bottom"/>
            <w:tcBorders>
              <w:top w:val="single" w:sz="8" w:color="0000FF"/>
              <w:bottom w:val="single" w:sz="8" w:color="0000EE"/>
            </w:tcBorders>
          </w:tcPr>
          <w:p>
            <w:pPr>
              <w:spacing w:after="0"/>
              <w:rPr>
                <w:sz w:val="14"/>
                <w:szCs w:val="14"/>
                <w:color w:val="auto"/>
              </w:rPr>
            </w:pPr>
          </w:p>
        </w:tc>
        <w:tc>
          <w:tcPr>
            <w:tcW w:w="932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Inline XBRL Instance Document. The instance document does not appear in the Interactive Data File because its XBRL tags are embedded</w:t>
            </w:r>
          </w:p>
        </w:tc>
      </w:tr>
      <w:tr>
        <w:trPr>
          <w:trHeight w:val="169"/>
        </w:trPr>
        <w:tc>
          <w:tcPr>
            <w:tcW w:w="960" w:type="dxa"/>
            <w:vAlign w:val="bottom"/>
          </w:tcPr>
          <w:p>
            <w:pPr>
              <w:spacing w:after="0"/>
              <w:rPr>
                <w:sz w:val="14"/>
                <w:szCs w:val="14"/>
                <w:color w:val="auto"/>
              </w:rPr>
            </w:pPr>
          </w:p>
        </w:tc>
        <w:tc>
          <w:tcPr>
            <w:tcW w:w="1006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within the Inline XBRL document.</w:t>
            </w:r>
          </w:p>
        </w:tc>
        <w:tc>
          <w:tcPr>
            <w:tcW w:w="20" w:type="dxa"/>
            <w:vAlign w:val="bottom"/>
          </w:tcPr>
          <w:p>
            <w:pPr>
              <w:spacing w:after="0"/>
              <w:rPr>
                <w:sz w:val="14"/>
                <w:szCs w:val="14"/>
                <w:color w:val="auto"/>
              </w:rPr>
            </w:pP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Inline XBRL Taxonomy Extension Schema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Inline XBRL Taxonomy Extension Calculation Linkbase Document.</w:t>
            </w: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Definition Linkbase Document.</w:t>
            </w:r>
          </w:p>
        </w:tc>
        <w:tc>
          <w:tcPr>
            <w:tcW w:w="140" w:type="dxa"/>
            <w:vAlign w:val="bottom"/>
            <w:tcBorders>
              <w:top w:val="single" w:sz="8" w:color="0000FF"/>
            </w:tcBorders>
          </w:tcPr>
          <w:p>
            <w:pPr>
              <w:spacing w:after="0"/>
              <w:rPr>
                <w:sz w:val="24"/>
                <w:szCs w:val="24"/>
                <w:color w:val="auto"/>
              </w:rPr>
            </w:pPr>
          </w:p>
        </w:tc>
        <w:tc>
          <w:tcPr>
            <w:tcW w:w="5100" w:type="dxa"/>
            <w:vAlign w:val="bottom"/>
            <w:gridSpan w:val="7"/>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Inline XBRL Taxonomy Extension Label Linkbase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4500" w:type="dxa"/>
            <w:vAlign w:val="bottom"/>
            <w:gridSpan w:val="6"/>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Inline XBRL Taxonomy Extension Presentation Linkbase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20" w:hanging="938"/>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Cover Page Interactive Data File – The cover page interactive data file does not appear in the interactive data file because its XBRL tags are embedded within the Inline XBRL document.</w:t>
      </w:r>
    </w:p>
    <w:p>
      <w:pPr>
        <w:spacing w:after="0" w:line="18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36" w:right="459" w:bottom="1440" w:gutter="0" w:footer="0" w:header="0"/>
        </w:sectPr>
      </w:pPr>
    </w:p>
    <w:bookmarkStart w:id="26" w:name="page27"/>
    <w:bookmarkEnd w:id="26"/>
    <w:p>
      <w:pPr>
        <w:jc w:val="center"/>
        <w:ind w:right="-29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5960" w:val="left"/>
          <w:tab w:leader="none" w:pos="6760" w:val="left"/>
        </w:tabs>
        <w:rPr>
          <w:sz w:val="20"/>
          <w:szCs w:val="20"/>
          <w:color w:val="auto"/>
        </w:rPr>
      </w:pPr>
      <w:r>
        <w:rPr>
          <w:rFonts w:ascii="Times New Roman" w:cs="Times New Roman" w:eastAsia="Times New Roman" w:hAnsi="Times New Roman"/>
          <w:sz w:val="18"/>
          <w:szCs w:val="18"/>
          <w:color w:val="auto"/>
        </w:rPr>
        <w:t>Date: November 17,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F.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John F. Cooney</w:t>
      </w:r>
    </w:p>
    <w:p>
      <w:pPr>
        <w:ind w:left="6780"/>
        <w:spacing w:after="0" w:line="231" w:lineRule="auto"/>
        <w:rPr>
          <w:sz w:val="20"/>
          <w:szCs w:val="20"/>
          <w:color w:val="auto"/>
        </w:rPr>
      </w:pPr>
      <w:r>
        <w:rPr>
          <w:rFonts w:ascii="Times New Roman" w:cs="Times New Roman" w:eastAsia="Times New Roman" w:hAnsi="Times New Roman"/>
          <w:sz w:val="18"/>
          <w:szCs w:val="18"/>
          <w:color w:val="auto"/>
        </w:rPr>
        <w:t>Senior Vice President, Chief Accounting Officer and</w:t>
      </w:r>
    </w:p>
    <w:p>
      <w:pPr>
        <w:ind w:left="6780"/>
        <w:spacing w:after="0" w:line="232" w:lineRule="auto"/>
        <w:rPr>
          <w:sz w:val="20"/>
          <w:szCs w:val="20"/>
          <w:color w:val="auto"/>
        </w:rPr>
      </w:pPr>
      <w:r>
        <w:rPr>
          <w:rFonts w:ascii="Times New Roman" w:cs="Times New Roman" w:eastAsia="Times New Roman" w:hAnsi="Times New Roman"/>
          <w:sz w:val="17"/>
          <w:szCs w:val="17"/>
          <w:color w:val="auto"/>
        </w:rPr>
        <w:t>Corporate Controller (Duly Authorized Officer and Chief</w:t>
      </w:r>
    </w:p>
    <w:p>
      <w:pPr>
        <w:ind w:left="678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3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24" w:right="6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385"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2"/>
          <w:szCs w:val="22"/>
          <w:color w:val="auto"/>
        </w:rPr>
        <w:t>This Employment Agreement ("Agreement") is made effective as of September 26, 2022 (the “Effective Date”) between CMRG APPAREL, LLC, (the “Company”), a “Related Entity” as defined in the 2016 Incentive Compensation Plan (as amended), of Destination XL Group, Inc., a Delaware corporation with an office at 555 Turnpike Street, Canton, Massachusetts 02021 (“DXLG” which term includes any affiliates and subsidiaries), and JAMES REATH (the “Executive”) having an address at 159 Watchung Ave., Montclair, NJ 07043.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WITNESSETH:</w:t>
      </w:r>
    </w:p>
    <w:p>
      <w:pPr>
        <w:spacing w:after="0" w:line="193" w:lineRule="exact"/>
        <w:rPr>
          <w:sz w:val="20"/>
          <w:szCs w:val="20"/>
          <w:color w:val="auto"/>
        </w:rPr>
      </w:pPr>
    </w:p>
    <w:p>
      <w:pPr>
        <w:ind w:right="360" w:firstLine="449"/>
        <w:spacing w:after="0" w:line="271" w:lineRule="auto"/>
        <w:rPr>
          <w:sz w:val="20"/>
          <w:szCs w:val="20"/>
          <w:color w:val="auto"/>
        </w:rPr>
      </w:pPr>
      <w:r>
        <w:rPr>
          <w:rFonts w:ascii="Times New Roman" w:cs="Times New Roman" w:eastAsia="Times New Roman" w:hAnsi="Times New Roman"/>
          <w:sz w:val="22"/>
          <w:szCs w:val="22"/>
          <w:color w:val="auto"/>
        </w:rPr>
        <w:t>WHEREAS, the Company desires that Executive work for the Company and Executive desires to be so employed by the Company as its Chief Marketing Officer.</w:t>
      </w:r>
    </w:p>
    <w:p>
      <w:pPr>
        <w:spacing w:after="0" w:line="131" w:lineRule="exact"/>
        <w:rPr>
          <w:sz w:val="20"/>
          <w:szCs w:val="20"/>
          <w:color w:val="auto"/>
        </w:rPr>
      </w:pPr>
    </w:p>
    <w:p>
      <w:pPr>
        <w:ind w:right="960" w:firstLine="449"/>
        <w:spacing w:after="0" w:line="271" w:lineRule="auto"/>
        <w:rPr>
          <w:sz w:val="20"/>
          <w:szCs w:val="20"/>
          <w:color w:val="auto"/>
        </w:rPr>
      </w:pPr>
      <w:r>
        <w:rPr>
          <w:rFonts w:ascii="Times New Roman" w:cs="Times New Roman" w:eastAsia="Times New Roman" w:hAnsi="Times New Roman"/>
          <w:sz w:val="22"/>
          <w:szCs w:val="22"/>
          <w:color w:val="auto"/>
        </w:rPr>
        <w:t>WHEREAS, Executive and the Company desire to set forth in writing the terms and conditions of the Executive's employment with the Company from the date hereof.</w:t>
      </w:r>
    </w:p>
    <w:p>
      <w:pPr>
        <w:spacing w:after="0" w:line="144" w:lineRule="exact"/>
        <w:rPr>
          <w:sz w:val="20"/>
          <w:szCs w:val="20"/>
          <w:color w:val="auto"/>
        </w:rPr>
      </w:pPr>
    </w:p>
    <w:p>
      <w:pPr>
        <w:ind w:right="600" w:firstLine="432"/>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promises and the mutual promises, representations and covenants herein contained, the parties hereto agree as follows:</w:t>
      </w:r>
    </w:p>
    <w:p>
      <w:pPr>
        <w:spacing w:after="0" w:line="158" w:lineRule="exact"/>
        <w:rPr>
          <w:sz w:val="20"/>
          <w:szCs w:val="20"/>
          <w:color w:val="auto"/>
        </w:rPr>
      </w:pPr>
    </w:p>
    <w:p>
      <w:pPr>
        <w:ind w:left="1340" w:hanging="594"/>
        <w:spacing w:after="0"/>
        <w:tabs>
          <w:tab w:leader="none" w:pos="13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p>
    <w:p>
      <w:pPr>
        <w:spacing w:after="0" w:line="193" w:lineRule="exact"/>
        <w:rPr>
          <w:sz w:val="20"/>
          <w:szCs w:val="20"/>
          <w:color w:val="auto"/>
        </w:rPr>
      </w:pPr>
    </w:p>
    <w:p>
      <w:pPr>
        <w:ind w:right="460" w:firstLine="843"/>
        <w:spacing w:after="0" w:line="271" w:lineRule="auto"/>
        <w:rPr>
          <w:sz w:val="20"/>
          <w:szCs w:val="20"/>
          <w:color w:val="auto"/>
        </w:rPr>
      </w:pPr>
      <w:r>
        <w:rPr>
          <w:rFonts w:ascii="Times New Roman" w:cs="Times New Roman" w:eastAsia="Times New Roman" w:hAnsi="Times New Roman"/>
          <w:sz w:val="22"/>
          <w:szCs w:val="22"/>
          <w:color w:val="auto"/>
        </w:rPr>
        <w:t>The Company hereby employs Executive and Executive hereby accepts such employment, subject to the terms and conditions herein set forth.</w:t>
      </w:r>
    </w:p>
    <w:p>
      <w:pPr>
        <w:spacing w:after="0" w:line="131" w:lineRule="exact"/>
        <w:rPr>
          <w:sz w:val="20"/>
          <w:szCs w:val="20"/>
          <w:color w:val="auto"/>
        </w:rPr>
      </w:pPr>
    </w:p>
    <w:p>
      <w:pPr>
        <w:ind w:left="880" w:hanging="224"/>
        <w:spacing w:after="0"/>
        <w:tabs>
          <w:tab w:leader="none" w:pos="8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p>
    <w:p>
      <w:pPr>
        <w:spacing w:after="0" w:line="206" w:lineRule="exact"/>
        <w:rPr>
          <w:sz w:val="20"/>
          <w:szCs w:val="20"/>
          <w:color w:val="auto"/>
        </w:rPr>
      </w:pPr>
    </w:p>
    <w:p>
      <w:pPr>
        <w:ind w:right="40" w:firstLine="843"/>
        <w:spacing w:after="0" w:line="271" w:lineRule="auto"/>
        <w:rPr>
          <w:sz w:val="20"/>
          <w:szCs w:val="20"/>
          <w:color w:val="auto"/>
        </w:rPr>
      </w:pPr>
      <w:r>
        <w:rPr>
          <w:rFonts w:ascii="Times New Roman" w:cs="Times New Roman" w:eastAsia="Times New Roman" w:hAnsi="Times New Roman"/>
          <w:sz w:val="22"/>
          <w:szCs w:val="22"/>
          <w:color w:val="auto"/>
        </w:rPr>
        <w:t>The term of employment under this Agreement (the “Term of Employment”) shall begin on the Effective Date and shall continue until terminated by either party as hereinafter set forth.</w:t>
      </w:r>
    </w:p>
    <w:p>
      <w:pPr>
        <w:spacing w:after="0" w:line="131"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p>
    <w:p>
      <w:pPr>
        <w:spacing w:after="0" w:line="206" w:lineRule="exact"/>
        <w:rPr>
          <w:rFonts w:ascii="Times New Roman" w:cs="Times New Roman" w:eastAsia="Times New Roman" w:hAnsi="Times New Roman"/>
          <w:sz w:val="22"/>
          <w:szCs w:val="22"/>
          <w:color w:val="auto"/>
        </w:rPr>
      </w:pPr>
    </w:p>
    <w:p>
      <w:pPr>
        <w:ind w:right="60" w:firstLine="919"/>
        <w:spacing w:after="0" w:line="241" w:lineRule="auto"/>
        <w:tabs>
          <w:tab w:leader="none" w:pos="1181"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Four Hundred Thousand Dollars and 00/100 Cents ($400,000.00)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176" w:lineRule="exact"/>
        <w:rPr>
          <w:rFonts w:ascii="Times New Roman" w:cs="Times New Roman" w:eastAsia="Times New Roman" w:hAnsi="Times New Roman"/>
          <w:sz w:val="22"/>
          <w:szCs w:val="22"/>
          <w:color w:val="auto"/>
        </w:rPr>
      </w:pPr>
    </w:p>
    <w:p>
      <w:pPr>
        <w:ind w:firstLine="707"/>
        <w:spacing w:after="0"/>
        <w:tabs>
          <w:tab w:leader="none" w:pos="129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50% of Executive’s actual annual base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73" w:lineRule="exact"/>
        <w:rPr>
          <w:sz w:val="20"/>
          <w:szCs w:val="20"/>
          <w:color w:val="auto"/>
        </w:rPr>
      </w:pPr>
    </w:p>
    <w:p>
      <w:pPr>
        <w:jc w:val="both"/>
        <w:ind w:firstLine="730"/>
        <w:spacing w:after="0" w:line="241" w:lineRule="auto"/>
        <w:tabs>
          <w:tab w:leader="none" w:pos="129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during the Term of Employment, Executive is eligible to participate in the Company’s Long-Ter Incentive Plan (“LTIP”). Such incentive shall be determined and distributable in accordance with and subject to the terms and conditions as described in the LTIP documents in effect at the time of the award, subject to change from year-to-year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spacing w:after="0" w:line="176" w:lineRule="exact"/>
        <w:rPr>
          <w:rFonts w:ascii="Times New Roman" w:cs="Times New Roman" w:eastAsia="Times New Roman" w:hAnsi="Times New Roman"/>
          <w:sz w:val="22"/>
          <w:szCs w:val="22"/>
          <w:color w:val="auto"/>
        </w:rPr>
      </w:pPr>
    </w:p>
    <w:p>
      <w:pPr>
        <w:jc w:val="both"/>
        <w:ind w:right="40" w:firstLine="712"/>
        <w:spacing w:after="0" w:line="239" w:lineRule="auto"/>
        <w:tabs>
          <w:tab w:leader="none" w:pos="1318"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for the promises in Paragraph 10 below, the Company shall pay Executive a sign-on award consisting of $150,000 cash payable as of October 7, 2022 (the “Sign-on Award” and an inducement grant of $200,000 of restricted stock units of the Common Stock of Destination XL Group, Inc. (“RSUs”) effective October 7, 2022 (the “Inducement Award”). The RSUs granted in the Inducement Award shall be determined based on the close price of the Company’s stock on Thursday, October 6, 2022 and shall vest ratably over three (3) years on the anniversary of the date of grant. Details will be provided in a formal Stand-Alone Inducement Restricted Stock Unit Agreement. The Sign-on Award and Inducement Award are subject to clawback as set forth in Paragraph 7(j).</w:t>
      </w:r>
    </w:p>
    <w:p>
      <w:pPr>
        <w:spacing w:after="0" w:line="180" w:lineRule="exact"/>
        <w:rPr>
          <w:rFonts w:ascii="Times New Roman" w:cs="Times New Roman" w:eastAsia="Times New Roman" w:hAnsi="Times New Roman"/>
          <w:sz w:val="22"/>
          <w:szCs w:val="22"/>
          <w:color w:val="auto"/>
        </w:rPr>
      </w:pPr>
    </w:p>
    <w:p>
      <w:pPr>
        <w:ind w:right="60" w:firstLine="973"/>
        <w:spacing w:after="0" w:line="232" w:lineRule="auto"/>
        <w:tabs>
          <w:tab w:leader="none" w:pos="1613"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Executive’s continued employment, the Company shall advance Executive a relocation allowance in the amount of $75,000 (prior to any applicable taxes) with $25,000 to be paid on October 7, 2022 and $50,000 to be paid on June 1, 2023 (an “</w:t>
      </w:r>
      <w:r>
        <w:rPr>
          <w:rFonts w:ascii="Times New Roman" w:cs="Times New Roman" w:eastAsia="Times New Roman" w:hAnsi="Times New Roman"/>
          <w:sz w:val="22"/>
          <w:szCs w:val="22"/>
          <w:i w:val="1"/>
          <w:iCs w:val="1"/>
          <w:u w:val="single" w:color="auto"/>
          <w:color w:val="auto"/>
        </w:rPr>
        <w:t>Advance</w:t>
      </w:r>
      <w:r>
        <w:rPr>
          <w:rFonts w:ascii="Times New Roman" w:cs="Times New Roman" w:eastAsia="Times New Roman" w:hAnsi="Times New Roman"/>
          <w:sz w:val="22"/>
          <w:szCs w:val="22"/>
          <w:color w:val="auto"/>
        </w:rPr>
        <w:t>”). In the event Executive ceases to be employed by the Company due to his voluntary termination (other than for Good Reason) prior to June 1, 2024, Executive shall repay such Advance to the Company within thirty (30) days following Executive’s termination of employment; provided, however, that the amount of the Advance that is required to be repaid shall be reduced by 1/12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Advance for each completed month that Executive is employed by the Company following the final installment of the Advance.</w:t>
      </w:r>
    </w:p>
    <w:p>
      <w:pPr>
        <w:spacing w:after="0" w:line="381"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p>
    <w:p>
      <w:pPr>
        <w:spacing w:after="0" w:line="206" w:lineRule="exact"/>
        <w:rPr>
          <w:sz w:val="20"/>
          <w:szCs w:val="20"/>
          <w:color w:val="auto"/>
        </w:rPr>
      </w:pPr>
    </w:p>
    <w:p>
      <w:pPr>
        <w:jc w:val="both"/>
        <w:ind w:right="40" w:firstLine="432"/>
        <w:spacing w:after="0"/>
        <w:rPr>
          <w:sz w:val="20"/>
          <w:szCs w:val="20"/>
          <w:color w:val="auto"/>
        </w:rPr>
      </w:pPr>
      <w:r>
        <w:rPr>
          <w:rFonts w:ascii="Times New Roman" w:cs="Times New Roman" w:eastAsia="Times New Roman" w:hAnsi="Times New Roman"/>
          <w:sz w:val="22"/>
          <w:szCs w:val="22"/>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80" w:lineRule="exact"/>
        <w:rPr>
          <w:sz w:val="20"/>
          <w:szCs w:val="20"/>
          <w:color w:val="auto"/>
        </w:rPr>
      </w:pPr>
    </w:p>
    <w:p>
      <w:pPr>
        <w:ind w:left="880" w:hanging="440"/>
        <w:spacing w:after="0"/>
        <w:tabs>
          <w:tab w:leader="none" w:pos="8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1" w:right="299" w:bottom="1440" w:gutter="0" w:footer="0" w:header="0"/>
        </w:sectPr>
      </w:pPr>
    </w:p>
    <w:bookmarkStart w:id="29" w:name="page30"/>
    <w:bookmarkEnd w:id="29"/>
    <w:p>
      <w:pPr>
        <w:jc w:val="both"/>
        <w:ind w:firstLine="906"/>
        <w:spacing w:after="0" w:line="244" w:lineRule="auto"/>
        <w:tabs>
          <w:tab w:leader="none" w:pos="133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59" w:lineRule="exact"/>
        <w:rPr>
          <w:rFonts w:ascii="Times New Roman" w:cs="Times New Roman" w:eastAsia="Times New Roman" w:hAnsi="Times New Roman"/>
          <w:sz w:val="22"/>
          <w:szCs w:val="22"/>
          <w:color w:val="auto"/>
        </w:rPr>
      </w:pPr>
    </w:p>
    <w:p>
      <w:pPr>
        <w:jc w:val="both"/>
        <w:ind w:firstLine="906"/>
        <w:spacing w:after="0" w:line="243" w:lineRule="auto"/>
        <w:tabs>
          <w:tab w:leader="none" w:pos="158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77" w:lineRule="exact"/>
        <w:rPr>
          <w:sz w:val="20"/>
          <w:szCs w:val="20"/>
          <w:color w:val="auto"/>
        </w:rPr>
      </w:pPr>
    </w:p>
    <w:p>
      <w:pPr>
        <w:ind w:left="1340" w:hanging="434"/>
        <w:spacing w:after="0"/>
        <w:tabs>
          <w:tab w:leader="none" w:pos="13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be eligible to participate in the Company’s annual performance appraisal process.</w:t>
      </w:r>
    </w:p>
    <w:p>
      <w:pPr>
        <w:spacing w:after="0" w:line="192"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p>
    <w:p>
      <w:pPr>
        <w:spacing w:after="0" w:line="206" w:lineRule="exact"/>
        <w:rPr>
          <w:sz w:val="20"/>
          <w:szCs w:val="20"/>
          <w:color w:val="auto"/>
        </w:rPr>
      </w:pPr>
    </w:p>
    <w:p>
      <w:pPr>
        <w:jc w:val="both"/>
        <w:ind w:firstLine="757"/>
        <w:spacing w:after="0" w:line="250" w:lineRule="auto"/>
        <w:tabs>
          <w:tab w:leader="none" w:pos="118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perform such duties and functions consistent with the position of Chief Marketing Officer and/or as the Company shall from time to time determine and Executive shall comply in the performance of his duties with the policies of, and be subject to the direction of the Company.</w:t>
      </w:r>
    </w:p>
    <w:p>
      <w:pPr>
        <w:spacing w:after="0" w:line="154"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his with fidelity and to the best of his ability. Notwithstanding anything herein to the contrary, and subject to the foregoing and review by the Company’s Board of Directors, Executive shall not be prevented from accepting positions in outside organizations so long as such activities do not interfere with Executive's performance of his duties hereunder and do not violate paragraph 10 hereof.</w:t>
      </w:r>
    </w:p>
    <w:p>
      <w:pPr>
        <w:spacing w:after="0" w:line="176" w:lineRule="exact"/>
        <w:rPr>
          <w:rFonts w:ascii="Times New Roman" w:cs="Times New Roman" w:eastAsia="Times New Roman" w:hAnsi="Times New Roman"/>
          <w:sz w:val="22"/>
          <w:szCs w:val="22"/>
          <w:color w:val="auto"/>
        </w:rPr>
      </w:pPr>
    </w:p>
    <w:p>
      <w:pPr>
        <w:ind w:right="160" w:firstLine="757"/>
        <w:spacing w:after="0" w:line="258" w:lineRule="auto"/>
        <w:tabs>
          <w:tab w:leader="none" w:pos="118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location at which the Executive shall perform his duties hereunder shall be in Montclair, New Jersey until Executive relocates and, thereafter, at the Company's offices in Canton, Massachusetts or at such other location as may be designated from time to time by the Company. Prior to relocating, Executive shall bear the cost of travel to and from Canton, Massachusetts. Notwithstanding the foregoing, Executive shall perform such services at such other locations as may be required for the proper performance of his duties hereunder, and Executive recognizes that such duties may involve travel.</w:t>
      </w:r>
    </w:p>
    <w:p>
      <w:pPr>
        <w:spacing w:after="0" w:line="147" w:lineRule="exact"/>
        <w:rPr>
          <w:sz w:val="20"/>
          <w:szCs w:val="20"/>
          <w:color w:val="auto"/>
        </w:rPr>
      </w:pPr>
    </w:p>
    <w:p>
      <w:pPr>
        <w:ind w:left="1180" w:hanging="423"/>
        <w:spacing w:after="0"/>
        <w:tabs>
          <w:tab w:leader="none" w:pos="11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EFFECT OF TERMINATION</w:t>
      </w:r>
    </w:p>
    <w:p>
      <w:pPr>
        <w:spacing w:after="0" w:line="206" w:lineRule="exact"/>
        <w:rPr>
          <w:rFonts w:ascii="Times New Roman" w:cs="Times New Roman" w:eastAsia="Times New Roman" w:hAnsi="Times New Roman"/>
          <w:sz w:val="22"/>
          <w:szCs w:val="22"/>
          <w:color w:val="auto"/>
        </w:rPr>
      </w:pPr>
    </w:p>
    <w:p>
      <w:pPr>
        <w:ind w:left="1340" w:hanging="434"/>
        <w:spacing w:after="0"/>
        <w:tabs>
          <w:tab w:leader="none" w:pos="13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Employment may be terminated by the Company at any time:</w:t>
      </w:r>
    </w:p>
    <w:p>
      <w:pPr>
        <w:spacing w:after="0" w:line="206" w:lineRule="exact"/>
        <w:rPr>
          <w:rFonts w:ascii="Times New Roman" w:cs="Times New Roman" w:eastAsia="Times New Roman" w:hAnsi="Times New Roman"/>
          <w:sz w:val="22"/>
          <w:szCs w:val="22"/>
          <w:color w:val="auto"/>
        </w:rPr>
      </w:pPr>
    </w:p>
    <w:p>
      <w:pPr>
        <w:jc w:val="both"/>
        <w:ind w:firstLine="1356"/>
        <w:spacing w:after="0" w:line="244" w:lineRule="auto"/>
        <w:tabs>
          <w:tab w:leader="none" w:pos="1780"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w:t>
      </w: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constitute justifiable cause, in either case upon thirty (30) days' prior written notice to Executive; or</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(ii)  upon the determination of the Company that there is justifiable cause (as hereinafter defined) for such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termination.</w:t>
      </w:r>
    </w:p>
    <w:p>
      <w:pPr>
        <w:spacing w:after="0" w:line="182" w:lineRule="exact"/>
        <w:rPr>
          <w:sz w:val="20"/>
          <w:szCs w:val="20"/>
          <w:color w:val="auto"/>
        </w:rPr>
      </w:pPr>
    </w:p>
    <w:p>
      <w:pPr>
        <w:ind w:left="1340" w:hanging="380"/>
        <w:spacing w:after="0"/>
        <w:tabs>
          <w:tab w:leader="none" w:pos="1340"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Employment shall terminate upon:</w:t>
      </w:r>
    </w:p>
    <w:p>
      <w:pPr>
        <w:spacing w:after="0" w:line="206" w:lineRule="exact"/>
        <w:rPr>
          <w:rFonts w:ascii="Times New Roman" w:cs="Times New Roman" w:eastAsia="Times New Roman" w:hAnsi="Times New Roman"/>
          <w:sz w:val="22"/>
          <w:szCs w:val="22"/>
          <w:color w:val="auto"/>
        </w:rPr>
      </w:pPr>
    </w:p>
    <w:p>
      <w:pPr>
        <w:ind w:left="2220" w:hanging="865"/>
        <w:spacing w:after="0"/>
        <w:tabs>
          <w:tab w:leader="none" w:pos="2220" w:val="left"/>
        </w:tabs>
        <w:numPr>
          <w:ilvl w:val="5"/>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death of Executive;</w:t>
      </w:r>
    </w:p>
    <w:p>
      <w:pPr>
        <w:spacing w:after="0" w:line="192" w:lineRule="exact"/>
        <w:rPr>
          <w:rFonts w:ascii="Times New Roman" w:cs="Times New Roman" w:eastAsia="Times New Roman" w:hAnsi="Times New Roman"/>
          <w:sz w:val="22"/>
          <w:szCs w:val="22"/>
          <w:color w:val="auto"/>
        </w:rPr>
      </w:pPr>
    </w:p>
    <w:p>
      <w:pPr>
        <w:ind w:right="240" w:firstLine="1243"/>
        <w:spacing w:after="0" w:line="271" w:lineRule="auto"/>
        <w:tabs>
          <w:tab w:leader="none" w:pos="1613" w:val="left"/>
        </w:tabs>
        <w:numPr>
          <w:ilvl w:val="4"/>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Company elects to terminate the Term of Employment by reason of the "disability" of Executive (as hereinafter defined in subsection (c) herein) pursuant to subsection (g) hereof; or</w:t>
      </w:r>
    </w:p>
    <w:p>
      <w:pPr>
        <w:spacing w:after="0" w:line="130" w:lineRule="exact"/>
        <w:rPr>
          <w:rFonts w:ascii="Times New Roman" w:cs="Times New Roman" w:eastAsia="Times New Roman" w:hAnsi="Times New Roman"/>
          <w:sz w:val="22"/>
          <w:szCs w:val="22"/>
          <w:color w:val="auto"/>
        </w:rPr>
      </w:pPr>
    </w:p>
    <w:p>
      <w:pPr>
        <w:ind w:left="2220" w:hanging="865"/>
        <w:spacing w:after="0"/>
        <w:tabs>
          <w:tab w:leader="none" w:pos="2220" w:val="left"/>
        </w:tabs>
        <w:numPr>
          <w:ilvl w:val="5"/>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resignation of employment.</w:t>
      </w:r>
    </w:p>
    <w:p>
      <w:pPr>
        <w:spacing w:after="0" w:line="206" w:lineRule="exact"/>
        <w:rPr>
          <w:rFonts w:ascii="Times New Roman" w:cs="Times New Roman" w:eastAsia="Times New Roman" w:hAnsi="Times New Roman"/>
          <w:sz w:val="22"/>
          <w:szCs w:val="22"/>
          <w:color w:val="auto"/>
        </w:rPr>
      </w:pPr>
    </w:p>
    <w:p>
      <w:pPr>
        <w:jc w:val="both"/>
        <w:ind w:firstLine="944"/>
        <w:spacing w:after="0" w:line="250" w:lineRule="auto"/>
        <w:tabs>
          <w:tab w:leader="none" w:pos="1368"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54" w:lineRule="exact"/>
        <w:rPr>
          <w:rFonts w:ascii="Times New Roman" w:cs="Times New Roman" w:eastAsia="Times New Roman" w:hAnsi="Times New Roman"/>
          <w:sz w:val="22"/>
          <w:szCs w:val="22"/>
          <w:color w:val="auto"/>
        </w:rPr>
      </w:pPr>
    </w:p>
    <w:p>
      <w:pPr>
        <w:jc w:val="both"/>
        <w:ind w:firstLine="906"/>
        <w:spacing w:after="0" w:line="238" w:lineRule="auto"/>
        <w:tabs>
          <w:tab w:leader="none" w:pos="133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4 hereof as have been accrued through the date of his termination of employment.</w:t>
      </w:r>
    </w:p>
    <w:p>
      <w:pPr>
        <w:spacing w:after="0" w:line="181" w:lineRule="exact"/>
        <w:rPr>
          <w:rFonts w:ascii="Times New Roman" w:cs="Times New Roman" w:eastAsia="Times New Roman" w:hAnsi="Times New Roman"/>
          <w:sz w:val="22"/>
          <w:szCs w:val="22"/>
          <w:color w:val="auto"/>
        </w:rPr>
      </w:pPr>
    </w:p>
    <w:p>
      <w:pPr>
        <w:jc w:val="both"/>
        <w:ind w:firstLine="757"/>
        <w:spacing w:after="0" w:line="250" w:lineRule="auto"/>
        <w:tabs>
          <w:tab w:leader="none" w:pos="1181"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terminates this Agreement without "justifiable cause" as provided in subsection 7(a)(i), the Company shall pay Executive his then current base salary for six months (that is, the one month notice period referenced in Paragraph 7(a)(i) and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substantially in the form attached hereto as Exhibit A or such other form that is acceptable to the Company, in its sole discretion (the “General Release”) and the time for Executive’s revocation of the General Release having expired.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jc w:val="both"/>
        <w:spacing w:after="0" w:line="244" w:lineRule="auto"/>
        <w:rPr>
          <w:sz w:val="20"/>
          <w:szCs w:val="20"/>
          <w:color w:val="auto"/>
        </w:rPr>
      </w:pPr>
      <w:r>
        <w:rPr>
          <w:rFonts w:ascii="Times New Roman" w:cs="Times New Roman" w:eastAsia="Times New Roman" w:hAnsi="Times New Roman"/>
          <w:sz w:val="22"/>
          <w:szCs w:val="22"/>
          <w:color w:val="auto"/>
        </w:rPr>
        <w:t>Such payments shall be made in accordance with the Company’s customary payroll practices until paid in full. Any payment pursuant to this paragraph 7(e) is contingent upon Executive’s execution of the General Release within 21 days (or such longer period as may be authorized by the Company or otherwise required by applicable law) after termination of the Term of Employment (and the Executive’s not revoking that General Release) and will be in lieu of payments to which Executive might have been entitled under any other severance plan of the Company.</w:t>
      </w:r>
    </w:p>
    <w:p>
      <w:pPr>
        <w:spacing w:after="0" w:line="159" w:lineRule="exact"/>
        <w:rPr>
          <w:sz w:val="20"/>
          <w:szCs w:val="20"/>
          <w:color w:val="auto"/>
        </w:rPr>
      </w:pPr>
    </w:p>
    <w:p>
      <w:pPr>
        <w:jc w:val="both"/>
        <w:ind w:firstLine="906"/>
        <w:spacing w:after="0" w:line="250" w:lineRule="auto"/>
        <w:tabs>
          <w:tab w:leader="none" w:pos="133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67" w:lineRule="exact"/>
        <w:rPr>
          <w:rFonts w:ascii="Times New Roman" w:cs="Times New Roman" w:eastAsia="Times New Roman" w:hAnsi="Times New Roman"/>
          <w:sz w:val="22"/>
          <w:szCs w:val="22"/>
          <w:color w:val="auto"/>
        </w:rPr>
      </w:pPr>
    </w:p>
    <w:p>
      <w:pPr>
        <w:jc w:val="both"/>
        <w:ind w:firstLine="906"/>
        <w:spacing w:after="0" w:line="244" w:lineRule="auto"/>
        <w:tabs>
          <w:tab w:leader="none" w:pos="133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172" w:lineRule="exact"/>
        <w:rPr>
          <w:rFonts w:ascii="Times New Roman" w:cs="Times New Roman" w:eastAsia="Times New Roman" w:hAnsi="Times New Roman"/>
          <w:sz w:val="22"/>
          <w:szCs w:val="22"/>
          <w:color w:val="auto"/>
        </w:rPr>
      </w:pPr>
    </w:p>
    <w:p>
      <w:pPr>
        <w:ind w:right="260" w:firstLine="906"/>
        <w:spacing w:after="0" w:line="244" w:lineRule="auto"/>
        <w:tabs>
          <w:tab w:leader="none" w:pos="133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172" w:lineRule="exact"/>
        <w:rPr>
          <w:rFonts w:ascii="Times New Roman" w:cs="Times New Roman" w:eastAsia="Times New Roman" w:hAnsi="Times New Roman"/>
          <w:sz w:val="22"/>
          <w:szCs w:val="22"/>
          <w:color w:val="auto"/>
        </w:rPr>
      </w:pPr>
    </w:p>
    <w:p>
      <w:pPr>
        <w:ind w:firstLine="906"/>
        <w:spacing w:after="0" w:line="247" w:lineRule="auto"/>
        <w:tabs>
          <w:tab w:leader="none" w:pos="133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2016 Incentive Compensation Plan (without regard to any subsequent amendments thereto). For purposes of the foregoing,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i w:val="1"/>
          <w:iCs w:val="1"/>
          <w:color w:val="auto"/>
        </w:rPr>
        <w:t>Good Reason”</w:t>
      </w:r>
      <w:r>
        <w:rPr>
          <w:rFonts w:ascii="Times New Roman" w:cs="Times New Roman" w:eastAsia="Times New Roman" w:hAnsi="Times New Roman"/>
          <w:sz w:val="21"/>
          <w:szCs w:val="21"/>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7(i) will be in lieu of payments to which Executive might have been entitled under paragraph 7(e) of this Agreement or under any other severance plan of the Company.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payments under this Agreement shall be reduced if and to the extent necessary to avoid 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ind w:right="300"/>
        <w:spacing w:after="0" w:line="259" w:lineRule="auto"/>
        <w:rPr>
          <w:sz w:val="20"/>
          <w:szCs w:val="20"/>
          <w:color w:val="auto"/>
        </w:rPr>
      </w:pPr>
      <w:r>
        <w:rPr>
          <w:rFonts w:ascii="Times New Roman" w:cs="Times New Roman" w:eastAsia="Times New Roman" w:hAnsi="Times New Roman"/>
          <w:sz w:val="22"/>
          <w:szCs w:val="22"/>
          <w:color w:val="auto"/>
        </w:rPr>
        <w:t>payments or benefits to Executive being treated as “excess parachute payments” within the meaning of Internal Revenue Code Section 280G(b)(i).</w:t>
      </w:r>
    </w:p>
    <w:p>
      <w:pPr>
        <w:spacing w:after="0" w:line="157" w:lineRule="exact"/>
        <w:rPr>
          <w:sz w:val="20"/>
          <w:szCs w:val="20"/>
          <w:color w:val="auto"/>
        </w:rPr>
      </w:pPr>
    </w:p>
    <w:p>
      <w:pPr>
        <w:ind w:right="20" w:firstLine="440"/>
        <w:spacing w:after="0" w:line="258" w:lineRule="auto"/>
        <w:tabs>
          <w:tab w:leader="none" w:pos="86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Clawback of Certain Compensation and Benefits. If, after the termination of the Term of Employment for any reason other than by the Company for “justifiable cause”:</w:t>
      </w:r>
    </w:p>
    <w:p>
      <w:pPr>
        <w:spacing w:after="0" w:line="172" w:lineRule="exact"/>
        <w:rPr>
          <w:sz w:val="20"/>
          <w:szCs w:val="20"/>
          <w:color w:val="auto"/>
        </w:rPr>
      </w:pPr>
    </w:p>
    <w:p>
      <w:pPr>
        <w:jc w:val="both"/>
        <w:ind w:firstLine="1779"/>
        <w:spacing w:after="0"/>
        <w:rPr>
          <w:sz w:val="20"/>
          <w:szCs w:val="20"/>
          <w:color w:val="auto"/>
        </w:rPr>
      </w:pPr>
      <w:r>
        <w:rPr>
          <w:rFonts w:ascii="Times New Roman" w:cs="Times New Roman" w:eastAsia="Times New Roman" w:hAnsi="Times New Roman"/>
          <w:sz w:val="22"/>
          <w:szCs w:val="22"/>
          <w:color w:val="auto"/>
        </w:rPr>
        <w:t>A. 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93" w:lineRule="exact"/>
        <w:rPr>
          <w:sz w:val="20"/>
          <w:szCs w:val="20"/>
          <w:color w:val="auto"/>
        </w:rPr>
      </w:pPr>
    </w:p>
    <w:p>
      <w:pPr>
        <w:jc w:val="both"/>
        <w:ind w:firstLine="1779"/>
        <w:spacing w:after="0" w:line="244" w:lineRule="auto"/>
        <w:rPr>
          <w:sz w:val="20"/>
          <w:szCs w:val="20"/>
          <w:color w:val="auto"/>
        </w:rPr>
      </w:pPr>
      <w:r>
        <w:rPr>
          <w:rFonts w:ascii="Times New Roman" w:cs="Times New Roman" w:eastAsia="Times New Roman" w:hAnsi="Times New Roman"/>
          <w:sz w:val="22"/>
          <w:szCs w:val="22"/>
          <w:color w:val="auto"/>
        </w:rPr>
        <w:t>B. 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73" w:lineRule="exact"/>
        <w:rPr>
          <w:sz w:val="20"/>
          <w:szCs w:val="20"/>
          <w:color w:val="auto"/>
        </w:rPr>
      </w:pPr>
    </w:p>
    <w:p>
      <w:pPr>
        <w:jc w:val="both"/>
        <w:ind w:firstLine="2995"/>
        <w:spacing w:after="0" w:line="241" w:lineRule="auto"/>
        <w:rPr>
          <w:sz w:val="20"/>
          <w:szCs w:val="20"/>
          <w:color w:val="auto"/>
        </w:rPr>
      </w:pPr>
      <w:r>
        <w:rPr>
          <w:rFonts w:ascii="Times New Roman" w:cs="Times New Roman" w:eastAsia="Times New Roman" w:hAnsi="Times New Roman"/>
          <w:sz w:val="22"/>
          <w:szCs w:val="22"/>
          <w:color w:val="auto"/>
        </w:rPr>
        <w:t>1) 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2)</w:t>
            </w:r>
          </w:p>
        </w:tc>
        <w:tc>
          <w:tcPr>
            <w:tcW w:w="664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all vested and unvested Awards (as that term is defined in</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2016 Incentive Compensation Plan) then held by the Executive shall immediately expire; and</w:t>
            </w:r>
          </w:p>
        </w:tc>
      </w:tr>
      <w:tr>
        <w:trPr>
          <w:trHeight w:val="444"/>
        </w:trPr>
        <w:tc>
          <w:tcPr>
            <w:tcW w:w="46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3)</w:t>
            </w:r>
          </w:p>
        </w:tc>
        <w:tc>
          <w:tcPr>
            <w:tcW w:w="664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the Executive shall be required to pay to the Company,</w:t>
            </w:r>
          </w:p>
        </w:tc>
      </w:tr>
    </w:tbl>
    <w:p>
      <w:pPr>
        <w:jc w:val="both"/>
        <w:spacing w:after="0" w:line="236" w:lineRule="auto"/>
        <w:rPr>
          <w:sz w:val="20"/>
          <w:szCs w:val="20"/>
          <w:color w:val="auto"/>
        </w:rPr>
      </w:pPr>
      <w:r>
        <w:rPr>
          <w:rFonts w:ascii="Times New Roman" w:cs="Times New Roman" w:eastAsia="Times New Roman" w:hAnsi="Times New Roman"/>
          <w:sz w:val="22"/>
          <w:szCs w:val="22"/>
          <w:color w:val="auto"/>
        </w:rPr>
        <w:t>immediately upon written demand by the 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94" w:lineRule="exact"/>
        <w:rPr>
          <w:sz w:val="20"/>
          <w:szCs w:val="20"/>
          <w:color w:val="auto"/>
        </w:rPr>
      </w:pPr>
    </w:p>
    <w:p>
      <w:pPr>
        <w:ind w:right="380" w:firstLine="906"/>
        <w:spacing w:after="0" w:line="249" w:lineRule="auto"/>
        <w:tabs>
          <w:tab w:leader="none" w:pos="133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pursuant to paragraph 7(e) or 7(i) shall be contingent upon Executive’s execution of the General Release within 21 days after termination of the Term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ind w:right="600"/>
        <w:spacing w:after="0" w:line="259" w:lineRule="auto"/>
        <w:rPr>
          <w:sz w:val="20"/>
          <w:szCs w:val="20"/>
          <w:color w:val="auto"/>
        </w:rPr>
      </w:pPr>
      <w:r>
        <w:rPr>
          <w:rFonts w:ascii="Times New Roman" w:cs="Times New Roman" w:eastAsia="Times New Roman" w:hAnsi="Times New Roman"/>
          <w:sz w:val="22"/>
          <w:szCs w:val="22"/>
          <w:color w:val="auto"/>
        </w:rPr>
        <w:t>Employment (or such longer time as may be authorized by the Company or otherwise required by applicable law), and the Executive’s not revoking that release.</w:t>
      </w:r>
    </w:p>
    <w:p>
      <w:pPr>
        <w:spacing w:after="0" w:line="157" w:lineRule="exact"/>
        <w:rPr>
          <w:sz w:val="20"/>
          <w:szCs w:val="20"/>
          <w:color w:val="auto"/>
        </w:rPr>
      </w:pPr>
    </w:p>
    <w:p>
      <w:pPr>
        <w:ind w:left="1180" w:hanging="423"/>
        <w:spacing w:after="0"/>
        <w:tabs>
          <w:tab w:leader="none" w:pos="11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p>
    <w:p>
      <w:pPr>
        <w:spacing w:after="0" w:line="206" w:lineRule="exact"/>
        <w:rPr>
          <w:sz w:val="20"/>
          <w:szCs w:val="20"/>
          <w:color w:val="auto"/>
        </w:rPr>
      </w:pPr>
    </w:p>
    <w:p>
      <w:pPr>
        <w:jc w:val="both"/>
        <w:ind w:firstLine="757"/>
        <w:spacing w:after="0" w:line="241" w:lineRule="auto"/>
        <w:tabs>
          <w:tab w:leader="none" w:pos="124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79" w:lineRule="exact"/>
        <w:rPr>
          <w:rFonts w:ascii="Times New Roman" w:cs="Times New Roman" w:eastAsia="Times New Roman" w:hAnsi="Times New Roman"/>
          <w:sz w:val="22"/>
          <w:szCs w:val="22"/>
          <w:color w:val="auto"/>
        </w:rPr>
      </w:pPr>
    </w:p>
    <w:p>
      <w:pPr>
        <w:jc w:val="both"/>
        <w:ind w:firstLine="757"/>
        <w:spacing w:after="0" w:line="250"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6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Month Delay for “Specified Employees”.</w:t>
      </w:r>
    </w:p>
    <w:p>
      <w:pPr>
        <w:spacing w:after="0" w:line="219" w:lineRule="exact"/>
        <w:rPr>
          <w:rFonts w:ascii="Times New Roman" w:cs="Times New Roman" w:eastAsia="Times New Roman" w:hAnsi="Times New Roman"/>
          <w:sz w:val="22"/>
          <w:szCs w:val="22"/>
          <w:color w:val="auto"/>
        </w:rPr>
      </w:pPr>
    </w:p>
    <w:p>
      <w:pPr>
        <w:ind w:firstLine="1505"/>
        <w:spacing w:after="0" w:line="251" w:lineRule="auto"/>
        <w:tabs>
          <w:tab w:leader="none" w:pos="1755"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70" w:lineRule="exact"/>
        <w:rPr>
          <w:rFonts w:ascii="Times New Roman" w:cs="Times New Roman" w:eastAsia="Times New Roman" w:hAnsi="Times New Roman"/>
          <w:sz w:val="21"/>
          <w:szCs w:val="21"/>
          <w:color w:val="auto"/>
        </w:rPr>
      </w:pPr>
    </w:p>
    <w:p>
      <w:pPr>
        <w:jc w:val="both"/>
        <w:ind w:firstLine="1505"/>
        <w:spacing w:after="0" w:line="244" w:lineRule="auto"/>
        <w:tabs>
          <w:tab w:leader="none" w:pos="181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provision, the Executive shall be considered to be a “specified employee” if, at the time of his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72" w:lineRule="exact"/>
        <w:rPr>
          <w:rFonts w:ascii="Times New Roman" w:cs="Times New Roman" w:eastAsia="Times New Roman" w:hAnsi="Times New Roman"/>
          <w:sz w:val="22"/>
          <w:szCs w:val="22"/>
          <w:color w:val="auto"/>
        </w:rPr>
      </w:pPr>
    </w:p>
    <w:p>
      <w:pPr>
        <w:ind w:firstLine="757"/>
        <w:spacing w:after="0" w:line="244"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jc w:val="both"/>
        <w:ind w:firstLine="757"/>
        <w:spacing w:after="0" w:line="244"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8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Taxable Reimbursements.</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769"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86" w:lineRule="exact"/>
        <w:rPr>
          <w:rFonts w:ascii="Times New Roman" w:cs="Times New Roman" w:eastAsia="Times New Roman" w:hAnsi="Times New Roman"/>
          <w:sz w:val="22"/>
          <w:szCs w:val="22"/>
          <w:color w:val="auto"/>
        </w:rPr>
      </w:pPr>
    </w:p>
    <w:p>
      <w:pPr>
        <w:ind w:firstLine="1505"/>
        <w:spacing w:after="0" w:line="282" w:lineRule="auto"/>
        <w:tabs>
          <w:tab w:leader="none" w:pos="1823"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4" w:lineRule="exact"/>
        <w:rPr>
          <w:rFonts w:ascii="Times New Roman" w:cs="Times New Roman" w:eastAsia="Times New Roman" w:hAnsi="Times New Roman"/>
          <w:sz w:val="21"/>
          <w:szCs w:val="21"/>
          <w:color w:val="auto"/>
        </w:rPr>
      </w:pPr>
    </w:p>
    <w:p>
      <w:pPr>
        <w:ind w:left="1880" w:hanging="375"/>
        <w:spacing w:after="0"/>
        <w:tabs>
          <w:tab w:leader="none" w:pos="188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Taxable Reimbursements shall not be subject to liquidation or exchange for another benefit.</w:t>
      </w:r>
    </w:p>
    <w:p>
      <w:pPr>
        <w:spacing w:after="0" w:line="220" w:lineRule="exact"/>
        <w:rPr>
          <w:sz w:val="20"/>
          <w:szCs w:val="20"/>
          <w:color w:val="auto"/>
        </w:rPr>
      </w:pPr>
    </w:p>
    <w:p>
      <w:pPr>
        <w:ind w:left="1360" w:hanging="603"/>
        <w:spacing w:after="0"/>
        <w:tabs>
          <w:tab w:leader="none" w:pos="13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AND AGREEMENTS OF EXECUTIVE</w:t>
      </w:r>
    </w:p>
    <w:p>
      <w:pPr>
        <w:spacing w:after="0" w:line="192" w:lineRule="exact"/>
        <w:rPr>
          <w:rFonts w:ascii="Times New Roman" w:cs="Times New Roman" w:eastAsia="Times New Roman" w:hAnsi="Times New Roman"/>
          <w:sz w:val="22"/>
          <w:szCs w:val="22"/>
          <w:color w:val="auto"/>
        </w:rPr>
      </w:pPr>
    </w:p>
    <w:p>
      <w:pPr>
        <w:jc w:val="both"/>
        <w:ind w:firstLine="440"/>
        <w:spacing w:after="0" w:line="250" w:lineRule="auto"/>
        <w:tabs>
          <w:tab w:leader="none" w:pos="86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67" w:lineRule="exact"/>
        <w:rPr>
          <w:rFonts w:ascii="Times New Roman" w:cs="Times New Roman" w:eastAsia="Times New Roman" w:hAnsi="Times New Roman"/>
          <w:sz w:val="22"/>
          <w:szCs w:val="22"/>
          <w:color w:val="auto"/>
        </w:rPr>
      </w:pPr>
    </w:p>
    <w:p>
      <w:pPr>
        <w:ind w:right="220" w:firstLine="944"/>
        <w:spacing w:after="0" w:line="268" w:lineRule="auto"/>
        <w:tabs>
          <w:tab w:leader="none" w:pos="1368" w:val="left"/>
        </w:tabs>
        <w:numPr>
          <w:ilvl w:val="2"/>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36" w:lineRule="exact"/>
        <w:rPr>
          <w:rFonts w:ascii="Times New Roman" w:cs="Times New Roman" w:eastAsia="Times New Roman" w:hAnsi="Times New Roman"/>
          <w:sz w:val="21"/>
          <w:szCs w:val="21"/>
          <w:color w:val="auto"/>
        </w:rPr>
      </w:pPr>
    </w:p>
    <w:p>
      <w:pPr>
        <w:ind w:right="80" w:firstLine="944"/>
        <w:spacing w:after="0" w:line="250" w:lineRule="auto"/>
        <w:tabs>
          <w:tab w:leader="none" w:pos="1368"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167" w:lineRule="exact"/>
        <w:rPr>
          <w:rFonts w:ascii="Times New Roman" w:cs="Times New Roman" w:eastAsia="Times New Roman" w:hAnsi="Times New Roman"/>
          <w:sz w:val="22"/>
          <w:szCs w:val="22"/>
          <w:color w:val="auto"/>
        </w:rPr>
      </w:pPr>
    </w:p>
    <w:p>
      <w:pPr>
        <w:jc w:val="both"/>
        <w:ind w:firstLine="944"/>
        <w:spacing w:after="0" w:line="250" w:lineRule="auto"/>
        <w:tabs>
          <w:tab w:leader="none" w:pos="1368"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he has never been a party to any judicial or administrative proceeding that resulted in a judgment, decree, or final order (i) enjoining his from future violations of, or prohibiting any violations of any federal or state securities law, or (ii) finding any violations of any federal or state securities law.</w:t>
      </w:r>
    </w:p>
    <w:p>
      <w:pPr>
        <w:spacing w:after="0" w:line="154" w:lineRule="exact"/>
        <w:rPr>
          <w:sz w:val="20"/>
          <w:szCs w:val="20"/>
          <w:color w:val="auto"/>
        </w:rPr>
      </w:pPr>
    </w:p>
    <w:p>
      <w:pPr>
        <w:ind w:right="860" w:firstLine="440"/>
        <w:spacing w:after="0" w:line="271" w:lineRule="auto"/>
        <w:tabs>
          <w:tab w:leader="none" w:pos="9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he has never been accused of any impropriety in connection with any employment;</w:t>
      </w:r>
    </w:p>
    <w:p>
      <w:pPr>
        <w:spacing w:after="0" w:line="13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Any breach of any of the above representations and warranties is "justifiable cause" for termination under paragraph 7(d) of this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ind w:left="1240" w:hanging="483"/>
        <w:spacing w:after="0"/>
        <w:tabs>
          <w:tab w:leader="none" w:pos="12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w:t>
      </w:r>
    </w:p>
    <w:p>
      <w:pPr>
        <w:spacing w:after="0" w:line="247" w:lineRule="exact"/>
        <w:rPr>
          <w:sz w:val="20"/>
          <w:szCs w:val="20"/>
          <w:color w:val="auto"/>
        </w:rPr>
      </w:pPr>
    </w:p>
    <w:p>
      <w:pPr>
        <w:ind w:firstLine="757"/>
        <w:spacing w:after="0" w:line="237" w:lineRule="auto"/>
        <w:tabs>
          <w:tab w:leader="none" w:pos="109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the Sign-On Award, the Inducement Award referenced in Paragraph 3(d), the Advance referenced in paragraph 3(e) and the potential to receive additional compensation pursuant to paragraph 7(a)(i) and 7(e) above,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Times New Roman" w:cs="Times New Roman" w:eastAsia="Times New Roman" w:hAnsi="Times New Roman"/>
          <w:sz w:val="22"/>
          <w:szCs w:val="22"/>
          <w:color w:val="333333"/>
        </w:rPr>
        <w:t>in which the Executive provided services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33333"/>
        </w:rPr>
        <w:t>had a material presence or influence on behalf of the Company, whether in the United States, Canada, Europe or elsewhere during the two years prior to Executive’s separation from the Company</w:t>
      </w:r>
      <w:r>
        <w:rPr>
          <w:rFonts w:ascii="Times New Roman" w:cs="Times New Roman" w:eastAsia="Times New Roman" w:hAnsi="Times New Roman"/>
          <w:sz w:val="22"/>
          <w:szCs w:val="22"/>
          <w:color w:val="000000"/>
        </w:rPr>
        <w:t>; provided, however, that Executive may own any securities of</w:t>
      </w:r>
      <w:r>
        <w:rPr>
          <w:rFonts w:ascii="Times New Roman" w:cs="Times New Roman" w:eastAsia="Times New Roman" w:hAnsi="Times New Roman"/>
          <w:sz w:val="22"/>
          <w:szCs w:val="22"/>
          <w:color w:val="333333"/>
        </w:rPr>
        <w:t xml:space="preserve"> </w:t>
      </w:r>
      <w:r>
        <w:rPr>
          <w:rFonts w:ascii="Times New Roman" w:cs="Times New Roman" w:eastAsia="Times New Roman" w:hAnsi="Times New Roman"/>
          <w:sz w:val="22"/>
          <w:szCs w:val="22"/>
          <w:color w:val="000000"/>
        </w:rPr>
        <w:t>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81" w:lineRule="exact"/>
        <w:rPr>
          <w:rFonts w:ascii="Times New Roman" w:cs="Times New Roman" w:eastAsia="Times New Roman" w:hAnsi="Times New Roman"/>
          <w:sz w:val="22"/>
          <w:szCs w:val="22"/>
          <w:color w:val="auto"/>
        </w:rPr>
      </w:pPr>
    </w:p>
    <w:p>
      <w:pPr>
        <w:ind w:firstLine="757"/>
        <w:spacing w:after="0" w:line="255" w:lineRule="auto"/>
        <w:tabs>
          <w:tab w:leader="none" w:pos="118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61" w:lineRule="exact"/>
        <w:rPr>
          <w:rFonts w:ascii="Times New Roman" w:cs="Times New Roman" w:eastAsia="Times New Roman" w:hAnsi="Times New Roman"/>
          <w:sz w:val="21"/>
          <w:szCs w:val="21"/>
          <w:color w:val="auto"/>
        </w:rPr>
      </w:pPr>
    </w:p>
    <w:p>
      <w:pPr>
        <w:ind w:right="40" w:firstLine="757"/>
        <w:spacing w:after="0" w:line="241" w:lineRule="auto"/>
        <w:tabs>
          <w:tab w:leader="none" w:pos="118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76" w:lineRule="exact"/>
        <w:rPr>
          <w:rFonts w:ascii="Times New Roman" w:cs="Times New Roman" w:eastAsia="Times New Roman" w:hAnsi="Times New Roman"/>
          <w:sz w:val="22"/>
          <w:szCs w:val="22"/>
          <w:color w:val="auto"/>
        </w:rPr>
      </w:pPr>
    </w:p>
    <w:p>
      <w:pPr>
        <w:ind w:right="240" w:firstLine="757"/>
        <w:spacing w:after="0" w:line="253" w:lineRule="auto"/>
        <w:tabs>
          <w:tab w:leader="none" w:pos="118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of any claim or cause of action (a claim or cause of action is defined as a claim or cause of action which results from a breach of the terms and provisions of this Agreement by the Company, regardless of whether the breach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 by Executive against the Company or any subsidiary or affiliate shall not constitute a defense to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ind w:right="520"/>
        <w:spacing w:after="0" w:line="259" w:lineRule="auto"/>
        <w:rPr>
          <w:sz w:val="20"/>
          <w:szCs w:val="20"/>
          <w:color w:val="auto"/>
        </w:rPr>
      </w:pPr>
      <w:r>
        <w:rPr>
          <w:rFonts w:ascii="Times New Roman" w:cs="Times New Roman" w:eastAsia="Times New Roman" w:hAnsi="Times New Roman"/>
          <w:sz w:val="22"/>
          <w:szCs w:val="22"/>
          <w:color w:val="auto"/>
        </w:rPr>
        <w:t>enforcement by the Company or any subsidiary or affiliate of the foregoing restrictive covenants, but such claim or cause of action shall be litigated separately.</w:t>
      </w:r>
    </w:p>
    <w:p>
      <w:pPr>
        <w:spacing w:after="0" w:line="157" w:lineRule="exact"/>
        <w:rPr>
          <w:sz w:val="20"/>
          <w:szCs w:val="20"/>
          <w:color w:val="auto"/>
        </w:rPr>
      </w:pPr>
    </w:p>
    <w:p>
      <w:pPr>
        <w:ind w:left="1180" w:hanging="423"/>
        <w:spacing w:after="0"/>
        <w:tabs>
          <w:tab w:leader="none" w:pos="11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INVENTIONS AND DISCOVERIES</w:t>
      </w:r>
    </w:p>
    <w:p>
      <w:pPr>
        <w:spacing w:after="0" w:line="206" w:lineRule="exact"/>
        <w:rPr>
          <w:sz w:val="20"/>
          <w:szCs w:val="20"/>
          <w:color w:val="auto"/>
        </w:rPr>
      </w:pPr>
    </w:p>
    <w:p>
      <w:pPr>
        <w:ind w:right="120" w:firstLine="757"/>
        <w:spacing w:after="0"/>
        <w:tabs>
          <w:tab w:leader="none" w:pos="1181"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his as a consequence of his employment or the rendering of advisory and consulting services hereunder (collectively the "Subject Matter").</w:t>
      </w:r>
    </w:p>
    <w:p>
      <w:pPr>
        <w:spacing w:after="0" w:line="163" w:lineRule="exact"/>
        <w:rPr>
          <w:rFonts w:ascii="Times New Roman" w:cs="Times New Roman" w:eastAsia="Times New Roman" w:hAnsi="Times New Roman"/>
          <w:sz w:val="22"/>
          <w:szCs w:val="22"/>
          <w:color w:val="auto"/>
        </w:rPr>
      </w:pPr>
    </w:p>
    <w:p>
      <w:pPr>
        <w:ind w:right="40" w:firstLine="440"/>
        <w:spacing w:after="0" w:line="239" w:lineRule="auto"/>
        <w:tabs>
          <w:tab w:leader="none" w:pos="8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67" w:lineRule="exact"/>
        <w:rPr>
          <w:sz w:val="20"/>
          <w:szCs w:val="20"/>
          <w:color w:val="auto"/>
        </w:rPr>
      </w:pPr>
    </w:p>
    <w:p>
      <w:pPr>
        <w:ind w:left="1180" w:hanging="423"/>
        <w:spacing w:after="0"/>
        <w:tabs>
          <w:tab w:leader="none" w:pos="11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OF CONFIDENTIAL INFORMATION</w:t>
      </w:r>
    </w:p>
    <w:p>
      <w:pPr>
        <w:spacing w:after="0" w:line="206" w:lineRule="exact"/>
        <w:rPr>
          <w:sz w:val="20"/>
          <w:szCs w:val="20"/>
          <w:color w:val="auto"/>
        </w:rPr>
      </w:pPr>
    </w:p>
    <w:p>
      <w:pPr>
        <w:ind w:firstLine="757"/>
        <w:spacing w:after="0" w:line="249" w:lineRule="auto"/>
        <w:tabs>
          <w:tab w:leader="none" w:pos="118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the Company possesses certain confidential and propriety information that has been or may be revealed to,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w:t>
      </w: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line="252" w:lineRule="auto"/>
        <w:rPr>
          <w:sz w:val="20"/>
          <w:szCs w:val="20"/>
          <w:color w:val="auto"/>
        </w:rPr>
      </w:pPr>
      <w:r>
        <w:rPr>
          <w:rFonts w:ascii="Times New Roman" w:cs="Times New Roman" w:eastAsia="Times New Roman" w:hAnsi="Times New Roman"/>
          <w:sz w:val="21"/>
          <w:szCs w:val="21"/>
          <w:color w:val="auto"/>
        </w:rPr>
        <w:t>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employee compensation and benefits information,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70" w:lineRule="exact"/>
        <w:rPr>
          <w:sz w:val="20"/>
          <w:szCs w:val="20"/>
          <w:color w:val="auto"/>
        </w:rPr>
      </w:pPr>
    </w:p>
    <w:p>
      <w:pPr>
        <w:ind w:right="140" w:firstLine="757"/>
        <w:spacing w:after="0" w:line="243" w:lineRule="auto"/>
        <w:tabs>
          <w:tab w:leader="none" w:pos="1181"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63" w:lineRule="exact"/>
        <w:rPr>
          <w:rFonts w:ascii="Times New Roman" w:cs="Times New Roman" w:eastAsia="Times New Roman" w:hAnsi="Times New Roman"/>
          <w:sz w:val="22"/>
          <w:szCs w:val="22"/>
          <w:color w:val="auto"/>
        </w:rPr>
      </w:pPr>
    </w:p>
    <w:p>
      <w:pPr>
        <w:ind w:right="160" w:firstLine="440"/>
        <w:spacing w:after="0" w:line="253" w:lineRule="auto"/>
        <w:tabs>
          <w:tab w:leader="none" w:pos="864"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w:t>
      </w:r>
    </w:p>
    <w:p>
      <w:pPr>
        <w:spacing w:after="0" w:line="2"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complaint or other document filed under seal in a lawsuit or other proceeding. Notwithstanding this immunity from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liability, Executive may be held liable if Executive unlawfully accesses trade secrets by unauthorized means.</w:t>
      </w:r>
    </w:p>
    <w:p>
      <w:pPr>
        <w:spacing w:after="0" w:line="223" w:lineRule="exact"/>
        <w:rPr>
          <w:sz w:val="20"/>
          <w:szCs w:val="20"/>
          <w:color w:val="auto"/>
        </w:rPr>
      </w:pPr>
    </w:p>
    <w:p>
      <w:pPr>
        <w:ind w:left="1180" w:hanging="423"/>
        <w:spacing w:after="0"/>
        <w:tabs>
          <w:tab w:leader="none" w:pos="11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p>
    <w:p>
      <w:pPr>
        <w:spacing w:after="0" w:line="193"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83" w:lineRule="exact"/>
        <w:rPr>
          <w:sz w:val="20"/>
          <w:szCs w:val="20"/>
          <w:color w:val="auto"/>
        </w:rPr>
      </w:pPr>
    </w:p>
    <w:p>
      <w:pPr>
        <w:ind w:left="1180" w:hanging="423"/>
        <w:spacing w:after="0"/>
        <w:tabs>
          <w:tab w:leader="none" w:pos="11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OR ALTERATION</w:t>
      </w:r>
    </w:p>
    <w:p>
      <w:pPr>
        <w:spacing w:after="0" w:line="206"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auto"/>
        </w:rPr>
        <w:t>No amendment or alteration of the terms of this Agreement shall be valid unless made in writing and signed by both of the parties 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ind w:left="1180" w:hanging="423"/>
        <w:spacing w:after="0"/>
        <w:tabs>
          <w:tab w:leader="none" w:pos="11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p>
    <w:p>
      <w:pPr>
        <w:spacing w:after="0" w:line="206" w:lineRule="exact"/>
        <w:rPr>
          <w:sz w:val="20"/>
          <w:szCs w:val="20"/>
          <w:color w:val="auto"/>
        </w:rPr>
      </w:pPr>
    </w:p>
    <w:p>
      <w:pPr>
        <w:ind w:right="640" w:firstLine="749"/>
        <w:spacing w:after="0" w:line="258" w:lineRule="auto"/>
        <w:rPr>
          <w:sz w:val="20"/>
          <w:szCs w:val="20"/>
          <w:color w:val="auto"/>
        </w:rPr>
      </w:pPr>
      <w:r>
        <w:rPr>
          <w:rFonts w:ascii="Times New Roman" w:cs="Times New Roman" w:eastAsia="Times New Roman" w:hAnsi="Times New Roman"/>
          <w:sz w:val="22"/>
          <w:szCs w:val="22"/>
          <w:color w:val="auto"/>
        </w:rPr>
        <w:t>This Agreement shall be governed by, and construed and enforced in accordance with the substantive laws of the Commonwealth of Massachusetts, without regard to its principles of conflicts of laws.</w:t>
      </w:r>
    </w:p>
    <w:p>
      <w:pPr>
        <w:spacing w:after="0" w:line="158" w:lineRule="exact"/>
        <w:rPr>
          <w:sz w:val="20"/>
          <w:szCs w:val="20"/>
          <w:color w:val="auto"/>
        </w:rPr>
      </w:pPr>
    </w:p>
    <w:p>
      <w:pPr>
        <w:ind w:left="1180" w:hanging="423"/>
        <w:spacing w:after="0"/>
        <w:tabs>
          <w:tab w:leader="none" w:pos="11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holding of any provision of this Agreement to be invalid or unenforceable by a court of competent jurisdiction shall not affect any other provision of this Agreement, which shall remain in full force and effect.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15" w:right="439" w:bottom="1440" w:gutter="0" w:footer="0" w:header="0"/>
        </w:sectPr>
      </w:pPr>
    </w:p>
    <w:bookmarkStart w:id="39" w:name="page40"/>
    <w:bookmarkEnd w:id="39"/>
    <w:p>
      <w:pPr>
        <w:ind w:left="1180" w:hanging="423"/>
        <w:spacing w:after="0"/>
        <w:tabs>
          <w:tab w:leader="none" w:pos="11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Any notices required or permitted to be given hereunder shall be sufficient if in</w:t>
      </w:r>
    </w:p>
    <w:p>
      <w:pPr>
        <w:spacing w:after="0" w:line="1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79" w:lineRule="exact"/>
        <w:rPr>
          <w:sz w:val="20"/>
          <w:szCs w:val="20"/>
          <w:color w:val="auto"/>
        </w:rPr>
      </w:pPr>
    </w:p>
    <w:p>
      <w:pPr>
        <w:ind w:left="1180" w:hanging="423"/>
        <w:spacing w:after="0"/>
        <w:tabs>
          <w:tab w:leader="none" w:pos="11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BREACH</w:t>
      </w:r>
    </w:p>
    <w:p>
      <w:pPr>
        <w:spacing w:after="0" w:line="193"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22"/>
          <w:szCs w:val="22"/>
          <w:color w:val="auto"/>
        </w:rPr>
        <w:t>It is agreed that a waiver by either party of a breach of any provision of this Agreement shall not operate, or be construed as a waiver of any subsequent breach by that same party.</w:t>
      </w:r>
    </w:p>
    <w:p>
      <w:pPr>
        <w:spacing w:after="0" w:line="131" w:lineRule="exact"/>
        <w:rPr>
          <w:sz w:val="20"/>
          <w:szCs w:val="20"/>
          <w:color w:val="auto"/>
        </w:rPr>
      </w:pPr>
    </w:p>
    <w:p>
      <w:pPr>
        <w:ind w:left="1180" w:hanging="423"/>
        <w:spacing w:after="0"/>
        <w:tabs>
          <w:tab w:leader="none" w:pos="11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AND BINDING EFFECT</w:t>
      </w:r>
    </w:p>
    <w:p>
      <w:pPr>
        <w:spacing w:after="0" w:line="206"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67" w:lineRule="exact"/>
        <w:rPr>
          <w:sz w:val="20"/>
          <w:szCs w:val="20"/>
          <w:color w:val="auto"/>
        </w:rPr>
      </w:pPr>
    </w:p>
    <w:p>
      <w:pPr>
        <w:ind w:left="1180" w:hanging="423"/>
        <w:spacing w:after="0"/>
        <w:tabs>
          <w:tab w:leader="none" w:pos="11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p>
    <w:p>
      <w:pPr>
        <w:spacing w:after="0" w:line="206"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2"/>
          <w:szCs w:val="22"/>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54" w:lineRule="exact"/>
        <w:rPr>
          <w:sz w:val="20"/>
          <w:szCs w:val="20"/>
          <w:color w:val="auto"/>
        </w:rPr>
      </w:pPr>
    </w:p>
    <w:p>
      <w:pPr>
        <w:ind w:left="1180" w:hanging="423"/>
        <w:spacing w:after="0"/>
        <w:tabs>
          <w:tab w:leader="none" w:pos="11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RESOLUTION OF DISPUTES</w:t>
      </w:r>
    </w:p>
    <w:p>
      <w:pPr>
        <w:spacing w:after="0" w:line="206" w:lineRule="exact"/>
        <w:rPr>
          <w:sz w:val="20"/>
          <w:szCs w:val="20"/>
          <w:color w:val="auto"/>
        </w:rPr>
      </w:pPr>
    </w:p>
    <w:p>
      <w:pPr>
        <w:ind w:right="700" w:firstLine="749"/>
        <w:spacing w:after="0" w:line="271" w:lineRule="auto"/>
        <w:rPr>
          <w:sz w:val="20"/>
          <w:szCs w:val="20"/>
          <w:color w:val="auto"/>
        </w:rPr>
      </w:pPr>
      <w:r>
        <w:rPr>
          <w:rFonts w:ascii="Times New Roman" w:cs="Times New Roman" w:eastAsia="Times New Roman" w:hAnsi="Times New Roman"/>
          <w:sz w:val="22"/>
          <w:szCs w:val="22"/>
          <w:color w:val="auto"/>
        </w:rPr>
        <w:t>Any and all disputes arising under or in connection with this Agreement shall be resolved in accordance with this paragraph 21 and paragraph 15.</w:t>
      </w:r>
    </w:p>
    <w:p>
      <w:pPr>
        <w:spacing w:after="0" w:line="131" w:lineRule="exact"/>
        <w:rPr>
          <w:sz w:val="20"/>
          <w:szCs w:val="20"/>
          <w:color w:val="auto"/>
        </w:rPr>
      </w:pPr>
    </w:p>
    <w:p>
      <w:pPr>
        <w:ind w:right="280" w:firstLine="749"/>
        <w:spacing w:after="0" w:line="243" w:lineRule="auto"/>
        <w:rPr>
          <w:sz w:val="20"/>
          <w:szCs w:val="20"/>
          <w:color w:val="auto"/>
        </w:rPr>
      </w:pPr>
      <w:r>
        <w:rPr>
          <w:rFonts w:ascii="Times New Roman" w:cs="Times New Roman" w:eastAsia="Times New Roman" w:hAnsi="Times New Roman"/>
          <w:sz w:val="22"/>
          <w:szCs w:val="22"/>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ind w:left="1180" w:hanging="423"/>
        <w:spacing w:after="0"/>
        <w:tabs>
          <w:tab w:leader="none" w:pos="11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p>
    <w:p>
      <w:pPr>
        <w:spacing w:after="0" w:line="207"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13" w:lineRule="exact"/>
        <w:rPr>
          <w:sz w:val="20"/>
          <w:szCs w:val="20"/>
          <w:color w:val="auto"/>
        </w:rPr>
      </w:pPr>
    </w:p>
    <w:p>
      <w:pPr>
        <w:ind w:left="1180" w:hanging="423"/>
        <w:spacing w:after="0"/>
        <w:tabs>
          <w:tab w:leader="none" w:pos="11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p>
    <w:p>
      <w:pPr>
        <w:spacing w:after="0" w:line="193" w:lineRule="exact"/>
        <w:rPr>
          <w:sz w:val="20"/>
          <w:szCs w:val="20"/>
          <w:color w:val="auto"/>
        </w:rPr>
      </w:pPr>
    </w:p>
    <w:p>
      <w:pPr>
        <w:ind w:right="40" w:firstLine="749"/>
        <w:spacing w:after="0" w:line="271" w:lineRule="auto"/>
        <w:rPr>
          <w:sz w:val="20"/>
          <w:szCs w:val="20"/>
          <w:color w:val="auto"/>
        </w:rPr>
      </w:pPr>
      <w:r>
        <w:rPr>
          <w:rFonts w:ascii="Times New Roman" w:cs="Times New Roman" w:eastAsia="Times New Roman" w:hAnsi="Times New Roman"/>
          <w:sz w:val="22"/>
          <w:szCs w:val="22"/>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31" w:lineRule="exact"/>
        <w:rPr>
          <w:sz w:val="20"/>
          <w:szCs w:val="20"/>
          <w:color w:val="auto"/>
        </w:rPr>
      </w:pPr>
    </w:p>
    <w:p>
      <w:pPr>
        <w:ind w:right="6780" w:firstLine="757"/>
        <w:spacing w:after="0" w:line="435" w:lineRule="auto"/>
        <w:tabs>
          <w:tab w:leader="none" w:pos="118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xml:space="preserve">SUBSIDIARIES AND AFFILIATES </w:t>
      </w:r>
      <w:r>
        <w:rPr>
          <w:rFonts w:ascii="Times New Roman" w:cs="Times New Roman" w:eastAsia="Times New Roman" w:hAnsi="Times New Roman"/>
          <w:sz w:val="22"/>
          <w:szCs w:val="22"/>
          <w:color w:val="auto"/>
        </w:rPr>
        <w:t>For purposes of this Agreement:</w:t>
      </w:r>
    </w:p>
    <w:p>
      <w:pPr>
        <w:ind w:right="100" w:firstLine="872"/>
        <w:spacing w:after="0" w:line="250" w:lineRule="auto"/>
        <w:tabs>
          <w:tab w:leader="none" w:pos="1212"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54" w:lineRule="exact"/>
        <w:rPr>
          <w:rFonts w:ascii="Times New Roman" w:cs="Times New Roman" w:eastAsia="Times New Roman" w:hAnsi="Times New Roman"/>
          <w:sz w:val="22"/>
          <w:szCs w:val="22"/>
          <w:color w:val="auto"/>
        </w:rPr>
      </w:pPr>
    </w:p>
    <w:p>
      <w:pPr>
        <w:ind w:firstLine="1181"/>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7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p>
    <w:p>
      <w:pPr>
        <w:spacing w:after="0" w:line="193"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22"/>
          <w:szCs w:val="22"/>
          <w:color w:val="auto"/>
        </w:rPr>
        <w:t>The paragraph headings appearing in this Agreement are for the purposes of easy reference and shall not be considered a part of this Agreement or in any way modify, amend or affect its provisions.</w:t>
      </w:r>
    </w:p>
    <w:p>
      <w:pPr>
        <w:spacing w:after="0" w:line="131" w:lineRule="exact"/>
        <w:rPr>
          <w:sz w:val="20"/>
          <w:szCs w:val="20"/>
          <w:color w:val="auto"/>
        </w:rPr>
      </w:pPr>
    </w:p>
    <w:p>
      <w:pPr>
        <w:ind w:left="1180" w:hanging="423"/>
        <w:spacing w:after="0"/>
        <w:tabs>
          <w:tab w:leader="none" w:pos="11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p>
    <w:p>
      <w:pPr>
        <w:spacing w:after="0" w:line="206" w:lineRule="exact"/>
        <w:rPr>
          <w:sz w:val="20"/>
          <w:szCs w:val="20"/>
          <w:color w:val="auto"/>
        </w:rPr>
      </w:pPr>
    </w:p>
    <w:p>
      <w:pPr>
        <w:ind w:right="480" w:firstLine="749"/>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one or more counterparts, each of which shall be deemed an original and all of which together shall constitute one and the same agreement.</w:t>
      </w:r>
    </w:p>
    <w:p>
      <w:pPr>
        <w:spacing w:after="0" w:line="347"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under seal, as of the date and year first above written.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CMRG APPAREL,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53"/>
        </w:trPr>
        <w:tc>
          <w:tcPr>
            <w:tcW w:w="3880" w:type="dxa"/>
            <w:vAlign w:val="bottom"/>
          </w:tcPr>
          <w:p>
            <w:pPr>
              <w:spacing w:after="0"/>
              <w:rPr>
                <w:sz w:val="20"/>
                <w:szCs w:val="20"/>
                <w:color w:val="auto"/>
              </w:rPr>
            </w:pPr>
            <w:r>
              <w:rPr>
                <w:rFonts w:ascii="Times New Roman" w:cs="Times New Roman" w:eastAsia="Times New Roman" w:hAnsi="Times New Roman"/>
                <w:sz w:val="22"/>
                <w:szCs w:val="22"/>
                <w:color w:val="auto"/>
              </w:rPr>
              <w:t>By: ___________________________</w:t>
            </w:r>
          </w:p>
        </w:tc>
        <w:tc>
          <w:tcPr>
            <w:tcW w:w="73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Date: _____________________</w:t>
            </w:r>
          </w:p>
        </w:tc>
      </w:tr>
      <w:tr>
        <w:trPr>
          <w:trHeight w:val="243"/>
        </w:trPr>
        <w:tc>
          <w:tcPr>
            <w:tcW w:w="3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Name:   Harvey S. Kanter</w:t>
            </w:r>
          </w:p>
        </w:tc>
        <w:tc>
          <w:tcPr>
            <w:tcW w:w="7360" w:type="dxa"/>
            <w:vAlign w:val="bottom"/>
          </w:tcPr>
          <w:p>
            <w:pPr>
              <w:spacing w:after="0"/>
              <w:rPr>
                <w:sz w:val="21"/>
                <w:szCs w:val="21"/>
                <w:color w:val="auto"/>
              </w:rPr>
            </w:pPr>
          </w:p>
        </w:tc>
      </w:tr>
      <w:tr>
        <w:trPr>
          <w:trHeight w:val="282"/>
        </w:trPr>
        <w:tc>
          <w:tcPr>
            <w:tcW w:w="3880" w:type="dxa"/>
            <w:vAlign w:val="bottom"/>
          </w:tcPr>
          <w:p>
            <w:pPr>
              <w:spacing w:after="0"/>
              <w:rPr>
                <w:sz w:val="20"/>
                <w:szCs w:val="20"/>
                <w:color w:val="auto"/>
              </w:rPr>
            </w:pPr>
            <w:r>
              <w:rPr>
                <w:rFonts w:ascii="Times New Roman" w:cs="Times New Roman" w:eastAsia="Times New Roman" w:hAnsi="Times New Roman"/>
                <w:sz w:val="22"/>
                <w:szCs w:val="22"/>
                <w:color w:val="auto"/>
              </w:rPr>
              <w:t>Its:  President, Chief Executive Officer</w:t>
            </w:r>
          </w:p>
        </w:tc>
        <w:tc>
          <w:tcPr>
            <w:tcW w:w="7360" w:type="dxa"/>
            <w:vAlign w:val="bottom"/>
          </w:tcPr>
          <w:p>
            <w:pPr>
              <w:spacing w:after="0"/>
              <w:rPr>
                <w:sz w:val="24"/>
                <w:szCs w:val="24"/>
                <w:color w:val="auto"/>
              </w:rPr>
            </w:pPr>
          </w:p>
        </w:tc>
      </w:tr>
      <w:tr>
        <w:trPr>
          <w:trHeight w:val="879"/>
        </w:trPr>
        <w:tc>
          <w:tcPr>
            <w:tcW w:w="388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_______________________________</w:t>
            </w:r>
          </w:p>
        </w:tc>
        <w:tc>
          <w:tcPr>
            <w:tcW w:w="73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Date: _____________________</w:t>
            </w:r>
          </w:p>
        </w:tc>
      </w:tr>
      <w:tr>
        <w:trPr>
          <w:trHeight w:val="282"/>
        </w:trPr>
        <w:tc>
          <w:tcPr>
            <w:tcW w:w="3880" w:type="dxa"/>
            <w:vAlign w:val="bottom"/>
          </w:tcPr>
          <w:p>
            <w:pPr>
              <w:spacing w:after="0"/>
              <w:rPr>
                <w:sz w:val="20"/>
                <w:szCs w:val="20"/>
                <w:color w:val="auto"/>
              </w:rPr>
            </w:pPr>
            <w:r>
              <w:rPr>
                <w:rFonts w:ascii="Times New Roman" w:cs="Times New Roman" w:eastAsia="Times New Roman" w:hAnsi="Times New Roman"/>
                <w:sz w:val="22"/>
                <w:szCs w:val="22"/>
                <w:color w:val="auto"/>
              </w:rPr>
              <w:t>James Reath</w:t>
            </w:r>
          </w:p>
        </w:tc>
        <w:tc>
          <w:tcPr>
            <w:tcW w:w="7360" w:type="dxa"/>
            <w:vAlign w:val="bottom"/>
          </w:tcPr>
          <w:p>
            <w:pPr>
              <w:spacing w:after="0"/>
              <w:rPr>
                <w:sz w:val="24"/>
                <w:szCs w:val="24"/>
                <w:color w:val="auto"/>
              </w:rPr>
            </w:pPr>
          </w:p>
        </w:tc>
      </w:tr>
      <w:tr>
        <w:trPr>
          <w:trHeight w:val="42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360" w:type="dxa"/>
            <w:vAlign w:val="bottom"/>
          </w:tcPr>
          <w:p>
            <w:pPr>
              <w:spacing w:after="0"/>
              <w:rPr>
                <w:sz w:val="24"/>
                <w:szCs w:val="24"/>
                <w:color w:val="auto"/>
              </w:rPr>
            </w:pPr>
          </w:p>
        </w:tc>
      </w:tr>
      <w:tr>
        <w:trPr>
          <w:trHeight w:val="318"/>
        </w:trPr>
        <w:tc>
          <w:tcPr>
            <w:tcW w:w="388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RELEASE OF CLAIMS</w:t>
      </w:r>
    </w:p>
    <w:p>
      <w:pPr>
        <w:spacing w:after="0" w:line="17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i w:val="1"/>
          <w:iCs w:val="1"/>
          <w:color w:val="auto"/>
        </w:rPr>
        <w:t>GENERAL RELEASE OF CLAIMS</w:t>
      </w:r>
    </w:p>
    <w:p>
      <w:pPr>
        <w:spacing w:after="0" w:line="200" w:lineRule="exact"/>
        <w:rPr>
          <w:sz w:val="20"/>
          <w:szCs w:val="20"/>
          <w:color w:val="auto"/>
        </w:rPr>
      </w:pPr>
    </w:p>
    <w:p>
      <w:pPr>
        <w:spacing w:after="0" w:line="215" w:lineRule="exact"/>
        <w:rPr>
          <w:sz w:val="20"/>
          <w:szCs w:val="20"/>
          <w:color w:val="auto"/>
        </w:rPr>
      </w:pPr>
    </w:p>
    <w:p>
      <w:pPr>
        <w:ind w:firstLine="757"/>
        <w:spacing w:after="0" w:line="237" w:lineRule="auto"/>
        <w:tabs>
          <w:tab w:leader="none" w:pos="149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James Reath,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for himself and his family, heirs, executors, administrators, legal representatives and their respective successors and assigns, in exchange for good and valuable consideration to be paid after the date of Executive’s termination as set forth in the Employment Agreement, to which a form of this release is attached as Exhibit A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does hereby release and forever discharge, to the maximum extent permitted by law, CMRG Apparel, LLC (the “Company”), its parent, its parent’s subsidiaries, affiliated companies, successors and assigns, and their respective current or former directors, officers, employees, shareholders or agents in such capacities (collectively with the Company, the “</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xml:space="preserve">”) from any and all actions, causes of action, suits, controversies, claims and demands whatsoever, for or by reason of any matter, cause or thing whatsoever, whether known or unknown including, but not limited to, the Employee Retirement Income Security Act of 1974, 29 U.S.C. §1001 et seq., the Civil Rights Act of 1964, 42 U.S.C. §2000e et seq., COBRA; the Equal Pay Act of 1963, 29 U.S.C. §206(d), the Civil Rights Act of 1991; the Age Discrimination in Employment Act (ADEA); the Americans with Disabilities Act, 42 U.S.C. §12101 et seq., the Family and Medical Leave Act (FMLA); the Civil Rights Act of 1866, 42 U.S.C. §1981 et seq., as amended, the Fair Credit Reporting Act, the Worker Adjustment and Retraining Notification Act, the Genetic Information Nondiscrimination Act of 2008, the Massachusetts Law Against Discrimination, G.L. c. 151B; the Massachusetts Privacy Statute, G.L. c. 214, § 1B, the Massachusetts Wage Payment Statute, G.L. c. 149, §§ 148, 148A, 148B, 149, 150,150A-150C, 151, 152, 152A,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the Massachusetts Wage and hour laws, G.L. c. 151§1A et seq; the Massachusetts Sexual Harassment Statute, G.L. c. 214 §1C, the Massachusetts Consumer Protection Act, G.L. c. 93A, the Massachusetts Civil Rights Act, G.L. c. 12, § 11, the Massachusetts Equal Rights Act, G.L. c. 93, the Massachusetts Civil Rights Act, G.L. c. 12, § 11; the Massachusetts Equal Rights Act, G.L. c. 93; the Massachusetts AIDS Testing statute, G.L. c. 111, §70F; the Massachusetts Employment Leave for Victims and Family Members of Abuse, G.L. c. 149, §52E, as amended; the Massachusetts Earned Sick Time Law, M.G.L. c. 149, § 148C; the Massachusetts Small Necessities Leave Act;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w:t>
      </w:r>
    </w:p>
    <w:p>
      <w:pPr>
        <w:spacing w:after="0" w:line="18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Executive acknowledges that Executive is specifically advised to consult with an attorney of Executive’s choosing before signing this General Release of Claims, and through this General Release of Claims advises Executive to consult with his attorney with respect to possible claims, including but not limited to claims under the ADEA,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3" w:name="page44"/>
    <w:bookmarkEnd w:id="43"/>
    <w:p>
      <w:pPr>
        <w:spacing w:after="0" w:line="238" w:lineRule="auto"/>
        <w:rPr>
          <w:sz w:val="20"/>
          <w:szCs w:val="20"/>
          <w:color w:val="auto"/>
        </w:rPr>
      </w:pPr>
      <w:r>
        <w:rPr>
          <w:rFonts w:ascii="Times New Roman" w:cs="Times New Roman" w:eastAsia="Times New Roman" w:hAnsi="Times New Roman"/>
          <w:sz w:val="22"/>
          <w:szCs w:val="22"/>
          <w:color w:val="auto"/>
        </w:rPr>
        <w:t>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will not be able to recover any monetary benefits in connection with any such claim, charge or proceeding.</w:t>
      </w:r>
    </w:p>
    <w:p>
      <w:pPr>
        <w:spacing w:after="0" w:line="184" w:lineRule="exact"/>
        <w:rPr>
          <w:sz w:val="20"/>
          <w:szCs w:val="20"/>
          <w:color w:val="auto"/>
        </w:rPr>
      </w:pPr>
    </w:p>
    <w:p>
      <w:pPr>
        <w:jc w:val="both"/>
        <w:ind w:firstLine="757"/>
        <w:spacing w:after="0" w:line="255" w:lineRule="auto"/>
        <w:tabs>
          <w:tab w:leader="none" w:pos="149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Executive shall not have relinquished his right to commence a Proceeding to challenge whether Executive knowingly and voluntarily waived his rights under ADEA.</w:t>
      </w:r>
    </w:p>
    <w:p>
      <w:pPr>
        <w:spacing w:after="0" w:line="171" w:lineRule="exact"/>
        <w:rPr>
          <w:sz w:val="20"/>
          <w:szCs w:val="20"/>
          <w:color w:val="auto"/>
        </w:rPr>
      </w:pPr>
    </w:p>
    <w:p>
      <w:pPr>
        <w:ind w:left="1180" w:hanging="423"/>
        <w:spacing w:after="0"/>
        <w:tabs>
          <w:tab w:leader="none" w:pos="11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both"/>
        <w:ind w:firstLine="757"/>
        <w:spacing w:after="0" w:line="238" w:lineRule="auto"/>
        <w:tabs>
          <w:tab w:leader="none" w:pos="118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the consideration set forth in the Employment Agreement and the payment of severance benefits set forth in Section 7 of the Employment Agreement,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Times New Roman" w:cs="Times New Roman" w:eastAsia="Times New Roman" w:hAnsi="Times New Roman"/>
          <w:sz w:val="22"/>
          <w:szCs w:val="22"/>
          <w:color w:val="333333"/>
        </w:rPr>
        <w:t>in which the Executive provided services or had a material presence or influence on behalf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33333"/>
        </w:rPr>
        <w:t>the Company, whether in the United States, Canada, Europe or elsewhere during the two years prior to Executive’s separation from the Company</w:t>
      </w:r>
      <w:r>
        <w:rPr>
          <w:rFonts w:ascii="Times New Roman" w:cs="Times New Roman" w:eastAsia="Times New Roman" w:hAnsi="Times New Roman"/>
          <w:sz w:val="22"/>
          <w:szCs w:val="22"/>
          <w:color w:val="000000"/>
        </w:rPr>
        <w:t>; provided, however, that Executive may own any securities of any corporation which is engaged in such</w:t>
      </w:r>
      <w:r>
        <w:rPr>
          <w:rFonts w:ascii="Times New Roman" w:cs="Times New Roman" w:eastAsia="Times New Roman" w:hAnsi="Times New Roman"/>
          <w:sz w:val="22"/>
          <w:szCs w:val="22"/>
          <w:color w:val="333333"/>
        </w:rPr>
        <w:t xml:space="preserve"> </w:t>
      </w:r>
      <w:r>
        <w:rPr>
          <w:rFonts w:ascii="Times New Roman" w:cs="Times New Roman" w:eastAsia="Times New Roman" w:hAnsi="Times New Roman"/>
          <w:sz w:val="22"/>
          <w:szCs w:val="22"/>
          <w:color w:val="000000"/>
        </w:rPr>
        <w:t>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both"/>
        <w:ind w:firstLine="851"/>
        <w:spacing w:after="0" w:line="258" w:lineRule="auto"/>
        <w:tabs>
          <w:tab w:leader="none" w:pos="1275"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portion of the restrictions set forth in this paragraph 3 should, for any reason whatsoever, be declared invalid by a court of competent jurisdiction, the validity or enforceability of the remainder of such restrictions shall not thereby be adversely affected. For the purposes of this paragraph 3,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7" w:lineRule="exact"/>
        <w:rPr>
          <w:rFonts w:ascii="Times New Roman" w:cs="Times New Roman" w:eastAsia="Times New Roman" w:hAnsi="Times New Roman"/>
          <w:sz w:val="21"/>
          <w:szCs w:val="21"/>
          <w:color w:val="auto"/>
        </w:rPr>
      </w:pPr>
    </w:p>
    <w:p>
      <w:pPr>
        <w:jc w:val="both"/>
        <w:ind w:firstLine="757"/>
        <w:spacing w:after="0" w:line="241"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3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76" w:lineRule="exact"/>
        <w:rPr>
          <w:rFonts w:ascii="Times New Roman" w:cs="Times New Roman" w:eastAsia="Times New Roman" w:hAnsi="Times New Roman"/>
          <w:sz w:val="22"/>
          <w:szCs w:val="22"/>
          <w:color w:val="auto"/>
        </w:rPr>
      </w:pPr>
    </w:p>
    <w:p>
      <w:pPr>
        <w:jc w:val="both"/>
        <w:ind w:firstLine="757"/>
        <w:spacing w:after="0"/>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76" w:lineRule="exact"/>
        <w:rPr>
          <w:sz w:val="20"/>
          <w:szCs w:val="20"/>
          <w:color w:val="auto"/>
        </w:rPr>
      </w:pPr>
    </w:p>
    <w:p>
      <w:pPr>
        <w:ind w:left="1180" w:hanging="423"/>
        <w:spacing w:after="0"/>
        <w:tabs>
          <w:tab w:leader="none" w:pos="11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Inventions and Discoveries.</w:t>
      </w:r>
    </w:p>
    <w:p>
      <w:pPr>
        <w:spacing w:after="0" w:line="210" w:lineRule="exact"/>
        <w:rPr>
          <w:sz w:val="20"/>
          <w:szCs w:val="20"/>
          <w:color w:val="auto"/>
        </w:rPr>
      </w:pPr>
    </w:p>
    <w:p>
      <w:pPr>
        <w:jc w:val="both"/>
        <w:ind w:firstLine="757"/>
        <w:spacing w:after="0"/>
        <w:tabs>
          <w:tab w:leader="none" w:pos="118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of this General Release of Claims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63" w:lineRule="exact"/>
        <w:rPr>
          <w:rFonts w:ascii="Times New Roman" w:cs="Times New Roman" w:eastAsia="Times New Roman" w:hAnsi="Times New Roman"/>
          <w:sz w:val="22"/>
          <w:szCs w:val="22"/>
          <w:color w:val="auto"/>
        </w:rPr>
      </w:pPr>
    </w:p>
    <w:p>
      <w:pPr>
        <w:jc w:val="both"/>
        <w:ind w:firstLine="440"/>
        <w:spacing w:after="0" w:line="238" w:lineRule="auto"/>
        <w:tabs>
          <w:tab w:leader="none" w:pos="86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General Release Of Claims, and at any time thereafter on reasonable notice and at mutually convenient times, and Executive agrees to testify in any prosecution or litigation involving any of the Subject Matter; provided, however, that Executive shall be compensated in a timely manner at the rate of $250 per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spacing w:after="0" w:line="259" w:lineRule="auto"/>
        <w:rPr>
          <w:sz w:val="20"/>
          <w:szCs w:val="20"/>
          <w:color w:val="auto"/>
        </w:rPr>
      </w:pPr>
      <w:r>
        <w:rPr>
          <w:rFonts w:ascii="Times New Roman" w:cs="Times New Roman" w:eastAsia="Times New Roman" w:hAnsi="Times New Roman"/>
          <w:sz w:val="22"/>
          <w:szCs w:val="22"/>
          <w:color w:val="auto"/>
        </w:rPr>
        <w:t>day (or portion thereof), plus out-of-pocket expenses incurred in rendering such assistance or giving or preparing to give such testimony.</w:t>
      </w:r>
    </w:p>
    <w:p>
      <w:pPr>
        <w:spacing w:after="0" w:line="153" w:lineRule="exact"/>
        <w:rPr>
          <w:sz w:val="20"/>
          <w:szCs w:val="20"/>
          <w:color w:val="auto"/>
        </w:rPr>
      </w:pPr>
    </w:p>
    <w:p>
      <w:pPr>
        <w:ind w:left="1180" w:hanging="423"/>
        <w:spacing w:after="0"/>
        <w:tabs>
          <w:tab w:leader="none" w:pos="11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Non-Disclosure of Confidential Information.</w:t>
      </w:r>
    </w:p>
    <w:p>
      <w:pPr>
        <w:spacing w:after="0" w:line="210" w:lineRule="exact"/>
        <w:rPr>
          <w:sz w:val="20"/>
          <w:szCs w:val="20"/>
          <w:color w:val="auto"/>
        </w:rPr>
      </w:pPr>
    </w:p>
    <w:p>
      <w:pPr>
        <w:jc w:val="both"/>
        <w:ind w:firstLine="757"/>
        <w:spacing w:after="0" w:line="236" w:lineRule="auto"/>
        <w:tabs>
          <w:tab w:leader="none" w:pos="118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possesses certain confidential and propriety information that has been revealed to him or learned by Executive during the course of Executive’s employment with the Company and that it would be unfair to use that information or knowledge to compete with or to otherwise disadvantage the Company. Executive shall not, at any time following the end of Executive’s employment with the Company,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5(a) by Executive.</w:t>
      </w:r>
    </w:p>
    <w:p>
      <w:pPr>
        <w:spacing w:after="0" w:line="193" w:lineRule="exact"/>
        <w:rPr>
          <w:rFonts w:ascii="Times New Roman" w:cs="Times New Roman" w:eastAsia="Times New Roman" w:hAnsi="Times New Roman"/>
          <w:sz w:val="22"/>
          <w:szCs w:val="22"/>
          <w:color w:val="auto"/>
        </w:rPr>
      </w:pPr>
    </w:p>
    <w:p>
      <w:pPr>
        <w:jc w:val="both"/>
        <w:ind w:firstLine="757"/>
        <w:spacing w:after="0" w:line="243" w:lineRule="auto"/>
        <w:tabs>
          <w:tab w:leader="none" w:pos="118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63" w:lineRule="exact"/>
        <w:rPr>
          <w:rFonts w:ascii="Times New Roman" w:cs="Times New Roman" w:eastAsia="Times New Roman" w:hAnsi="Times New Roman"/>
          <w:sz w:val="22"/>
          <w:szCs w:val="22"/>
          <w:color w:val="auto"/>
        </w:rPr>
      </w:pPr>
    </w:p>
    <w:p>
      <w:pPr>
        <w:jc w:val="both"/>
        <w:ind w:firstLine="757"/>
        <w:spacing w:after="0" w:line="243" w:lineRule="auto"/>
        <w:tabs>
          <w:tab w:leader="none" w:pos="118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Executive unlawfully accesses trade secrets by unauthorized means.</w:t>
      </w:r>
    </w:p>
    <w:p>
      <w:pPr>
        <w:spacing w:after="0" w:line="173" w:lineRule="exact"/>
        <w:rPr>
          <w:sz w:val="20"/>
          <w:szCs w:val="20"/>
          <w:color w:val="auto"/>
        </w:rPr>
      </w:pPr>
    </w:p>
    <w:p>
      <w:pPr>
        <w:ind w:firstLine="757"/>
        <w:spacing w:after="0" w:line="246" w:lineRule="auto"/>
        <w:tabs>
          <w:tab w:leader="none" w:pos="119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Specific Performance</w:t>
      </w:r>
      <w:r>
        <w:rPr>
          <w:rFonts w:ascii="Times New Roman" w:cs="Times New Roman" w:eastAsia="Times New Roman" w:hAnsi="Times New Roman"/>
          <w:sz w:val="22"/>
          <w:szCs w:val="22"/>
          <w:color w:val="auto"/>
        </w:rPr>
        <w:t>. Executive agrees that if he breaches, or threatens to commit a breach of, any enforceable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paragraphs 3, 4 or 5 (the "Restrictive Covenants"),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both"/>
        <w:spacing w:after="0" w:line="239" w:lineRule="auto"/>
        <w:rPr>
          <w:sz w:val="20"/>
          <w:szCs w:val="20"/>
          <w:color w:val="auto"/>
        </w:rPr>
      </w:pPr>
      <w:r>
        <w:rPr>
          <w:rFonts w:ascii="Times New Roman" w:cs="Times New Roman" w:eastAsia="Times New Roman" w:hAnsi="Times New Roman"/>
          <w:sz w:val="22"/>
          <w:szCs w:val="22"/>
          <w:color w:val="auto"/>
        </w:rPr>
        <w:t>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Any such damages, attorneys’ fees and costs shall be in addition to and not in lieu of any injunctive relief that may be available to the Company.</w:t>
      </w:r>
    </w:p>
    <w:p>
      <w:pPr>
        <w:spacing w:after="0" w:line="181" w:lineRule="exact"/>
        <w:rPr>
          <w:sz w:val="20"/>
          <w:szCs w:val="20"/>
          <w:color w:val="auto"/>
        </w:rPr>
      </w:pPr>
    </w:p>
    <w:p>
      <w:pPr>
        <w:jc w:val="both"/>
        <w:ind w:firstLine="757"/>
        <w:spacing w:after="0" w:line="250" w:lineRule="auto"/>
        <w:tabs>
          <w:tab w:leader="none" w:pos="1181"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business days following the date on which Executive signs this General Release of Claims within which to revoke it by providing a written notice of his revocation to the Company. Any such revocation shall be directed to the HR Director, Associate Relations &amp; Compliance and must be delivered to the HR Director, Associate Relations &amp; Compliance within that seven (7) day revocation period, or mailed to Destination XL Group, Inc., Attn: HR Director, Associate Relations &amp; Compliance, 555 Turnpike Street, Canton, MA 02021 and postmarked within the seven (7) day revocation period.</w:t>
      </w:r>
    </w:p>
    <w:p>
      <w:pPr>
        <w:spacing w:after="0" w:line="176" w:lineRule="exact"/>
        <w:rPr>
          <w:rFonts w:ascii="Times New Roman" w:cs="Times New Roman" w:eastAsia="Times New Roman" w:hAnsi="Times New Roman"/>
          <w:sz w:val="21"/>
          <w:szCs w:val="21"/>
          <w:color w:val="auto"/>
        </w:rPr>
      </w:pPr>
    </w:p>
    <w:p>
      <w:pPr>
        <w:jc w:val="both"/>
        <w:ind w:firstLine="757"/>
        <w:spacing w:after="0" w:line="250" w:lineRule="auto"/>
        <w:tabs>
          <w:tab w:leader="none" w:pos="118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he has read this General Release of Claims, has been advised that he should consult with an attorney before executing this general release of claims, and that he understands all of its terms and executes it voluntarily and with full knowledge of its significance and the consequences thereof.</w:t>
      </w:r>
    </w:p>
    <w:p>
      <w:pPr>
        <w:spacing w:after="0" w:line="18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General Release of Claims shall take effect on the eighth business day following Executive’s execution of this General Release of Claims unless Executive’s written revocation is delivered to the Company within seven (7) business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393065</wp:posOffset>
            </wp:positionV>
            <wp:extent cx="274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James Reath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DESTINATION XL GROUP, INC.</w:t>
      </w:r>
    </w:p>
    <w:p>
      <w:pPr>
        <w:jc w:val="center"/>
        <w:spacing w:after="0"/>
        <w:rPr>
          <w:sz w:val="20"/>
          <w:szCs w:val="20"/>
          <w:color w:val="auto"/>
        </w:rPr>
      </w:pPr>
      <w:r>
        <w:rPr>
          <w:rFonts w:ascii="Times New Roman" w:cs="Times New Roman" w:eastAsia="Times New Roman" w:hAnsi="Times New Roman"/>
          <w:sz w:val="22"/>
          <w:szCs w:val="22"/>
          <w:b w:val="1"/>
          <w:bCs w:val="1"/>
          <w:color w:val="auto"/>
        </w:rPr>
        <w:t>STAND-ALONE INDUCEMENT RESTRICTED STOCK UNIT AWARD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JAMES REATH</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b w:val="1"/>
          <w:bCs w:val="1"/>
          <w:i w:val="1"/>
          <w:iCs w:val="1"/>
          <w:color w:val="auto"/>
        </w:rPr>
        <w:t>Grant of Restricted Stock Units.</w:t>
      </w:r>
      <w:r>
        <w:rPr>
          <w:rFonts w:ascii="Times New Roman" w:cs="Times New Roman" w:eastAsia="Times New Roman" w:hAnsi="Times New Roman"/>
          <w:sz w:val="22"/>
          <w:szCs w:val="22"/>
          <w:color w:val="auto"/>
        </w:rPr>
        <w:t xml:space="preserve"> DESTINATION XL GROUP, INC., a Delaware corporation (the “Company”), hereby grants, as of October 7, 2022 (“Date of Grant”), to </w:t>
      </w:r>
      <w:r>
        <w:rPr>
          <w:rFonts w:ascii="Times New Roman" w:cs="Times New Roman" w:eastAsia="Times New Roman" w:hAnsi="Times New Roman"/>
          <w:sz w:val="22"/>
          <w:szCs w:val="22"/>
          <w:b w:val="1"/>
          <w:bCs w:val="1"/>
          <w:i w:val="1"/>
          <w:iCs w:val="1"/>
          <w:color w:val="auto"/>
        </w:rPr>
        <w:t>James Reath</w:t>
      </w:r>
      <w:r>
        <w:rPr>
          <w:rFonts w:ascii="Times New Roman" w:cs="Times New Roman" w:eastAsia="Times New Roman" w:hAnsi="Times New Roman"/>
          <w:sz w:val="22"/>
          <w:szCs w:val="22"/>
          <w:color w:val="auto"/>
        </w:rPr>
        <w:t xml:space="preserve"> (the “Participant”) an award of 32,840 restricted stock units (the “RSUs”) (the “Award”) to be settled in shares of the Company’s common stock, $0.01 par value per share, subject to the terms and conditions as set forth herein. Among other things, this Award is paid in consideration for the non-compete provisions contained in the Participant’s Employment Agreement. This RSU award agreement (the “Agreement”) is issued as a stand-alone inducement grant outside of the Company’s 2016 Incentive Compensation Plan (the “2016 Plan”). Unless otherwise provided herein, however, terms used herein that are defined in the 2016 Plan and not defined herein shall have the meanings attributed thereto in the 2016 Plan. The Participant hereby acknowledges receipt of a copy of the 2016 Plan and agrees to be bound by all of the terms and conditions hereof and all applicable laws and regulations.</w:t>
      </w:r>
    </w:p>
    <w:p>
      <w:pPr>
        <w:spacing w:after="0" w:line="19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b w:val="1"/>
          <w:bCs w:val="1"/>
          <w:i w:val="1"/>
          <w:iCs w:val="1"/>
          <w:color w:val="auto"/>
        </w:rPr>
        <w:t>Vesting of RSUs.</w:t>
      </w:r>
    </w:p>
    <w:p>
      <w:pPr>
        <w:spacing w:after="0" w:line="206" w:lineRule="exact"/>
        <w:rPr>
          <w:sz w:val="20"/>
          <w:szCs w:val="20"/>
          <w:color w:val="auto"/>
        </w:rPr>
      </w:pPr>
    </w:p>
    <w:p>
      <w:pPr>
        <w:jc w:val="both"/>
        <w:ind w:firstLine="664"/>
        <w:spacing w:after="0" w:line="242" w:lineRule="auto"/>
        <w:tabs>
          <w:tab w:leader="none" w:pos="140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General Vesting. </w:t>
      </w:r>
      <w:r>
        <w:rPr>
          <w:rFonts w:ascii="Times New Roman" w:cs="Times New Roman" w:eastAsia="Times New Roman" w:hAnsi="Times New Roman"/>
          <w:sz w:val="22"/>
          <w:szCs w:val="22"/>
          <w:color w:val="auto"/>
        </w:rPr>
        <w:t>The RSUs shall become vested in accordance with the table below and upon the following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conditions, provided that the Continuous Service of the Participant continues through and on the applicable “Vesting Date”. There shall be no proportionate or partial vesting of RSUs in or during the months, days or periods prior to the applicable Vesting Date, and except as otherwise provided in Section 2(b) hereof, all vesting of RSUs shall occur only on the applicable Vesting Date and any RSUs that are not and do not become Vested RSUs pursuant to Section 2(a) of this Agreement shall be forfeited as of the date of the Participant’s termination of employment for any reason.</w:t>
      </w:r>
    </w:p>
    <w:p>
      <w:pPr>
        <w:spacing w:after="0" w:line="194" w:lineRule="exact"/>
        <w:rPr>
          <w:sz w:val="20"/>
          <w:szCs w:val="20"/>
          <w:color w:val="auto"/>
        </w:rPr>
      </w:pPr>
    </w:p>
    <w:tbl>
      <w:tblPr>
        <w:tblLayout w:type="fixed"/>
        <w:tblInd w:w="590" w:type="dxa"/>
        <w:tblCellMar>
          <w:top w:w="0" w:type="dxa"/>
          <w:left w:w="0" w:type="dxa"/>
          <w:bottom w:w="0" w:type="dxa"/>
          <w:right w:w="0" w:type="dxa"/>
        </w:tblCellMar>
      </w:tblPr>
      <w:tr>
        <w:trPr>
          <w:trHeight w:val="302"/>
        </w:trPr>
        <w:tc>
          <w:tcPr>
            <w:tcW w:w="52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Vesting Date</w:t>
            </w:r>
          </w:p>
        </w:tc>
        <w:tc>
          <w:tcPr>
            <w:tcW w:w="52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RSUs vesting</w:t>
            </w:r>
          </w:p>
        </w:tc>
      </w:tr>
      <w:tr>
        <w:trPr>
          <w:trHeight w:val="224"/>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rPr>
                <w:sz w:val="19"/>
                <w:szCs w:val="19"/>
                <w:color w:val="auto"/>
              </w:rPr>
            </w:pPr>
          </w:p>
        </w:tc>
      </w:tr>
      <w:tr>
        <w:trPr>
          <w:trHeight w:val="242"/>
        </w:trPr>
        <w:tc>
          <w:tcPr>
            <w:tcW w:w="52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10/7/2023</w:t>
            </w:r>
          </w:p>
        </w:tc>
        <w:tc>
          <w:tcPr>
            <w:tcW w:w="52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10,947</w:t>
            </w:r>
          </w:p>
        </w:tc>
      </w:tr>
      <w:tr>
        <w:trPr>
          <w:trHeight w:val="187"/>
        </w:trPr>
        <w:tc>
          <w:tcPr>
            <w:tcW w:w="5240" w:type="dxa"/>
            <w:vAlign w:val="bottom"/>
            <w:tcBorders>
              <w:bottom w:val="single" w:sz="8" w:color="auto"/>
              <w:right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76"/>
        </w:trPr>
        <w:tc>
          <w:tcPr>
            <w:tcW w:w="5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10/7/2024</w:t>
            </w: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10,946</w:t>
            </w:r>
          </w:p>
        </w:tc>
      </w:tr>
      <w:tr>
        <w:trPr>
          <w:trHeight w:val="190"/>
        </w:trPr>
        <w:tc>
          <w:tcPr>
            <w:tcW w:w="5240" w:type="dxa"/>
            <w:vAlign w:val="bottom"/>
            <w:tcBorders>
              <w:bottom w:val="single" w:sz="8" w:color="auto"/>
              <w:right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76"/>
        </w:trPr>
        <w:tc>
          <w:tcPr>
            <w:tcW w:w="5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10/7/2025</w:t>
            </w: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10,947</w:t>
            </w:r>
          </w:p>
        </w:tc>
      </w:tr>
      <w:tr>
        <w:trPr>
          <w:trHeight w:val="190"/>
        </w:trPr>
        <w:tc>
          <w:tcPr>
            <w:tcW w:w="5240" w:type="dxa"/>
            <w:vAlign w:val="bottom"/>
            <w:tcBorders>
              <w:bottom w:val="single" w:sz="8" w:color="auto"/>
              <w:right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bl>
    <w:p>
      <w:pPr>
        <w:spacing w:after="0" w:line="3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event employment is terminated by the Participant (other than for Good Reason as defined in the Participant’s employment agreement) on or before June 1, 2024, the Participant shall reimburse the Company the dollar amount of this Award, including any Gains, as defined in the Participant’s employment agreement, on the RSUs which were vested, within thirty (30) days following Participant’s termination of employment.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48" w:name="page49"/>
    <w:bookmarkEnd w:id="48"/>
    <w:p>
      <w:pPr>
        <w:ind w:right="20" w:firstLine="757"/>
        <w:spacing w:after="0" w:line="276" w:lineRule="auto"/>
        <w:tabs>
          <w:tab w:leader="none" w:pos="149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Acceleration of Vesting Upon Termination</w:t>
      </w:r>
      <w:r>
        <w:rPr>
          <w:rFonts w:ascii="Times New Roman" w:cs="Times New Roman" w:eastAsia="Times New Roman" w:hAnsi="Times New Roman"/>
          <w:sz w:val="22"/>
          <w:szCs w:val="22"/>
          <w:color w:val="auto"/>
        </w:rPr>
        <w:t>. Notwithstanding Section 2(a), any unvested RSUs subject to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shall vest as follows:</w:t>
      </w:r>
    </w:p>
    <w:p>
      <w:pPr>
        <w:spacing w:after="0" w:line="139" w:lineRule="exact"/>
        <w:rPr>
          <w:rFonts w:ascii="Times New Roman" w:cs="Times New Roman" w:eastAsia="Times New Roman" w:hAnsi="Times New Roman"/>
          <w:sz w:val="22"/>
          <w:szCs w:val="22"/>
          <w:color w:val="auto"/>
        </w:rPr>
      </w:pPr>
    </w:p>
    <w:p>
      <w:pPr>
        <w:jc w:val="both"/>
        <w:ind w:firstLine="1505"/>
        <w:spacing w:after="0" w:line="243" w:lineRule="auto"/>
        <w:tabs>
          <w:tab w:leader="none" w:pos="2995"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Continuous Service, on a Prorated Basis, in the event of a termination by the Company or any Related Entity without Justifiable Cause or by the Participant for Good Reason, provided that for purposes of Section 2(b)(i), a “</w:t>
      </w:r>
      <w:r>
        <w:rPr>
          <w:rFonts w:ascii="Times New Roman" w:cs="Times New Roman" w:eastAsia="Times New Roman" w:hAnsi="Times New Roman"/>
          <w:sz w:val="22"/>
          <w:szCs w:val="22"/>
          <w:b w:val="1"/>
          <w:bCs w:val="1"/>
          <w:color w:val="auto"/>
        </w:rPr>
        <w:t>Prorated Basis</w:t>
      </w:r>
      <w:r>
        <w:rPr>
          <w:rFonts w:ascii="Times New Roman" w:cs="Times New Roman" w:eastAsia="Times New Roman" w:hAnsi="Times New Roman"/>
          <w:sz w:val="22"/>
          <w:szCs w:val="22"/>
          <w:color w:val="auto"/>
        </w:rPr>
        <w:t>” means the total number of RSUs granted multiplied by the following fraction: the number of days from the Date of Grant divided by the number of days between the Date of Grant and October 7, 2025, less any RSUs that have already vested or</w:t>
      </w:r>
    </w:p>
    <w:p>
      <w:pPr>
        <w:spacing w:after="0" w:line="177"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Continuous Service, in full, in the event of (A) a termination by the Company or any Related Entity without Justifiable Cause, (B) termination by the Participant for Good Reason, or (C) death or termination by the Company for Disability, if such termination event occurs within the 18-month period immediately following a Change in Control.</w:t>
      </w:r>
    </w:p>
    <w:p>
      <w:pPr>
        <w:spacing w:after="0" w:line="18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Additionally, in the event the Participant becomes partially vested and forfeits RSUs pursuant to Section 2(b)(i) and a Change in Control occurs within the 6-month period immediately following the termination by the Company without Justifiable Cause or by the Participant for Good Reason, the Participant shall be paid an amount equal to the value of the RSUs that were forfeited upon his termination (including the value of any Dividend Equivalents that would have been awarded through the date of the Change in Control if the Participant had remained in Continuous Service through the date of the Change in Control), if any, calculated on the date immediately prior to the Change in Control and such payment, less lawful withholdings, shall be made in cash on the first payroll date following the six-month anniversary of the date of termination.</w:t>
      </w:r>
    </w:p>
    <w:p>
      <w:pPr>
        <w:spacing w:after="0" w:line="175" w:lineRule="exact"/>
        <w:rPr>
          <w:sz w:val="20"/>
          <w:szCs w:val="20"/>
          <w:color w:val="auto"/>
        </w:rPr>
      </w:pPr>
    </w:p>
    <w:p>
      <w:pPr>
        <w:ind w:left="1500" w:hanging="837"/>
        <w:spacing w:after="0"/>
        <w:tabs>
          <w:tab w:leader="none" w:pos="15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Definitions. </w:t>
      </w:r>
      <w:r>
        <w:rPr>
          <w:rFonts w:ascii="Times New Roman" w:cs="Times New Roman" w:eastAsia="Times New Roman" w:hAnsi="Times New Roman"/>
          <w:sz w:val="22"/>
          <w:szCs w:val="22"/>
          <w:color w:val="auto"/>
        </w:rPr>
        <w:t>For purposes of this Agreement, the following terms shall have the meanings indicated</w:t>
      </w:r>
      <w:r>
        <w:rPr>
          <w:rFonts w:ascii="Times New Roman" w:cs="Times New Roman" w:eastAsia="Times New Roman" w:hAnsi="Times New Roman"/>
          <w:sz w:val="22"/>
          <w:szCs w:val="22"/>
          <w:b w:val="1"/>
          <w:bCs w:val="1"/>
          <w:i w:val="1"/>
          <w:iCs w:val="1"/>
          <w:color w:val="auto"/>
        </w:rPr>
        <w:t>:</w:t>
      </w:r>
    </w:p>
    <w:p>
      <w:pPr>
        <w:spacing w:after="0" w:line="219" w:lineRule="exact"/>
        <w:rPr>
          <w:rFonts w:ascii="Times New Roman" w:cs="Times New Roman" w:eastAsia="Times New Roman" w:hAnsi="Times New Roman"/>
          <w:sz w:val="22"/>
          <w:szCs w:val="22"/>
          <w:color w:val="auto"/>
        </w:rPr>
      </w:pPr>
    </w:p>
    <w:p>
      <w:pPr>
        <w:jc w:val="both"/>
        <w:ind w:left="2260" w:hanging="755"/>
        <w:spacing w:after="0" w:line="246" w:lineRule="auto"/>
        <w:tabs>
          <w:tab w:leader="none" w:pos="2260"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Delivery Date”</w:t>
      </w:r>
      <w:r>
        <w:rPr>
          <w:rFonts w:ascii="Times New Roman" w:cs="Times New Roman" w:eastAsia="Times New Roman" w:hAnsi="Times New Roman"/>
          <w:sz w:val="22"/>
          <w:szCs w:val="22"/>
          <w:color w:val="auto"/>
        </w:rPr>
        <w:t xml:space="preserve"> means any date occurring as promptly as practical (but in no event more than 30 days) following the date on which the RSUs become Vested RSUs pursuant to Section 2, provided that in the event the RSUs vest pursuant to Section 2(b), the Delivery Date shall be within five (5) days following the vesting date.</w:t>
      </w:r>
    </w:p>
    <w:p>
      <w:pPr>
        <w:spacing w:after="0" w:line="164" w:lineRule="exact"/>
        <w:rPr>
          <w:rFonts w:ascii="Times New Roman" w:cs="Times New Roman" w:eastAsia="Times New Roman" w:hAnsi="Times New Roman"/>
          <w:sz w:val="22"/>
          <w:szCs w:val="22"/>
          <w:color w:val="auto"/>
        </w:rPr>
      </w:pPr>
    </w:p>
    <w:p>
      <w:pPr>
        <w:ind w:left="2260" w:hanging="755"/>
        <w:spacing w:after="0" w:line="276" w:lineRule="auto"/>
        <w:tabs>
          <w:tab w:leader="none" w:pos="2260"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Non-Vested RSUs</w:t>
      </w:r>
      <w:r>
        <w:rPr>
          <w:rFonts w:ascii="Times New Roman" w:cs="Times New Roman" w:eastAsia="Times New Roman" w:hAnsi="Times New Roman"/>
          <w:sz w:val="22"/>
          <w:szCs w:val="22"/>
          <w:color w:val="auto"/>
        </w:rPr>
        <w:t>” means any portion of the RSUs subject to this Agreement that has not become vested pursuant to this Section 2.</w:t>
      </w:r>
    </w:p>
    <w:p>
      <w:pPr>
        <w:spacing w:after="0" w:line="133" w:lineRule="exact"/>
        <w:rPr>
          <w:rFonts w:ascii="Times New Roman" w:cs="Times New Roman" w:eastAsia="Times New Roman" w:hAnsi="Times New Roman"/>
          <w:sz w:val="22"/>
          <w:szCs w:val="22"/>
          <w:color w:val="auto"/>
        </w:rPr>
      </w:pPr>
    </w:p>
    <w:p>
      <w:pPr>
        <w:ind w:left="2260" w:hanging="755"/>
        <w:spacing w:after="0" w:line="264" w:lineRule="auto"/>
        <w:tabs>
          <w:tab w:leader="none" w:pos="2260"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Vested RSUs</w:t>
      </w:r>
      <w:r>
        <w:rPr>
          <w:rFonts w:ascii="Times New Roman" w:cs="Times New Roman" w:eastAsia="Times New Roman" w:hAnsi="Times New Roman"/>
          <w:sz w:val="22"/>
          <w:szCs w:val="22"/>
          <w:color w:val="auto"/>
        </w:rPr>
        <w:t>” means any portion of the RSUs subject to this Agreement that is and has become vested pursuant to this Section 2.</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42" w:lineRule="auto"/>
        <w:tabs>
          <w:tab w:leader="none" w:pos="15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Additional Forfeiture Provisions. </w:t>
      </w:r>
      <w:r>
        <w:rPr>
          <w:rFonts w:ascii="Times New Roman" w:cs="Times New Roman" w:eastAsia="Times New Roman" w:hAnsi="Times New Roman"/>
          <w:sz w:val="22"/>
          <w:szCs w:val="22"/>
          <w:color w:val="auto"/>
        </w:rPr>
        <w:t>Any RSUs that are not Vested RSUs, and that do not become Vested RSUs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pursuant to Section 2(b) as a result of the Participant’s termination of Continuous Service for any reason or any RSUs that are not Vested RSUs, shall be forfeited immediately upon such termination of Continuous Service, without any payment to the Participant. The Committee shall have the power and authority to enforce on behalf of the Company any rights of the Company under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49" w:name="page50"/>
    <w:bookmarkEnd w:id="49"/>
    <w:p>
      <w:pPr>
        <w:ind w:left="1500"/>
        <w:spacing w:after="0"/>
        <w:rPr>
          <w:sz w:val="20"/>
          <w:szCs w:val="20"/>
          <w:color w:val="auto"/>
        </w:rPr>
      </w:pPr>
      <w:r>
        <w:rPr>
          <w:rFonts w:ascii="Times New Roman" w:cs="Times New Roman" w:eastAsia="Times New Roman" w:hAnsi="Times New Roman"/>
          <w:sz w:val="22"/>
          <w:szCs w:val="22"/>
          <w:color w:val="auto"/>
        </w:rPr>
        <w:t>this Agreement in the event of the Participant’s forfeiture of Non-Vested RSUs pursuant to this Section 2.</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b w:val="1"/>
          <w:bCs w:val="1"/>
          <w:i w:val="1"/>
          <w:iCs w:val="1"/>
          <w:color w:val="auto"/>
        </w:rPr>
        <w:t>Settlement of the Vested RSUs.</w:t>
      </w:r>
      <w:r>
        <w:rPr>
          <w:rFonts w:ascii="Times New Roman" w:cs="Times New Roman" w:eastAsia="Times New Roman" w:hAnsi="Times New Roman"/>
          <w:sz w:val="22"/>
          <w:szCs w:val="22"/>
          <w:color w:val="auto"/>
        </w:rPr>
        <w:t xml:space="preserve"> The Company shall deliver to the Participant or, in the event of the Participant’s death, to the Beneficiary or Beneficiaries designated by the Participant or, if the Participant has not so designated any Beneficiary(ies), or no Beneficiary survives the Participant, to the personal representative of the Participant’s estate, on the Delivery Date certificates (or other indicia of ownership) representing the Shares (or other consideration as permitted under the 2016 Plan) corresponding to the number of Vested RSUs.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b w:val="1"/>
          <w:bCs w:val="1"/>
          <w:i w:val="1"/>
          <w:iCs w:val="1"/>
          <w:color w:val="auto"/>
        </w:rPr>
        <w:t>Rights with Respect to RSUs.</w:t>
      </w:r>
    </w:p>
    <w:p>
      <w:pPr>
        <w:spacing w:after="0" w:line="206" w:lineRule="exact"/>
        <w:rPr>
          <w:sz w:val="20"/>
          <w:szCs w:val="20"/>
          <w:color w:val="auto"/>
        </w:rPr>
      </w:pPr>
    </w:p>
    <w:p>
      <w:pPr>
        <w:jc w:val="both"/>
        <w:ind w:firstLine="757"/>
        <w:spacing w:after="0" w:line="242" w:lineRule="auto"/>
        <w:tabs>
          <w:tab w:leader="none" w:pos="149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Rights as Shareholder Until Delivery. </w:t>
      </w:r>
      <w:r>
        <w:rPr>
          <w:rFonts w:ascii="Times New Roman" w:cs="Times New Roman" w:eastAsia="Times New Roman" w:hAnsi="Times New Roman"/>
          <w:sz w:val="22"/>
          <w:szCs w:val="22"/>
          <w:color w:val="auto"/>
        </w:rPr>
        <w:t>Except as otherwise provided in this Section 4, the Participant shall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not have any rights, benefits or entitlements with respect to the Shares corresponding to the RSUs unless and until those Shares are delivered to the Participant (and thus shall have no voting rights, or rights to receive any dividend declared, before those Shares are so delivered). On or after delivery, the Participant shall have, with respect to the Shares delivered, all of the rights of a holder of Shares granted pursuant to the articles of incorporation and other governing instruments of the Company, or as otherwise available at law.</w:t>
      </w:r>
    </w:p>
    <w:p>
      <w:pPr>
        <w:spacing w:after="0" w:line="170" w:lineRule="exact"/>
        <w:rPr>
          <w:rFonts w:ascii="Times New Roman" w:cs="Times New Roman" w:eastAsia="Times New Roman" w:hAnsi="Times New Roman"/>
          <w:sz w:val="22"/>
          <w:szCs w:val="22"/>
          <w:color w:val="auto"/>
        </w:rPr>
      </w:pPr>
    </w:p>
    <w:p>
      <w:pPr>
        <w:ind w:right="20" w:firstLine="757"/>
        <w:spacing w:after="0" w:line="276" w:lineRule="auto"/>
        <w:tabs>
          <w:tab w:leader="none" w:pos="149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Adjustments to Share</w:t>
      </w:r>
      <w:r>
        <w:rPr>
          <w:rFonts w:ascii="Times New Roman" w:cs="Times New Roman" w:eastAsia="Times New Roman" w:hAnsi="Times New Roman"/>
          <w:sz w:val="22"/>
          <w:szCs w:val="22"/>
          <w:color w:val="auto"/>
        </w:rPr>
        <w:t>s. This Award shall be subject to the adjustments on the same terms and conditions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those provided for in Section 11(c) of the 2016 Plan</w:t>
      </w:r>
      <w:r>
        <w:rPr>
          <w:rFonts w:ascii="Times New Roman" w:cs="Times New Roman" w:eastAsia="Times New Roman" w:hAnsi="Times New Roman"/>
          <w:sz w:val="22"/>
          <w:szCs w:val="22"/>
          <w:b w:val="1"/>
          <w:bCs w:val="1"/>
          <w:i w:val="1"/>
          <w:iCs w:val="1"/>
          <w:color w:val="auto"/>
        </w:rPr>
        <w:t>.</w:t>
      </w:r>
    </w:p>
    <w:p>
      <w:pPr>
        <w:spacing w:after="0" w:line="133" w:lineRule="exact"/>
        <w:rPr>
          <w:rFonts w:ascii="Times New Roman" w:cs="Times New Roman" w:eastAsia="Times New Roman" w:hAnsi="Times New Roman"/>
          <w:sz w:val="22"/>
          <w:szCs w:val="22"/>
          <w:color w:val="auto"/>
        </w:rPr>
      </w:pPr>
    </w:p>
    <w:p>
      <w:pPr>
        <w:jc w:val="both"/>
        <w:ind w:firstLine="757"/>
        <w:spacing w:after="0" w:line="238" w:lineRule="auto"/>
        <w:tabs>
          <w:tab w:leader="none" w:pos="149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Restriction on Certain Transactions. </w:t>
      </w:r>
      <w:r>
        <w:rPr>
          <w:rFonts w:ascii="Times New Roman" w:cs="Times New Roman" w:eastAsia="Times New Roman" w:hAnsi="Times New Roman"/>
          <w:sz w:val="22"/>
          <w:szCs w:val="22"/>
          <w:color w:val="auto"/>
        </w:rPr>
        <w:t>Notwithstanding any term or provision of this Agreement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contrary, the existence of this Agreement, or of any outstanding RSUs awarded hereunder, shall not affect in any manner the right, power or authority of the Company or any Related Entity to make, authorize or consummate: (i) any or all adjustments, recapitalizations, reorganizations or other changes in the Company's or any Related Entity’s capital structure or its business; (ii) any merger, consolidation or similar transaction by or of the Company or any Related Entity; (iii) any offer, issue or sale by the Company or any Related Entity of any capital stock of the Company or any Related Entity, including any equity or debt securities, or preferred or preference stock that would rank prior to or on parity with the Shares represented by the RSUs and/or that would include, have or possess other rights, benefits and/or preferences superior to those that such Shares includes, has or possesses, or any warrants, options or rights with respect to any of the foregoing; (iv) the dissolution or liquidation of the Company or any Related Entity; (v) any sale, transfer or assignment of all or any part of the stock, assets or business of the Company or any Related Entity; or (vi) any other corporate transaction, act or proceeding (whether of a similar character or otherwise).</w:t>
      </w:r>
    </w:p>
    <w:p>
      <w:pPr>
        <w:spacing w:after="0" w:line="189" w:lineRule="exact"/>
        <w:rPr>
          <w:rFonts w:ascii="Times New Roman" w:cs="Times New Roman" w:eastAsia="Times New Roman" w:hAnsi="Times New Roman"/>
          <w:sz w:val="22"/>
          <w:szCs w:val="22"/>
          <w:color w:val="auto"/>
        </w:rPr>
      </w:pPr>
    </w:p>
    <w:p>
      <w:pPr>
        <w:jc w:val="both"/>
        <w:ind w:firstLine="757"/>
        <w:spacing w:after="0"/>
        <w:tabs>
          <w:tab w:leader="none" w:pos="149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Dividend Equivalents. </w:t>
      </w:r>
      <w:r>
        <w:rPr>
          <w:rFonts w:ascii="Times New Roman" w:cs="Times New Roman" w:eastAsia="Times New Roman" w:hAnsi="Times New Roman"/>
          <w:sz w:val="22"/>
          <w:szCs w:val="22"/>
          <w:color w:val="auto"/>
        </w:rPr>
        <w:t>With respect to any RSUs that have not been settled or been forfeited, provided that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Participant’s Continuous Service has not terminated prior to the dividend record date, the Participant shall have the right to receive distributions (the “Dividend Equivalents”) from the Company equal to any dividends or other distributions that would have been distributed to the Participant if each of the outstanding RSUs instead was an issued and outstanding Share owned by the Participant. The number of RSUs awarded for a cash dividend or non-cash dividend other than a stock dividend shall be determined by (i) multiplying the number of outstanding RSUs held by the Participant pursuant to this Agreement as of the dividend record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0" w:name="page51"/>
    <w:bookmarkEnd w:id="50"/>
    <w:p>
      <w:pPr>
        <w:jc w:val="both"/>
        <w:spacing w:after="0" w:line="238" w:lineRule="auto"/>
        <w:rPr>
          <w:sz w:val="20"/>
          <w:szCs w:val="20"/>
          <w:color w:val="auto"/>
        </w:rPr>
      </w:pPr>
      <w:r>
        <w:rPr>
          <w:rFonts w:ascii="Times New Roman" w:cs="Times New Roman" w:eastAsia="Times New Roman" w:hAnsi="Times New Roman"/>
          <w:sz w:val="22"/>
          <w:szCs w:val="22"/>
          <w:color w:val="auto"/>
        </w:rPr>
        <w:t>date by the amount of the dividend per Share and (ii) dividing the product so determined by the Fair Market Value of a Share on the dividend payment date. The number of RSUs awarded for a stock dividend shall be determined by multiplying the number of outstanding RSUs held by the Participant pursuant to this Agreement as of the dividend record date by the number of additional Shares actually paid as a dividend per Share. Any additional RSUs awarded pursuant to this Section 4(d) shall be awarded effective the date the dividend was paid, and shall have the same status, and shall be subject to the same terms and conditions (including without limitation the vesting and forfeiture provisions), under this Agreement as the RSUs to which they relate, and shall be distributed, reduced by any applicable withholding taxes, on the same Delivery Date as the RSUs to which they relate (or if later, as of the applicable dividend payment date). Each Dividend Equivalent shall be treated as a separate payment for purposes of Section 409A (as defined in Section 9(i)).</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b w:val="1"/>
          <w:bCs w:val="1"/>
          <w:i w:val="1"/>
          <w:iCs w:val="1"/>
          <w:color w:val="auto"/>
        </w:rPr>
        <w:t>Transferability.</w:t>
      </w:r>
      <w:r>
        <w:rPr>
          <w:rFonts w:ascii="Times New Roman" w:cs="Times New Roman" w:eastAsia="Times New Roman" w:hAnsi="Times New Roman"/>
          <w:sz w:val="22"/>
          <w:szCs w:val="22"/>
          <w:color w:val="auto"/>
        </w:rPr>
        <w:t xml:space="preserve"> The RSUs are not transferable unless and until the Shares have been delivered to the Participant in settlement of the RSUs in accordance with this Agreement, otherwise than by will or under the applicable laws of descent and distribution, except that the RSUs may be transferred to one or more Beneficiaries or other transferees during the lifetime of the Participant, but only if and to the extent such transfers are permitted by the Committee (subject to any terms and conditions which the Committee may impose thereon), are by gift or pursuant to a domestic relations order, are to a “Permitted Assignee” that is a permissible transferee under the Securities and Exchange Commission for registration of shares of stock on a Form S-8 Registration Statement under the Securities Act of 1933, as amended.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executor, administrator, heir, successor and assign of the Participant or any other person claiming any rights with respect to the RSUs shall be subject to all terms and conditions of this Agreement, except as otherwise determined by the Committee, and to any additional terms and conditions deemed necessary or appropriate by the Committee. Except as otherwise permitted pursuant to the first sentence of this Section, any attempt to effect a Transfer of any RSUs prior to the date on which the Shares have been delivered to the Participant in settlement of the RSUs shall be void ab initio. For purposes of this Agreement, “Transfer” shall mean any sale, 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r>
        <w:rPr>
          <w:rFonts w:ascii="Times New Roman" w:cs="Times New Roman" w:eastAsia="Times New Roman" w:hAnsi="Times New Roman"/>
          <w:sz w:val="22"/>
          <w:szCs w:val="22"/>
          <w:b w:val="1"/>
          <w:bCs w:val="1"/>
          <w:i w:val="1"/>
          <w:iCs w:val="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b w:val="1"/>
          <w:bCs w:val="1"/>
          <w:i w:val="1"/>
          <w:iCs w:val="1"/>
          <w:color w:val="auto"/>
        </w:rPr>
        <w:t>Tax Matters.</w:t>
      </w:r>
    </w:p>
    <w:p>
      <w:pPr>
        <w:spacing w:after="0" w:line="206" w:lineRule="exact"/>
        <w:rPr>
          <w:sz w:val="20"/>
          <w:szCs w:val="20"/>
          <w:color w:val="auto"/>
        </w:rPr>
      </w:pPr>
    </w:p>
    <w:p>
      <w:pPr>
        <w:jc w:val="both"/>
        <w:ind w:left="1420" w:right="20" w:hanging="757"/>
        <w:spacing w:after="0" w:line="271" w:lineRule="auto"/>
        <w:tabs>
          <w:tab w:leader="none" w:pos="142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Withholding. </w:t>
      </w:r>
      <w:r>
        <w:rPr>
          <w:rFonts w:ascii="Times New Roman" w:cs="Times New Roman" w:eastAsia="Times New Roman" w:hAnsi="Times New Roman"/>
          <w:sz w:val="21"/>
          <w:szCs w:val="21"/>
          <w:color w:val="auto"/>
        </w:rPr>
        <w:t>As a condition to the Company’s obligations with respect to the RSUs (including, without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limitation, any obligation to deliver any Shares) hereunder, the Participant shall make arrangements satisfactory to the Company to pay to the Company any federal, state, local or foreign taxes of any kind required to be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1" w:name="page52"/>
    <w:bookmarkEnd w:id="51"/>
    <w:p>
      <w:pPr>
        <w:jc w:val="both"/>
        <w:ind w:left="1420"/>
        <w:spacing w:after="0" w:line="243" w:lineRule="auto"/>
        <w:rPr>
          <w:sz w:val="20"/>
          <w:szCs w:val="20"/>
          <w:color w:val="auto"/>
        </w:rPr>
      </w:pPr>
      <w:r>
        <w:rPr>
          <w:rFonts w:ascii="Times New Roman" w:cs="Times New Roman" w:eastAsia="Times New Roman" w:hAnsi="Times New Roman"/>
          <w:sz w:val="22"/>
          <w:szCs w:val="22"/>
          <w:color w:val="auto"/>
        </w:rPr>
        <w:t>withheld with respect to the delivery of Shares corresponding to such RSUs. If the Participant shall fail to make the tax payments as are required, the Company shall, to the extent permitted by law, have the right to deduct from any payment of any kind (including the withholding of any Shares that otherwise would be delivered to Participant under this Agreement) otherwise due to the Participant any federal, state or local taxes of any kind required by law to be withheld with respect to such Shares.</w:t>
      </w:r>
    </w:p>
    <w:p>
      <w:pPr>
        <w:spacing w:after="0" w:line="171" w:lineRule="exact"/>
        <w:rPr>
          <w:sz w:val="20"/>
          <w:szCs w:val="20"/>
          <w:color w:val="auto"/>
        </w:rPr>
      </w:pPr>
    </w:p>
    <w:p>
      <w:pPr>
        <w:ind w:left="1420" w:hanging="757"/>
        <w:spacing w:after="0" w:line="276" w:lineRule="auto"/>
        <w:tabs>
          <w:tab w:leader="none" w:pos="14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Satisfaction of Withholding Requirements. </w:t>
      </w:r>
      <w:r>
        <w:rPr>
          <w:rFonts w:ascii="Times New Roman" w:cs="Times New Roman" w:eastAsia="Times New Roman" w:hAnsi="Times New Roman"/>
          <w:sz w:val="22"/>
          <w:szCs w:val="22"/>
          <w:color w:val="auto"/>
        </w:rPr>
        <w:t>The Participant may satisfy the withholding requirements with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respect to the RSUs pursuant to any one or combination of the following methods:</w:t>
      </w:r>
    </w:p>
    <w:p>
      <w:pPr>
        <w:spacing w:after="0" w:line="139"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in cash; or</w:t>
      </w:r>
    </w:p>
    <w:p>
      <w:pPr>
        <w:spacing w:after="0" w:line="206" w:lineRule="exact"/>
        <w:rPr>
          <w:rFonts w:ascii="Times New Roman" w:cs="Times New Roman" w:eastAsia="Times New Roman" w:hAnsi="Times New Roman"/>
          <w:sz w:val="22"/>
          <w:szCs w:val="22"/>
          <w:color w:val="auto"/>
        </w:rPr>
      </w:pPr>
    </w:p>
    <w:p>
      <w:pPr>
        <w:ind w:left="2260" w:hanging="755"/>
        <w:spacing w:after="0" w:line="271" w:lineRule="auto"/>
        <w:tabs>
          <w:tab w:leader="none" w:pos="2260"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the withholding of Shares that otherwise would be deliverable to the Participant pursuant to this Agreement.</w:t>
      </w:r>
    </w:p>
    <w:p>
      <w:pPr>
        <w:spacing w:after="0" w:line="138" w:lineRule="exact"/>
        <w:rPr>
          <w:rFonts w:ascii="Times New Roman" w:cs="Times New Roman" w:eastAsia="Times New Roman" w:hAnsi="Times New Roman"/>
          <w:sz w:val="22"/>
          <w:szCs w:val="22"/>
          <w:color w:val="auto"/>
        </w:rPr>
      </w:pPr>
    </w:p>
    <w:p>
      <w:pPr>
        <w:jc w:val="both"/>
        <w:ind w:left="1420" w:hanging="663"/>
        <w:spacing w:after="0" w:line="245" w:lineRule="auto"/>
        <w:tabs>
          <w:tab w:leader="none" w:pos="142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Participant’s Responsibilities for Tax Consequences. </w:t>
      </w:r>
      <w:r>
        <w:rPr>
          <w:rFonts w:ascii="Times New Roman" w:cs="Times New Roman" w:eastAsia="Times New Roman" w:hAnsi="Times New Roman"/>
          <w:sz w:val="22"/>
          <w:szCs w:val="22"/>
          <w:color w:val="auto"/>
        </w:rPr>
        <w:t>The tax consequences to the Participant (including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without limitation federal, state, local and foreign income tax consequences) with respect to the RSUs (including without limitation the grant, vesting and/or delivery thereof) are the sole responsibility of the Participant. The Participant shall consult with his or her own personal accountant(s) and/or tax advisor(s) regarding these matters and the Participant’s filing, withholding and payment (or tax liability) obligations.</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b w:val="1"/>
          <w:bCs w:val="1"/>
          <w:i w:val="1"/>
          <w:iCs w:val="1"/>
          <w:color w:val="auto"/>
        </w:rPr>
        <w:t>Amendment, Modification &amp; Assignment.</w:t>
      </w:r>
      <w:r>
        <w:rPr>
          <w:rFonts w:ascii="Times New Roman" w:cs="Times New Roman" w:eastAsia="Times New Roman" w:hAnsi="Times New Roman"/>
          <w:sz w:val="22"/>
          <w:szCs w:val="22"/>
          <w:color w:val="auto"/>
        </w:rPr>
        <w:t xml:space="preserve"> This Agreement may only be modified or amended in a writing signed by the parties hereto. No promises, 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Participant’s rights hereunder) may not be assigned, and the obligations of Participant hereunder may not be delegated, in whole or in part. The rights and obligations created hereunder shall be binding on the Participant and his heirs and legal representatives and on the successors and assigns of the Company.</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b w:val="1"/>
          <w:bCs w:val="1"/>
          <w:i w:val="1"/>
          <w:iCs w:val="1"/>
          <w:color w:val="auto"/>
        </w:rPr>
        <w:t>Complete Agreement</w:t>
      </w:r>
      <w:r>
        <w:rPr>
          <w:rFonts w:ascii="Times New Roman" w:cs="Times New Roman" w:eastAsia="Times New Roman" w:hAnsi="Times New Roman"/>
          <w:sz w:val="22"/>
          <w:szCs w:val="22"/>
          <w:color w:val="auto"/>
        </w:rPr>
        <w:t>. This Agreement (together with reference to the 2016 Plan)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b w:val="1"/>
          <w:bCs w:val="1"/>
          <w:i w:val="1"/>
          <w:iCs w:val="1"/>
          <w:color w:val="auto"/>
        </w:rPr>
        <w:t>Miscellaneous.</w:t>
      </w:r>
    </w:p>
    <w:p>
      <w:pPr>
        <w:spacing w:after="0" w:line="220" w:lineRule="exact"/>
        <w:rPr>
          <w:sz w:val="20"/>
          <w:szCs w:val="20"/>
          <w:color w:val="auto"/>
        </w:rPr>
      </w:pPr>
    </w:p>
    <w:p>
      <w:pPr>
        <w:jc w:val="both"/>
        <w:ind w:left="1500" w:hanging="743"/>
        <w:spacing w:after="0" w:line="253" w:lineRule="auto"/>
        <w:tabs>
          <w:tab w:leader="none" w:pos="15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Right to (Continued) Employment or Service. </w:t>
      </w:r>
      <w:r>
        <w:rPr>
          <w:rFonts w:ascii="Times New Roman" w:cs="Times New Roman" w:eastAsia="Times New Roman" w:hAnsi="Times New Roman"/>
          <w:sz w:val="22"/>
          <w:szCs w:val="22"/>
          <w:color w:val="auto"/>
        </w:rPr>
        <w:t>This Agreement and the grant of RSUs hereunder shall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confer, or be construed to confer, upon the Participant any right to employment or service, or continued employment or service, with the Company or any Related Entity.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2" w:name="page53"/>
    <w:bookmarkEnd w:id="52"/>
    <w:p>
      <w:pPr>
        <w:jc w:val="both"/>
        <w:ind w:left="743" w:hanging="743"/>
        <w:spacing w:after="0" w:line="246" w:lineRule="auto"/>
        <w:tabs>
          <w:tab w:leader="none" w:pos="7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Limit on Other Compensation Arrangements. </w:t>
      </w:r>
      <w:r>
        <w:rPr>
          <w:rFonts w:ascii="Times New Roman" w:cs="Times New Roman" w:eastAsia="Times New Roman" w:hAnsi="Times New Roman"/>
          <w:sz w:val="22"/>
          <w:szCs w:val="22"/>
          <w:color w:val="auto"/>
        </w:rPr>
        <w:t>Nothing contained in this Agreement shall preclude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or any Related Entity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77" w:lineRule="exact"/>
        <w:rPr>
          <w:rFonts w:ascii="Times New Roman" w:cs="Times New Roman" w:eastAsia="Times New Roman" w:hAnsi="Times New Roman"/>
          <w:sz w:val="22"/>
          <w:szCs w:val="22"/>
          <w:color w:val="auto"/>
        </w:rPr>
      </w:pPr>
    </w:p>
    <w:p>
      <w:pPr>
        <w:jc w:val="both"/>
        <w:ind w:left="743" w:hanging="743"/>
        <w:spacing w:after="0" w:line="242" w:lineRule="auto"/>
        <w:tabs>
          <w:tab w:leader="none" w:pos="7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Severability. </w:t>
      </w:r>
      <w:r>
        <w:rPr>
          <w:rFonts w:ascii="Times New Roman" w:cs="Times New Roman" w:eastAsia="Times New Roman" w:hAnsi="Times New Roman"/>
          <w:sz w:val="22"/>
          <w:szCs w:val="22"/>
          <w:color w:val="auto"/>
        </w:rPr>
        <w:t>If any term or provision of this Agreement is or becomes or is deemed to be invalid, illegal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RSUs hereunder, such provision shall be stricken as to such jurisdiction and the remainder of this Agreement and the award hereunder shall remain in full force and effect).</w:t>
      </w:r>
    </w:p>
    <w:p>
      <w:pPr>
        <w:spacing w:after="0" w:line="170" w:lineRule="exact"/>
        <w:rPr>
          <w:rFonts w:ascii="Times New Roman" w:cs="Times New Roman" w:eastAsia="Times New Roman" w:hAnsi="Times New Roman"/>
          <w:sz w:val="22"/>
          <w:szCs w:val="22"/>
          <w:color w:val="auto"/>
        </w:rPr>
      </w:pPr>
    </w:p>
    <w:p>
      <w:pPr>
        <w:jc w:val="both"/>
        <w:ind w:left="743" w:hanging="743"/>
        <w:spacing w:after="0" w:line="245" w:lineRule="auto"/>
        <w:tabs>
          <w:tab w:leader="none" w:pos="7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Trust or Fund Created. </w:t>
      </w:r>
      <w:r>
        <w:rPr>
          <w:rFonts w:ascii="Times New Roman" w:cs="Times New Roman" w:eastAsia="Times New Roman" w:hAnsi="Times New Roman"/>
          <w:sz w:val="22"/>
          <w:szCs w:val="22"/>
          <w:color w:val="auto"/>
        </w:rPr>
        <w:t>Neither this Agreement nor the grant of RSUs hereunder shall create or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construed to create a trust or separate fund of any kind or a fiduciary relationship between the Company or any Related Entity and the Participant or any other person. To the extent that the Participant or any other person acquires a right to receive payments from the Company or any Related Entity pursuant to this Agreement, such right shall be no greater than the right of any unsecured general creditor of the Company.</w:t>
      </w:r>
    </w:p>
    <w:p>
      <w:pPr>
        <w:spacing w:after="0" w:line="166" w:lineRule="exact"/>
        <w:rPr>
          <w:rFonts w:ascii="Times New Roman" w:cs="Times New Roman" w:eastAsia="Times New Roman" w:hAnsi="Times New Roman"/>
          <w:sz w:val="22"/>
          <w:szCs w:val="22"/>
          <w:color w:val="auto"/>
        </w:rPr>
      </w:pPr>
    </w:p>
    <w:p>
      <w:pPr>
        <w:ind w:left="743" w:hanging="743"/>
        <w:spacing w:after="0" w:line="276" w:lineRule="auto"/>
        <w:tabs>
          <w:tab w:leader="none" w:pos="7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Law Governing. </w:t>
      </w:r>
      <w:r>
        <w:rPr>
          <w:rFonts w:ascii="Times New Roman" w:cs="Times New Roman" w:eastAsia="Times New Roman" w:hAnsi="Times New Roman"/>
          <w:sz w:val="22"/>
          <w:szCs w:val="22"/>
          <w:color w:val="auto"/>
        </w:rPr>
        <w:t>This Agreement shall be governed by and construed and enforced in accordance with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internal laws of the State of Delaware (without reference to the conflict of laws rules or principles thereof).</w:t>
      </w:r>
    </w:p>
    <w:p>
      <w:pPr>
        <w:spacing w:after="0" w:line="133" w:lineRule="exact"/>
        <w:rPr>
          <w:rFonts w:ascii="Times New Roman" w:cs="Times New Roman" w:eastAsia="Times New Roman" w:hAnsi="Times New Roman"/>
          <w:sz w:val="22"/>
          <w:szCs w:val="22"/>
          <w:color w:val="auto"/>
        </w:rPr>
      </w:pPr>
    </w:p>
    <w:p>
      <w:pPr>
        <w:jc w:val="both"/>
        <w:ind w:left="743" w:hanging="743"/>
        <w:spacing w:after="0" w:line="237" w:lineRule="auto"/>
        <w:tabs>
          <w:tab w:leader="none" w:pos="7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Interpretation / Provisions of Plan Control</w:t>
      </w:r>
      <w:r>
        <w:rPr>
          <w:rFonts w:ascii="Times New Roman" w:cs="Times New Roman" w:eastAsia="Times New Roman" w:hAnsi="Times New Roman"/>
          <w:sz w:val="22"/>
          <w:szCs w:val="22"/>
          <w:color w:val="auto"/>
        </w:rPr>
        <w:t>. This Agreement is subject to all the terms, conditions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provisions of the 2016 Plan including, without limitation, any future amendment provisions thereof, and to such rules, regulations and interpretations relating to the 2016 Plan adopted by the Committee as may be in effect from time to time. Except as otherwise provided below, if and to the extent that this Agreement conflicts or is inconsistent with the terms, conditions and provisions of the 2016 Plan, the 2016 Plan shall control, and this Agreement shall be deemed to be modified accordingly. This Agreement is subject to Section 11(f) of the Plan which requires, in part, that without the consent of the Participant, the Award granted pursuant to this Agreement may not be amended or altered in a way that materially and adversely affects the Participant and any future amendment of the 2016 Plan shall not impact this provision as it relates to the Award. The Participant accepts this Agreement subject to all of the terms and provisions of the 2016 Plan and this Agreement. The undersigned Participant hereby accepts as binding, conclusive and final all decisions or interpretations of the Committee upon any questions arising under the 2016 Plan and this Agreement, unless shown to have been made in an arbitrary and capricious manner. Notwithstanding anything to the contrary in the 2016 Plan, it is hereby acknowledged that the references in Sections 7(a) and 8(c) of the 2016 Plan to Section 11(e) of the 2016 Plan are</w:t>
      </w:r>
    </w:p>
    <w:p>
      <w:pPr>
        <w:spacing w:after="0" w:line="201"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135255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25" w:right="339" w:bottom="1440" w:gutter="0" w:footer="0" w:header="0"/>
        </w:sectPr>
      </w:pPr>
    </w:p>
    <w:bookmarkStart w:id="53" w:name="page54"/>
    <w:bookmarkEnd w:id="53"/>
    <w:p>
      <w:pPr>
        <w:jc w:val="both"/>
        <w:ind w:left="743"/>
        <w:spacing w:after="0" w:line="250" w:lineRule="auto"/>
        <w:rPr>
          <w:sz w:val="20"/>
          <w:szCs w:val="20"/>
          <w:color w:val="auto"/>
        </w:rPr>
      </w:pPr>
      <w:r>
        <w:rPr>
          <w:rFonts w:ascii="Times New Roman" w:cs="Times New Roman" w:eastAsia="Times New Roman" w:hAnsi="Times New Roman"/>
          <w:sz w:val="22"/>
          <w:szCs w:val="22"/>
          <w:color w:val="auto"/>
        </w:rPr>
        <w:t>intended to refer instead to Section 11(f) of the 2016 Plan (and will be interpreted as references to Section 11(f) of the 2016 Plan for purposes of this Agreement, and for purposes of the 2016 Plan in connection with this Agreement).</w:t>
      </w:r>
    </w:p>
    <w:p>
      <w:pPr>
        <w:spacing w:after="0" w:line="168" w:lineRule="exact"/>
        <w:rPr>
          <w:sz w:val="20"/>
          <w:szCs w:val="20"/>
          <w:color w:val="auto"/>
        </w:rPr>
      </w:pPr>
    </w:p>
    <w:p>
      <w:pPr>
        <w:jc w:val="both"/>
        <w:ind w:left="743"/>
        <w:spacing w:after="0" w:line="250" w:lineRule="auto"/>
        <w:rPr>
          <w:sz w:val="20"/>
          <w:szCs w:val="20"/>
          <w:color w:val="auto"/>
        </w:rPr>
      </w:pPr>
      <w:r>
        <w:rPr>
          <w:rFonts w:ascii="Times New Roman" w:cs="Times New Roman" w:eastAsia="Times New Roman" w:hAnsi="Times New Roman"/>
          <w:sz w:val="22"/>
          <w:szCs w:val="22"/>
          <w:color w:val="auto"/>
        </w:rPr>
        <w:t>For the avoidance of doubt, Participant’s good faith error in judgment in the normal course of business shall not be deemed “activity that is in conflict with or adverse to the interest of the Company or any Subsidiary” as that phrase is used in Section 8(f)(ii) of the 2016 Plan.</w:t>
      </w:r>
    </w:p>
    <w:p>
      <w:pPr>
        <w:spacing w:after="0" w:line="175" w:lineRule="exact"/>
        <w:rPr>
          <w:sz w:val="20"/>
          <w:szCs w:val="20"/>
          <w:color w:val="auto"/>
        </w:rPr>
      </w:pPr>
    </w:p>
    <w:p>
      <w:pPr>
        <w:jc w:val="both"/>
        <w:ind w:left="743" w:hanging="743"/>
        <w:spacing w:after="0" w:line="247" w:lineRule="auto"/>
        <w:tabs>
          <w:tab w:leader="none" w:pos="74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Headings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Section, paragraph and other headings and captions are provided solely as a convenience to facilitate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reference. Such headings and captions shall not be deemed in any way material or relevant to the construction, meaning or interpretation of this Agreement or any term or provision hereof.</w:t>
      </w:r>
    </w:p>
    <w:p>
      <w:pPr>
        <w:spacing w:after="0" w:line="177" w:lineRule="exact"/>
        <w:rPr>
          <w:sz w:val="20"/>
          <w:szCs w:val="20"/>
          <w:color w:val="auto"/>
        </w:rPr>
      </w:pPr>
    </w:p>
    <w:p>
      <w:pPr>
        <w:jc w:val="both"/>
        <w:ind w:left="663" w:hanging="663"/>
        <w:spacing w:after="0" w:line="256" w:lineRule="auto"/>
        <w:tabs>
          <w:tab w:leader="none" w:pos="663"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Notices. </w:t>
      </w:r>
      <w:r>
        <w:rPr>
          <w:rFonts w:ascii="Times New Roman" w:cs="Times New Roman" w:eastAsia="Times New Roman" w:hAnsi="Times New Roman"/>
          <w:sz w:val="21"/>
          <w:szCs w:val="21"/>
          <w:color w:val="auto"/>
        </w:rPr>
        <w:t>Any notice under this Agreement shall be in writing and shall be deemed to have been duly given when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delivered personally or when deposited in the United States mail, registered, postage prepaid, and addressed, in the case of the Company, to the Company’s Secretary at 555 Turnpike Street, Canton, MA 02021, or if the Company should move its principal office, to such principal office, and, in the case of the Participant, to the Participant’s last permanent address as shown on the Company’s records, subject to the right of either party to designate some other address at any time hereafter in a notice satisfying the requirements of this Section.</w:t>
      </w:r>
    </w:p>
    <w:p>
      <w:pPr>
        <w:spacing w:after="0" w:line="156" w:lineRule="exact"/>
        <w:rPr>
          <w:sz w:val="20"/>
          <w:szCs w:val="20"/>
          <w:color w:val="auto"/>
        </w:rPr>
      </w:pPr>
    </w:p>
    <w:p>
      <w:pPr>
        <w:jc w:val="both"/>
        <w:ind w:left="743" w:hanging="743"/>
        <w:spacing w:after="0" w:line="238" w:lineRule="auto"/>
        <w:tabs>
          <w:tab w:leader="none" w:pos="74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It is the intention of both the Company and the Participant that the benefits and rights to which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Participant could be entitled pursuant to this Agreement qualify for the short-term deferral exemption under Section 409A of the Code and the Treasury Regulations and other guidance promulgated or issued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or comply with Section 409A and the provisions of this Agreement shall be construed in a manner consistent with that intention. Notwithstanding the foregoing, the Company does not make any representation to the Participant that the shares of RSUs awarded pursuant to this Agreement are exempt from, or satisfy, the requirements of Section 409A or that any other payments made under this Agreement are exempt from or comply with Section 409A, and the Company shall have no liability or other obligation to indemnify or hold harmless the Participant or any Beneficiary for any such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spacing w:after="0" w:line="189" w:lineRule="exact"/>
        <w:rPr>
          <w:rFonts w:ascii="Times New Roman" w:cs="Times New Roman" w:eastAsia="Times New Roman" w:hAnsi="Times New Roman"/>
          <w:sz w:val="22"/>
          <w:szCs w:val="22"/>
          <w:color w:val="auto"/>
        </w:rPr>
      </w:pPr>
    </w:p>
    <w:p>
      <w:pPr>
        <w:jc w:val="both"/>
        <w:ind w:left="743" w:hanging="743"/>
        <w:spacing w:after="0" w:line="242" w:lineRule="auto"/>
        <w:tabs>
          <w:tab w:leader="none" w:pos="74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Non-Waiver of Breach. </w:t>
      </w:r>
      <w:r>
        <w:rPr>
          <w:rFonts w:ascii="Times New Roman" w:cs="Times New Roman" w:eastAsia="Times New Roman" w:hAnsi="Times New Roman"/>
          <w:sz w:val="22"/>
          <w:szCs w:val="22"/>
          <w:color w:val="auto"/>
        </w:rPr>
        <w:t>The waiver by any party hereto of the other party's prompt and complete performance,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breach or violation, 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w:t>
      </w:r>
    </w:p>
    <w:p>
      <w:pPr>
        <w:spacing w:after="0" w:line="189"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135255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31" w:right="339" w:bottom="1440" w:gutter="0" w:footer="0" w:header="0"/>
        </w:sectPr>
      </w:pPr>
    </w:p>
    <w:bookmarkStart w:id="54" w:name="page55"/>
    <w:bookmarkEnd w:id="54"/>
    <w:p>
      <w:pPr>
        <w:ind w:left="1500" w:right="20"/>
        <w:spacing w:after="0" w:line="271" w:lineRule="auto"/>
        <w:rPr>
          <w:sz w:val="20"/>
          <w:szCs w:val="20"/>
          <w:color w:val="auto"/>
        </w:rPr>
      </w:pPr>
      <w:r>
        <w:rPr>
          <w:rFonts w:ascii="Times New Roman" w:cs="Times New Roman" w:eastAsia="Times New Roman" w:hAnsi="Times New Roman"/>
          <w:sz w:val="22"/>
          <w:szCs w:val="22"/>
          <w:color w:val="auto"/>
        </w:rPr>
        <w:t>such party, or as a bar to the exercise of such right or remedy by such party, upon the occurrence of any subsequent breach or violation.</w:t>
      </w:r>
    </w:p>
    <w:p>
      <w:pPr>
        <w:spacing w:after="0" w:line="138" w:lineRule="exact"/>
        <w:rPr>
          <w:sz w:val="20"/>
          <w:szCs w:val="20"/>
          <w:color w:val="auto"/>
        </w:rPr>
      </w:pPr>
    </w:p>
    <w:p>
      <w:pPr>
        <w:ind w:left="1500" w:right="240" w:hanging="743"/>
        <w:spacing w:after="0" w:line="264"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Counterparts. </w:t>
      </w:r>
      <w:r>
        <w:rPr>
          <w:rFonts w:ascii="Times New Roman" w:cs="Times New Roman" w:eastAsia="Times New Roman" w:hAnsi="Times New Roman"/>
          <w:sz w:val="22"/>
          <w:szCs w:val="22"/>
          <w:color w:val="auto"/>
        </w:rPr>
        <w:t>This Agreement may be executed in two or more separate counterparts, each of which shall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 original, and all of which together shall constitute one and the same agreement.</w:t>
      </w:r>
    </w:p>
    <w:p>
      <w:pPr>
        <w:spacing w:after="0" w:line="16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intending to be legally bound, have executed this Agreement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October 7, 2022.</w:t>
      </w:r>
    </w:p>
    <w:p>
      <w:pPr>
        <w:spacing w:after="0" w:line="200" w:lineRule="exact"/>
        <w:rPr>
          <w:sz w:val="20"/>
          <w:szCs w:val="20"/>
          <w:color w:val="auto"/>
        </w:rPr>
      </w:pPr>
    </w:p>
    <w:p>
      <w:pPr>
        <w:spacing w:after="0" w:line="3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DESTINATION XL GROUP, INC., a Delaware corporation</w:t>
      </w:r>
    </w:p>
    <w:p>
      <w:pPr>
        <w:spacing w:after="0" w:line="30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By:______________________</w:t>
      </w:r>
    </w:p>
    <w:p>
      <w:pPr>
        <w:spacing w:after="0" w:line="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 Peter H. Stratton, Jr.</w:t>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Title: EVP,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The Participant acknowledges receipt of a copy of the 2016 Plan and represents that he or she has reviewed the applicable provisions of the 2016 Plan and this Agreement and is familiar with and understands their terms and provisions, and hereby accepts this Agreement subject to all of the terms and provisions of the Agreement and the applicable provisions of the 2016 Plan. The Participant further represents that he or she has had an opportunity to obtain the advice of counsel prior to executing this Agreement.</w:t>
      </w:r>
    </w:p>
    <w:p>
      <w:pPr>
        <w:spacing w:after="0" w:line="200" w:lineRule="exact"/>
        <w:rPr>
          <w:sz w:val="20"/>
          <w:szCs w:val="20"/>
          <w:color w:val="auto"/>
        </w:rPr>
      </w:pPr>
    </w:p>
    <w:p>
      <w:pPr>
        <w:spacing w:after="0" w:line="3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531" w:right="339" w:bottom="1440" w:gutter="0" w:footer="0" w:header="0"/>
        </w:sectPr>
      </w:pPr>
    </w:p>
    <w:p>
      <w:pPr>
        <w:spacing w:after="0" w:line="3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Dated:</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James Reath</w:t>
      </w:r>
    </w:p>
    <w:p>
      <w:pPr>
        <w:spacing w:after="0" w:line="200" w:lineRule="exact"/>
        <w:rPr>
          <w:sz w:val="20"/>
          <w:szCs w:val="20"/>
          <w:color w:val="auto"/>
        </w:rPr>
      </w:pPr>
    </w:p>
    <w:p>
      <w:pPr>
        <w:sectPr>
          <w:pgSz w:w="11900" w:h="16838" w:orient="portrait"/>
          <w:cols w:equalWidth="0" w:num="2">
            <w:col w:w="4800" w:space="720"/>
            <w:col w:w="5720"/>
          </w:cols>
          <w:pgMar w:left="320" w:top="5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type w:val="continuous"/>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DESTINATION XL GROUP, INC.</w:t>
      </w:r>
    </w:p>
    <w:p>
      <w:pPr>
        <w:jc w:val="center"/>
        <w:spacing w:after="0"/>
        <w:rPr>
          <w:sz w:val="20"/>
          <w:szCs w:val="20"/>
          <w:color w:val="auto"/>
        </w:rPr>
      </w:pPr>
      <w:r>
        <w:rPr>
          <w:rFonts w:ascii="Times New Roman" w:cs="Times New Roman" w:eastAsia="Times New Roman" w:hAnsi="Times New Roman"/>
          <w:sz w:val="22"/>
          <w:szCs w:val="22"/>
          <w:b w:val="1"/>
          <w:bCs w:val="1"/>
          <w:color w:val="auto"/>
        </w:rPr>
        <w:t>STAND-ALONE INDUCEMENT RESTRICTED STOCK UNIT AWARD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JONATHAN P. SAINSBURY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b w:val="1"/>
          <w:bCs w:val="1"/>
          <w:i w:val="1"/>
          <w:iCs w:val="1"/>
          <w:color w:val="auto"/>
        </w:rPr>
        <w:t>Grant of Restricted Stock Units.</w:t>
      </w:r>
      <w:r>
        <w:rPr>
          <w:rFonts w:ascii="Times New Roman" w:cs="Times New Roman" w:eastAsia="Times New Roman" w:hAnsi="Times New Roman"/>
          <w:sz w:val="22"/>
          <w:szCs w:val="22"/>
          <w:color w:val="auto"/>
        </w:rPr>
        <w:t xml:space="preserve"> DESTINATION XL GROUP, INC., a Delaware corporation (the “Company”), hereby grants, as of October 26, 2022 (“Date of Grant”), to </w:t>
      </w:r>
      <w:r>
        <w:rPr>
          <w:rFonts w:ascii="Times New Roman" w:cs="Times New Roman" w:eastAsia="Times New Roman" w:hAnsi="Times New Roman"/>
          <w:sz w:val="22"/>
          <w:szCs w:val="22"/>
          <w:b w:val="1"/>
          <w:bCs w:val="1"/>
          <w:i w:val="1"/>
          <w:iCs w:val="1"/>
          <w:color w:val="auto"/>
        </w:rPr>
        <w:t>Jonathan P. Sainsbury</w:t>
      </w:r>
      <w:r>
        <w:rPr>
          <w:rFonts w:ascii="Times New Roman" w:cs="Times New Roman" w:eastAsia="Times New Roman" w:hAnsi="Times New Roman"/>
          <w:sz w:val="22"/>
          <w:szCs w:val="22"/>
          <w:color w:val="auto"/>
        </w:rPr>
        <w:t xml:space="preserve"> (the “Participant”) an award of 15,174 restricted stock units (the “RSUs”) (the “Award”) to be settled in shares of the Company’s common stock, $0.01 par value per share, subject to the terms and conditions as set forth herein. Among other things, this Award is paid in consideration for the non-compete provisions contained in the Participant’s Employment Agreement. This RSU award agreement (the “Agreement”) is issued as a stand-alone inducement grant outside of the Company’s 2016 Incentive Compensation Plan (the “2016 Plan”). Unless otherwise provided herein, however, terms used herein that are defined in the 2016 Plan and not defined herein shall have the meanings attributed thereto in the 2016 Plan. The Participant hereby acknowledges receipt of a copy of the 2016 Plan and agrees to be bound by all of the terms and conditions hereof and all applicable laws and regulations.</w:t>
      </w:r>
    </w:p>
    <w:p>
      <w:pPr>
        <w:spacing w:after="0" w:line="19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b w:val="1"/>
          <w:bCs w:val="1"/>
          <w:i w:val="1"/>
          <w:iCs w:val="1"/>
          <w:color w:val="auto"/>
        </w:rPr>
        <w:t>Vesting of RSUs.</w:t>
      </w:r>
    </w:p>
    <w:p>
      <w:pPr>
        <w:spacing w:after="0" w:line="206" w:lineRule="exact"/>
        <w:rPr>
          <w:sz w:val="20"/>
          <w:szCs w:val="20"/>
          <w:color w:val="auto"/>
        </w:rPr>
      </w:pPr>
    </w:p>
    <w:p>
      <w:pPr>
        <w:jc w:val="both"/>
        <w:ind w:firstLine="664"/>
        <w:spacing w:after="0" w:line="242" w:lineRule="auto"/>
        <w:tabs>
          <w:tab w:leader="none" w:pos="140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General Vesting. </w:t>
      </w:r>
      <w:r>
        <w:rPr>
          <w:rFonts w:ascii="Times New Roman" w:cs="Times New Roman" w:eastAsia="Times New Roman" w:hAnsi="Times New Roman"/>
          <w:sz w:val="22"/>
          <w:szCs w:val="22"/>
          <w:color w:val="auto"/>
        </w:rPr>
        <w:t>The RSUs shall become vested in accordance with the table below and upon the following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conditions, provided that the Continuous Service of the Participant continues through and on the applicable “Vesting Date”. There shall be no proportionate or partial vesting of RSUs in or during the months, days or periods prior to the applicable Vesting Date, and except as otherwise provided in Section 2(b) hereof, all vesting of RSUs shall occur only on the applicable Vesting Date and any RSUs that are not and do not become Vested RSUs pursuant to Section 2(a) of this Agreement shall be forfeited as of the date of the Participant’s termination of employment for any reason.</w:t>
      </w:r>
    </w:p>
    <w:p>
      <w:pPr>
        <w:spacing w:after="0" w:line="194" w:lineRule="exact"/>
        <w:rPr>
          <w:sz w:val="20"/>
          <w:szCs w:val="20"/>
          <w:color w:val="auto"/>
        </w:rPr>
      </w:pPr>
    </w:p>
    <w:tbl>
      <w:tblPr>
        <w:tblLayout w:type="fixed"/>
        <w:tblInd w:w="590" w:type="dxa"/>
        <w:tblCellMar>
          <w:top w:w="0" w:type="dxa"/>
          <w:left w:w="0" w:type="dxa"/>
          <w:bottom w:w="0" w:type="dxa"/>
          <w:right w:w="0" w:type="dxa"/>
        </w:tblCellMar>
      </w:tblPr>
      <w:tr>
        <w:trPr>
          <w:trHeight w:val="302"/>
        </w:trPr>
        <w:tc>
          <w:tcPr>
            <w:tcW w:w="52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Vesting Date</w:t>
            </w:r>
          </w:p>
        </w:tc>
        <w:tc>
          <w:tcPr>
            <w:tcW w:w="52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RSUs vesting</w:t>
            </w:r>
          </w:p>
        </w:tc>
      </w:tr>
      <w:tr>
        <w:trPr>
          <w:trHeight w:val="224"/>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rPr>
                <w:sz w:val="19"/>
                <w:szCs w:val="19"/>
                <w:color w:val="auto"/>
              </w:rPr>
            </w:pPr>
          </w:p>
        </w:tc>
      </w:tr>
      <w:tr>
        <w:trPr>
          <w:trHeight w:val="242"/>
        </w:trPr>
        <w:tc>
          <w:tcPr>
            <w:tcW w:w="52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10/26/2023</w:t>
            </w:r>
          </w:p>
        </w:tc>
        <w:tc>
          <w:tcPr>
            <w:tcW w:w="52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5,058</w:t>
            </w:r>
          </w:p>
        </w:tc>
      </w:tr>
      <w:tr>
        <w:trPr>
          <w:trHeight w:val="187"/>
        </w:trPr>
        <w:tc>
          <w:tcPr>
            <w:tcW w:w="5240" w:type="dxa"/>
            <w:vAlign w:val="bottom"/>
            <w:tcBorders>
              <w:bottom w:val="single" w:sz="8" w:color="auto"/>
              <w:right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76"/>
        </w:trPr>
        <w:tc>
          <w:tcPr>
            <w:tcW w:w="5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10/26/2024</w:t>
            </w: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5,058</w:t>
            </w:r>
          </w:p>
        </w:tc>
      </w:tr>
      <w:tr>
        <w:trPr>
          <w:trHeight w:val="190"/>
        </w:trPr>
        <w:tc>
          <w:tcPr>
            <w:tcW w:w="5240" w:type="dxa"/>
            <w:vAlign w:val="bottom"/>
            <w:tcBorders>
              <w:bottom w:val="single" w:sz="8" w:color="auto"/>
              <w:right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76"/>
        </w:trPr>
        <w:tc>
          <w:tcPr>
            <w:tcW w:w="5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10/26/2025</w:t>
            </w: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5,058</w:t>
            </w:r>
          </w:p>
        </w:tc>
      </w:tr>
      <w:tr>
        <w:trPr>
          <w:trHeight w:val="190"/>
        </w:trPr>
        <w:tc>
          <w:tcPr>
            <w:tcW w:w="5240" w:type="dxa"/>
            <w:vAlign w:val="bottom"/>
            <w:tcBorders>
              <w:bottom w:val="single" w:sz="8" w:color="auto"/>
              <w:right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bl>
    <w:p>
      <w:pPr>
        <w:spacing w:after="0" w:line="385" w:lineRule="exact"/>
        <w:rPr>
          <w:sz w:val="20"/>
          <w:szCs w:val="20"/>
          <w:color w:val="auto"/>
        </w:rPr>
      </w:pPr>
    </w:p>
    <w:p>
      <w:pPr>
        <w:ind w:right="20" w:firstLine="757"/>
        <w:spacing w:after="0" w:line="264" w:lineRule="auto"/>
        <w:tabs>
          <w:tab w:leader="none" w:pos="149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Acceleration of Vesting Upon Termination</w:t>
      </w:r>
      <w:r>
        <w:rPr>
          <w:rFonts w:ascii="Times New Roman" w:cs="Times New Roman" w:eastAsia="Times New Roman" w:hAnsi="Times New Roman"/>
          <w:sz w:val="22"/>
          <w:szCs w:val="22"/>
          <w:color w:val="auto"/>
        </w:rPr>
        <w:t>. Notwithstanding Section 2(a), any unvested RSUs subject to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shall vest as follows:</w:t>
      </w:r>
    </w:p>
    <w:p>
      <w:pPr>
        <w:spacing w:after="0" w:line="164" w:lineRule="exact"/>
        <w:rPr>
          <w:rFonts w:ascii="Times New Roman" w:cs="Times New Roman" w:eastAsia="Times New Roman" w:hAnsi="Times New Roman"/>
          <w:sz w:val="22"/>
          <w:szCs w:val="22"/>
          <w:color w:val="auto"/>
        </w:rPr>
      </w:pPr>
    </w:p>
    <w:p>
      <w:pPr>
        <w:ind w:right="20" w:firstLine="1505"/>
        <w:spacing w:after="0" w:line="258" w:lineRule="auto"/>
        <w:tabs>
          <w:tab w:leader="none" w:pos="2995"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Continuous Service, on a Prorated Basis, in the event of a termination by the Company or any Related Entity without Justifiable Cause or by the Participant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56" w:name="page57"/>
    <w:bookmarkEnd w:id="56"/>
    <w:p>
      <w:pPr>
        <w:jc w:val="both"/>
        <w:spacing w:after="0" w:line="252" w:lineRule="auto"/>
        <w:rPr>
          <w:sz w:val="20"/>
          <w:szCs w:val="20"/>
          <w:color w:val="auto"/>
        </w:rPr>
      </w:pPr>
      <w:r>
        <w:rPr>
          <w:rFonts w:ascii="Times New Roman" w:cs="Times New Roman" w:eastAsia="Times New Roman" w:hAnsi="Times New Roman"/>
          <w:sz w:val="22"/>
          <w:szCs w:val="22"/>
          <w:color w:val="auto"/>
        </w:rPr>
        <w:t>for Good Reason, provided that for purposes of Section 2(b)(i), a “</w:t>
      </w:r>
      <w:r>
        <w:rPr>
          <w:rFonts w:ascii="Times New Roman" w:cs="Times New Roman" w:eastAsia="Times New Roman" w:hAnsi="Times New Roman"/>
          <w:sz w:val="22"/>
          <w:szCs w:val="22"/>
          <w:b w:val="1"/>
          <w:bCs w:val="1"/>
          <w:color w:val="auto"/>
        </w:rPr>
        <w:t>Prorated Basis</w:t>
      </w:r>
      <w:r>
        <w:rPr>
          <w:rFonts w:ascii="Times New Roman" w:cs="Times New Roman" w:eastAsia="Times New Roman" w:hAnsi="Times New Roman"/>
          <w:sz w:val="22"/>
          <w:szCs w:val="22"/>
          <w:color w:val="auto"/>
        </w:rPr>
        <w:t>” means the total number of RSUs granted multiplied by the following fraction: the number of days from the Date of Grant divided by the number of days between the Date of Grant and October 7, 2025, less any RSUs that have already vested or</w:t>
      </w:r>
    </w:p>
    <w:p>
      <w:pPr>
        <w:spacing w:after="0" w:line="166" w:lineRule="exact"/>
        <w:rPr>
          <w:sz w:val="20"/>
          <w:szCs w:val="20"/>
          <w:color w:val="auto"/>
        </w:rPr>
      </w:pPr>
    </w:p>
    <w:p>
      <w:pPr>
        <w:jc w:val="both"/>
        <w:ind w:firstLine="1505"/>
        <w:spacing w:after="0" w:line="248" w:lineRule="auto"/>
        <w:tabs>
          <w:tab w:leader="none" w:pos="299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Continuous Service, in full, in the event of (A) a termination by the Company or any Related Entity without Justifiable Cause, (B) termination by the Participant for Good Reason, or (C) death or termination by the Company for Disability, if such termination event occurs within the 18-month period immediately following a Change in Control.</w:t>
      </w:r>
    </w:p>
    <w:p>
      <w:pPr>
        <w:spacing w:after="0" w:line="16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Additionally, in the event the Participant becomes partially vested and forfeits RSUs pursuant to Section 2(b)(i) and a Change in Control occurs within the 6-month period immediately following the termination by the Company without Justifiable Cause or by the Participant for Good Reason, the Participant shall be paid an amount equal to the value of the RSUs that were forfeited upon his termination (including the value of any Dividend Equivalents that would have been awarded through the date of the Change in Control if the Participant had remained in Continuous Service through the date of the Change in Control), if any, calculated on the date immediately prior to the Change in Control and such payment, less lawful withholdings, shall be made in cash on the first payroll date following the six-month anniversary of the date of termination.</w:t>
      </w:r>
    </w:p>
    <w:p>
      <w:pPr>
        <w:spacing w:after="0" w:line="188" w:lineRule="exact"/>
        <w:rPr>
          <w:sz w:val="20"/>
          <w:szCs w:val="20"/>
          <w:color w:val="auto"/>
        </w:rPr>
      </w:pPr>
    </w:p>
    <w:p>
      <w:pPr>
        <w:ind w:left="1500" w:hanging="837"/>
        <w:spacing w:after="0"/>
        <w:tabs>
          <w:tab w:leader="none" w:pos="15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Definitions. </w:t>
      </w:r>
      <w:r>
        <w:rPr>
          <w:rFonts w:ascii="Times New Roman" w:cs="Times New Roman" w:eastAsia="Times New Roman" w:hAnsi="Times New Roman"/>
          <w:sz w:val="22"/>
          <w:szCs w:val="22"/>
          <w:color w:val="auto"/>
        </w:rPr>
        <w:t>For purposes of this Agreement, the following terms shall have the meanings indicated</w:t>
      </w:r>
      <w:r>
        <w:rPr>
          <w:rFonts w:ascii="Times New Roman" w:cs="Times New Roman" w:eastAsia="Times New Roman" w:hAnsi="Times New Roman"/>
          <w:sz w:val="22"/>
          <w:szCs w:val="22"/>
          <w:b w:val="1"/>
          <w:bCs w:val="1"/>
          <w:i w:val="1"/>
          <w:iCs w:val="1"/>
          <w:color w:val="auto"/>
        </w:rPr>
        <w:t>:</w:t>
      </w:r>
    </w:p>
    <w:p>
      <w:pPr>
        <w:spacing w:after="0" w:line="206" w:lineRule="exact"/>
        <w:rPr>
          <w:rFonts w:ascii="Times New Roman" w:cs="Times New Roman" w:eastAsia="Times New Roman" w:hAnsi="Times New Roman"/>
          <w:sz w:val="22"/>
          <w:szCs w:val="22"/>
          <w:color w:val="auto"/>
        </w:rPr>
      </w:pPr>
    </w:p>
    <w:p>
      <w:pPr>
        <w:jc w:val="both"/>
        <w:ind w:left="2260" w:hanging="755"/>
        <w:spacing w:after="0" w:line="246" w:lineRule="auto"/>
        <w:tabs>
          <w:tab w:leader="none" w:pos="226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Delivery Date”</w:t>
      </w:r>
      <w:r>
        <w:rPr>
          <w:rFonts w:ascii="Times New Roman" w:cs="Times New Roman" w:eastAsia="Times New Roman" w:hAnsi="Times New Roman"/>
          <w:sz w:val="22"/>
          <w:szCs w:val="22"/>
          <w:color w:val="auto"/>
        </w:rPr>
        <w:t xml:space="preserve"> means any date occurring as promptly as practical (but in no event more than 30 days) following the date on which the RSUs become Vested RSUs pursuant to Section 2, provided that in the event the RSUs vest pursuant to Section 2(b), the Delivery Date shall be within five (5) days following the vesting date.</w:t>
      </w:r>
    </w:p>
    <w:p>
      <w:pPr>
        <w:spacing w:after="0" w:line="177" w:lineRule="exact"/>
        <w:rPr>
          <w:rFonts w:ascii="Times New Roman" w:cs="Times New Roman" w:eastAsia="Times New Roman" w:hAnsi="Times New Roman"/>
          <w:sz w:val="22"/>
          <w:szCs w:val="22"/>
          <w:color w:val="auto"/>
        </w:rPr>
      </w:pPr>
    </w:p>
    <w:p>
      <w:pPr>
        <w:ind w:left="2260" w:hanging="755"/>
        <w:spacing w:after="0" w:line="264" w:lineRule="auto"/>
        <w:tabs>
          <w:tab w:leader="none" w:pos="226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Non-Vested RSUs</w:t>
      </w:r>
      <w:r>
        <w:rPr>
          <w:rFonts w:ascii="Times New Roman" w:cs="Times New Roman" w:eastAsia="Times New Roman" w:hAnsi="Times New Roman"/>
          <w:sz w:val="22"/>
          <w:szCs w:val="22"/>
          <w:color w:val="auto"/>
        </w:rPr>
        <w:t>” means any portion of the RSUs subject to this Agreement that has not become vested pursuant to this Section 2.</w:t>
      </w:r>
    </w:p>
    <w:p>
      <w:pPr>
        <w:spacing w:after="0" w:line="158" w:lineRule="exact"/>
        <w:rPr>
          <w:rFonts w:ascii="Times New Roman" w:cs="Times New Roman" w:eastAsia="Times New Roman" w:hAnsi="Times New Roman"/>
          <w:sz w:val="22"/>
          <w:szCs w:val="22"/>
          <w:color w:val="auto"/>
        </w:rPr>
      </w:pPr>
    </w:p>
    <w:p>
      <w:pPr>
        <w:ind w:left="2260" w:hanging="755"/>
        <w:spacing w:after="0" w:line="264" w:lineRule="auto"/>
        <w:tabs>
          <w:tab w:leader="none" w:pos="226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Vested RSUs</w:t>
      </w:r>
      <w:r>
        <w:rPr>
          <w:rFonts w:ascii="Times New Roman" w:cs="Times New Roman" w:eastAsia="Times New Roman" w:hAnsi="Times New Roman"/>
          <w:sz w:val="22"/>
          <w:szCs w:val="22"/>
          <w:color w:val="auto"/>
        </w:rPr>
        <w:t>” means any portion of the RSUs subject to this Agreement that is and has become vested pursuant to this Section 2.</w:t>
      </w:r>
    </w:p>
    <w:p>
      <w:pPr>
        <w:spacing w:after="0" w:line="145" w:lineRule="exact"/>
        <w:rPr>
          <w:rFonts w:ascii="Times New Roman" w:cs="Times New Roman" w:eastAsia="Times New Roman" w:hAnsi="Times New Roman"/>
          <w:sz w:val="22"/>
          <w:szCs w:val="22"/>
          <w:color w:val="auto"/>
        </w:rPr>
      </w:pPr>
    </w:p>
    <w:p>
      <w:pPr>
        <w:jc w:val="both"/>
        <w:ind w:left="1500" w:hanging="743"/>
        <w:spacing w:after="0" w:line="242" w:lineRule="auto"/>
        <w:tabs>
          <w:tab w:leader="none" w:pos="15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Additional Forfeiture Provisions. </w:t>
      </w:r>
      <w:r>
        <w:rPr>
          <w:rFonts w:ascii="Times New Roman" w:cs="Times New Roman" w:eastAsia="Times New Roman" w:hAnsi="Times New Roman"/>
          <w:sz w:val="22"/>
          <w:szCs w:val="22"/>
          <w:color w:val="auto"/>
        </w:rPr>
        <w:t>Any RSUs that are not Vested RSUs, and that do not become Vested RSUs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pursuant to Section 2(b) as a result of the Participant’s termination of Continuous Service for any reason or any RSUs that are not Vested RSUs, shall be forfeited immediately upon such termination of Continuous Service, without any payment to the Participant. The Committee shall have the power and authority to enforce on behalf of the Company any rights of the Company under this Agreement in the event of the Participant’s forfeiture of Non-Vested RSUs pursuant to this Section 2.</w:t>
      </w:r>
    </w:p>
    <w:p>
      <w:pPr>
        <w:spacing w:after="0" w:line="1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b w:val="1"/>
          <w:bCs w:val="1"/>
          <w:i w:val="1"/>
          <w:iCs w:val="1"/>
          <w:color w:val="auto"/>
        </w:rPr>
        <w:t>Settlement of the Vested RSUs.</w:t>
      </w:r>
      <w:r>
        <w:rPr>
          <w:rFonts w:ascii="Times New Roman" w:cs="Times New Roman" w:eastAsia="Times New Roman" w:hAnsi="Times New Roman"/>
          <w:sz w:val="22"/>
          <w:szCs w:val="22"/>
          <w:color w:val="auto"/>
        </w:rPr>
        <w:t xml:space="preserve"> The Company shall deliver to the Participant or, in the event of the Participant’s death, to the Beneficiary or Beneficiaries designated by the Participant or, if the Participant has not so designated any Beneficiary(ies), or no Beneficiary survives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57" w:name="page58"/>
    <w:bookmarkEnd w:id="57"/>
    <w:p>
      <w:pPr>
        <w:jc w:val="both"/>
        <w:spacing w:after="0" w:line="250" w:lineRule="auto"/>
        <w:rPr>
          <w:sz w:val="20"/>
          <w:szCs w:val="20"/>
          <w:color w:val="auto"/>
        </w:rPr>
      </w:pPr>
      <w:r>
        <w:rPr>
          <w:rFonts w:ascii="Times New Roman" w:cs="Times New Roman" w:eastAsia="Times New Roman" w:hAnsi="Times New Roman"/>
          <w:sz w:val="22"/>
          <w:szCs w:val="22"/>
          <w:color w:val="auto"/>
        </w:rPr>
        <w:t>Participant, to the personal representative of the Participant’s estate, on the Delivery Date certificates (or other indicia of ownership) representing the Shares (or other consideration as permitted under the 2016 Plan) corresponding to the number of Vested RSUs.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b w:val="1"/>
          <w:bCs w:val="1"/>
          <w:i w:val="1"/>
          <w:iCs w:val="1"/>
          <w:color w:val="auto"/>
        </w:rPr>
        <w:t>Rights with Respect to RSUs.</w:t>
      </w:r>
    </w:p>
    <w:p>
      <w:pPr>
        <w:spacing w:after="0" w:line="220" w:lineRule="exact"/>
        <w:rPr>
          <w:sz w:val="20"/>
          <w:szCs w:val="20"/>
          <w:color w:val="auto"/>
        </w:rPr>
      </w:pPr>
    </w:p>
    <w:p>
      <w:pPr>
        <w:jc w:val="both"/>
        <w:ind w:firstLine="757"/>
        <w:spacing w:after="0" w:line="242" w:lineRule="auto"/>
        <w:tabs>
          <w:tab w:leader="none" w:pos="149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Rights as Shareholder Until Delivery. </w:t>
      </w:r>
      <w:r>
        <w:rPr>
          <w:rFonts w:ascii="Times New Roman" w:cs="Times New Roman" w:eastAsia="Times New Roman" w:hAnsi="Times New Roman"/>
          <w:sz w:val="22"/>
          <w:szCs w:val="22"/>
          <w:color w:val="auto"/>
        </w:rPr>
        <w:t>Except as otherwise provided in this Section 4, the Participant shall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not have any rights, benefits or entitlements with respect to the Shares corresponding to the RSUs unless and until those Shares are delivered to the Participant (and thus shall have no voting rights, or rights to receive any dividend declared, before those Shares are so delivered). On or after delivery, the Participant shall have, with respect to the Shares delivered, all of the rights of a holder of Shares granted pursuant to the articles of incorporation and other governing instruments of the Company, or as otherwise available at law.</w:t>
      </w:r>
    </w:p>
    <w:p>
      <w:pPr>
        <w:spacing w:after="0" w:line="170" w:lineRule="exact"/>
        <w:rPr>
          <w:rFonts w:ascii="Times New Roman" w:cs="Times New Roman" w:eastAsia="Times New Roman" w:hAnsi="Times New Roman"/>
          <w:sz w:val="22"/>
          <w:szCs w:val="22"/>
          <w:color w:val="auto"/>
        </w:rPr>
      </w:pPr>
    </w:p>
    <w:p>
      <w:pPr>
        <w:ind w:right="20" w:firstLine="757"/>
        <w:spacing w:after="0" w:line="276" w:lineRule="auto"/>
        <w:tabs>
          <w:tab w:leader="none" w:pos="149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Adjustments to Share</w:t>
      </w:r>
      <w:r>
        <w:rPr>
          <w:rFonts w:ascii="Times New Roman" w:cs="Times New Roman" w:eastAsia="Times New Roman" w:hAnsi="Times New Roman"/>
          <w:sz w:val="22"/>
          <w:szCs w:val="22"/>
          <w:color w:val="auto"/>
        </w:rPr>
        <w:t>s. This Award shall be subject to the adjustments on the same terms and conditions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those provided for in Section 11(c) of the 2016 Plan</w:t>
      </w:r>
      <w:r>
        <w:rPr>
          <w:rFonts w:ascii="Times New Roman" w:cs="Times New Roman" w:eastAsia="Times New Roman" w:hAnsi="Times New Roman"/>
          <w:sz w:val="22"/>
          <w:szCs w:val="22"/>
          <w:b w:val="1"/>
          <w:bCs w:val="1"/>
          <w:i w:val="1"/>
          <w:iCs w:val="1"/>
          <w:color w:val="auto"/>
        </w:rPr>
        <w:t>.</w:t>
      </w:r>
    </w:p>
    <w:p>
      <w:pPr>
        <w:spacing w:after="0" w:line="133" w:lineRule="exact"/>
        <w:rPr>
          <w:rFonts w:ascii="Times New Roman" w:cs="Times New Roman" w:eastAsia="Times New Roman" w:hAnsi="Times New Roman"/>
          <w:sz w:val="22"/>
          <w:szCs w:val="22"/>
          <w:color w:val="auto"/>
        </w:rPr>
      </w:pPr>
    </w:p>
    <w:p>
      <w:pPr>
        <w:jc w:val="both"/>
        <w:ind w:firstLine="757"/>
        <w:spacing w:after="0" w:line="238" w:lineRule="auto"/>
        <w:tabs>
          <w:tab w:leader="none" w:pos="149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Restriction on Certain Transactions. </w:t>
      </w:r>
      <w:r>
        <w:rPr>
          <w:rFonts w:ascii="Times New Roman" w:cs="Times New Roman" w:eastAsia="Times New Roman" w:hAnsi="Times New Roman"/>
          <w:sz w:val="22"/>
          <w:szCs w:val="22"/>
          <w:color w:val="auto"/>
        </w:rPr>
        <w:t>Notwithstanding any term or provision of this Agreement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contrary, the existence of this Agreement, or of any outstanding RSUs awarded hereunder, shall not affect in any manner the right, power or authority of the Company or any Related Entity to make, authorize or consummate: (i) any or all adjustments, recapitalizations, reorganizations or other changes in the Company's or any Related Entity’s capital structure or its business; (ii) any merger, consolidation or similar transaction by or of the Company or any Related Entity; (iii) any offer, issue or sale by the Company or any Related Entity of any capital stock of the Company or any Related Entity, including any equity or debt securities, or preferred or preference stock that would rank prior to or on parity with the Shares represented by the RSUs and/or that would include, have or possess other rights, benefits and/or preferences superior to those that such Shares includes, has or possesses, or any warrants, options or rights with respect to any of the foregoing; (iv) the dissolution or liquidation of the Company or any Related Entity; (v) any sale, transfer or assignment of all or any part of the stock, assets or business of the Company or any Related Entity; or (vi) any other corporate transaction, act or proceeding (whether of a similar character or otherwise).</w:t>
      </w:r>
    </w:p>
    <w:p>
      <w:pPr>
        <w:spacing w:after="0" w:line="189" w:lineRule="exact"/>
        <w:rPr>
          <w:rFonts w:ascii="Times New Roman" w:cs="Times New Roman" w:eastAsia="Times New Roman" w:hAnsi="Times New Roman"/>
          <w:sz w:val="22"/>
          <w:szCs w:val="22"/>
          <w:color w:val="auto"/>
        </w:rPr>
      </w:pPr>
    </w:p>
    <w:p>
      <w:pPr>
        <w:jc w:val="both"/>
        <w:ind w:firstLine="757"/>
        <w:spacing w:after="0" w:line="239" w:lineRule="auto"/>
        <w:tabs>
          <w:tab w:leader="none" w:pos="149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Dividend Equivalents. </w:t>
      </w:r>
      <w:r>
        <w:rPr>
          <w:rFonts w:ascii="Times New Roman" w:cs="Times New Roman" w:eastAsia="Times New Roman" w:hAnsi="Times New Roman"/>
          <w:sz w:val="22"/>
          <w:szCs w:val="22"/>
          <w:color w:val="auto"/>
        </w:rPr>
        <w:t>With respect to any RSUs that have not been settled or been forfeited, provided that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Participant’s Continuous Service has not terminated prior to the dividend record date, the Participant shall have the right to receive distributions (the “Dividend Equivalents”) from the Company equal to any dividends or other distributions that would have been distributed to the Participant if each of the outstanding RSUs instead was an issued and outstanding Share owned by the Participant. The number of RSUs awarded for a cash dividend or non-cash dividend other than a stock dividend shall be determined by (i) multiplying the number of outstanding RSUs held by the Participant pursuant to this Agreement as of the dividend record date by the amount of the dividend per Share and (ii) dividing the product so determined by the Fair Market Value of a Share on the dividend payment date. The number of RSUs awarded for a stock dividend shall be determined by multiplying the number of outstanding RSUs held by the Participant pursuant to this Agreement as of the dividend record date by the number of additional Shares actually paid as a dividend per Share. Any additional RSUs awarded pursuant to this Section 4(d) shall be awarded effective the date the dividend was paid, and shall have the same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8" w:name="page59"/>
    <w:bookmarkEnd w:id="58"/>
    <w:p>
      <w:pPr>
        <w:jc w:val="both"/>
        <w:spacing w:after="0" w:line="259" w:lineRule="auto"/>
        <w:rPr>
          <w:sz w:val="20"/>
          <w:szCs w:val="20"/>
          <w:color w:val="auto"/>
        </w:rPr>
      </w:pPr>
      <w:r>
        <w:rPr>
          <w:rFonts w:ascii="Times New Roman" w:cs="Times New Roman" w:eastAsia="Times New Roman" w:hAnsi="Times New Roman"/>
          <w:sz w:val="21"/>
          <w:szCs w:val="21"/>
          <w:color w:val="auto"/>
        </w:rPr>
        <w:t>status, and shall be subject to the same terms and conditions (including without limitation the vesting and forfeiture provisions), under this Agreement as the RSUs to which they relate, and shall be distributed, reduced by any applicable withholding taxes, on the same Delivery Date as the RSUs to which they relate (or if later, as of the applicable dividend payment date). Each Dividend Equivalent shall be treated as a separate payment for purposes of Section 409A (as defined in Section 9(i)).</w:t>
      </w:r>
    </w:p>
    <w:p>
      <w:pPr>
        <w:spacing w:after="0" w:line="16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b w:val="1"/>
          <w:bCs w:val="1"/>
          <w:i w:val="1"/>
          <w:iCs w:val="1"/>
          <w:color w:val="auto"/>
        </w:rPr>
        <w:t>Transferability.</w:t>
      </w:r>
      <w:r>
        <w:rPr>
          <w:rFonts w:ascii="Times New Roman" w:cs="Times New Roman" w:eastAsia="Times New Roman" w:hAnsi="Times New Roman"/>
          <w:sz w:val="22"/>
          <w:szCs w:val="22"/>
          <w:color w:val="auto"/>
        </w:rPr>
        <w:t xml:space="preserve"> The RSUs are not transferable unless and until the Shares have been delivered to the Participant in settlement of the RSUs in accordance with this Agreement, otherwise than by will or under the applicable laws of descent and distribution, except that the RSUs may be transferred to one or more Beneficiaries or other transferees during the lifetime of the Participant, but only if and to the extent such transfers are permitted by the Committee (subject to any terms and conditions which the Committee may impose thereon), are by gift or pursuant to a domestic relations order, are to a “Permitted Assignee” that is a permissible transferee under the Securities and Exchange Commission for registration of shares of stock on a Form S-8 Registration Statement under the Securities Act of 1933, as amended.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executor, administrator, heir, successor and assign of the Participant or any other person claiming any rights with respect to the RSUs shall be subject to all terms and conditions of this Agreement, except as otherwise determined by the Committee, and to any additional terms and conditions deemed necessary or appropriate by the Committee. Except as otherwise permitted pursuant to the first sentence of this Section, any attempt to effect a Transfer of any RSUs prior to the date on which the Shares have been delivered to the Participant in settlement of the RSUs shall be void ab initio. For purposes of this Agreement, “Transfer” shall mean any sale, 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r>
        <w:rPr>
          <w:rFonts w:ascii="Times New Roman" w:cs="Times New Roman" w:eastAsia="Times New Roman" w:hAnsi="Times New Roman"/>
          <w:sz w:val="22"/>
          <w:szCs w:val="22"/>
          <w:b w:val="1"/>
          <w:bCs w:val="1"/>
          <w:i w:val="1"/>
          <w:iCs w:val="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b w:val="1"/>
          <w:bCs w:val="1"/>
          <w:i w:val="1"/>
          <w:iCs w:val="1"/>
          <w:color w:val="auto"/>
        </w:rPr>
        <w:t>Tax Matters.</w:t>
      </w:r>
    </w:p>
    <w:p>
      <w:pPr>
        <w:spacing w:after="0" w:line="206" w:lineRule="exact"/>
        <w:rPr>
          <w:sz w:val="20"/>
          <w:szCs w:val="20"/>
          <w:color w:val="auto"/>
        </w:rPr>
      </w:pPr>
    </w:p>
    <w:p>
      <w:pPr>
        <w:jc w:val="both"/>
        <w:ind w:left="1420" w:hanging="757"/>
        <w:spacing w:after="0"/>
        <w:tabs>
          <w:tab w:leader="none" w:pos="14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Withholding. </w:t>
      </w:r>
      <w:r>
        <w:rPr>
          <w:rFonts w:ascii="Times New Roman" w:cs="Times New Roman" w:eastAsia="Times New Roman" w:hAnsi="Times New Roman"/>
          <w:sz w:val="22"/>
          <w:szCs w:val="22"/>
          <w:color w:val="auto"/>
        </w:rPr>
        <w:t>As a condition to the Company’s obligations with respect to the RSUs (including, without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limitation, any obligation to deliver any Shares) hereunder, the Participant shall make arrangements satisfactory to the Company to pay to the Company any federal, state, local or foreign taxes of any kind required to be withheld with respect to the delivery of Shares corresponding to such RSUs. If the Participant shall fail to make the tax payments as are required, the Company shall, to the extent permitted by law, have the right to deduct from any payment of any kind (including the withholding of any Shares that otherwise would be delivered to Participant under this Agreement) otherwise due to the Participant any federal, state or local taxes of any kind required by law to be withheld with respect to such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9" w:name="page60"/>
    <w:bookmarkEnd w:id="59"/>
    <w:p>
      <w:pPr>
        <w:ind w:left="1420" w:hanging="757"/>
        <w:spacing w:after="0" w:line="276" w:lineRule="auto"/>
        <w:tabs>
          <w:tab w:leader="none" w:pos="14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Satisfaction of Withholding Requirements. </w:t>
      </w:r>
      <w:r>
        <w:rPr>
          <w:rFonts w:ascii="Times New Roman" w:cs="Times New Roman" w:eastAsia="Times New Roman" w:hAnsi="Times New Roman"/>
          <w:sz w:val="22"/>
          <w:szCs w:val="22"/>
          <w:color w:val="auto"/>
        </w:rPr>
        <w:t>The Participant may satisfy the withholding requirements with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respect to the RSUs pursuant to any one or combination of the following methods:</w:t>
      </w:r>
    </w:p>
    <w:p>
      <w:pPr>
        <w:spacing w:after="0" w:line="139"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in cash; or</w:t>
      </w:r>
    </w:p>
    <w:p>
      <w:pPr>
        <w:spacing w:after="0" w:line="206" w:lineRule="exact"/>
        <w:rPr>
          <w:rFonts w:ascii="Times New Roman" w:cs="Times New Roman" w:eastAsia="Times New Roman" w:hAnsi="Times New Roman"/>
          <w:sz w:val="22"/>
          <w:szCs w:val="22"/>
          <w:color w:val="auto"/>
        </w:rPr>
      </w:pPr>
    </w:p>
    <w:p>
      <w:pPr>
        <w:ind w:left="2260" w:hanging="755"/>
        <w:spacing w:after="0" w:line="271" w:lineRule="auto"/>
        <w:tabs>
          <w:tab w:leader="none" w:pos="2260"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the withholding of Shares that otherwise would be deliverable to the Participant pursuant to this Agreement.</w:t>
      </w:r>
    </w:p>
    <w:p>
      <w:pPr>
        <w:spacing w:after="0" w:line="138" w:lineRule="exact"/>
        <w:rPr>
          <w:rFonts w:ascii="Times New Roman" w:cs="Times New Roman" w:eastAsia="Times New Roman" w:hAnsi="Times New Roman"/>
          <w:sz w:val="22"/>
          <w:szCs w:val="22"/>
          <w:color w:val="auto"/>
        </w:rPr>
      </w:pPr>
    </w:p>
    <w:p>
      <w:pPr>
        <w:jc w:val="both"/>
        <w:ind w:left="1420" w:hanging="663"/>
        <w:spacing w:after="0" w:line="245" w:lineRule="auto"/>
        <w:tabs>
          <w:tab w:leader="none" w:pos="142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Participant’s Responsibilities for Tax Consequences. </w:t>
      </w:r>
      <w:r>
        <w:rPr>
          <w:rFonts w:ascii="Times New Roman" w:cs="Times New Roman" w:eastAsia="Times New Roman" w:hAnsi="Times New Roman"/>
          <w:sz w:val="22"/>
          <w:szCs w:val="22"/>
          <w:color w:val="auto"/>
        </w:rPr>
        <w:t>The tax consequences to the Participant (including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without limitation federal, state, local and foreign income tax consequences) with respect to the RSUs (including without limitation the grant, vesting and/or delivery thereof) are the sole responsibility of the Participant. The Participant shall consult with his or her own personal accountant(s) and/or tax advisor(s) regarding these matters and the Participant’s filing, withholding and payment (or tax liability) obligations.</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b w:val="1"/>
          <w:bCs w:val="1"/>
          <w:i w:val="1"/>
          <w:iCs w:val="1"/>
          <w:color w:val="auto"/>
        </w:rPr>
        <w:t>Amendment, Modification &amp; Assignment.</w:t>
      </w:r>
      <w:r>
        <w:rPr>
          <w:rFonts w:ascii="Times New Roman" w:cs="Times New Roman" w:eastAsia="Times New Roman" w:hAnsi="Times New Roman"/>
          <w:sz w:val="22"/>
          <w:szCs w:val="22"/>
          <w:color w:val="auto"/>
        </w:rPr>
        <w:t xml:space="preserve"> This Agreement may only be modified or amended in a writing signed by the parties hereto. No promises, 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Participant’s rights hereunder) may not be assigned, and the obligations of Participant hereunder may not be delegated, in whole or in part. The rights and obligations created hereunder shall be binding on the Participant and his heirs and legal representatives and on the successors and assigns of the Company.</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b w:val="1"/>
          <w:bCs w:val="1"/>
          <w:i w:val="1"/>
          <w:iCs w:val="1"/>
          <w:color w:val="auto"/>
        </w:rPr>
        <w:t>Complete Agreement</w:t>
      </w:r>
      <w:r>
        <w:rPr>
          <w:rFonts w:ascii="Times New Roman" w:cs="Times New Roman" w:eastAsia="Times New Roman" w:hAnsi="Times New Roman"/>
          <w:sz w:val="22"/>
          <w:szCs w:val="22"/>
          <w:color w:val="auto"/>
        </w:rPr>
        <w:t>. This Agreement (together with reference to the 2016 Plan)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b w:val="1"/>
          <w:bCs w:val="1"/>
          <w:i w:val="1"/>
          <w:iCs w:val="1"/>
          <w:color w:val="auto"/>
        </w:rPr>
        <w:t>Miscellaneous.</w:t>
      </w:r>
    </w:p>
    <w:p>
      <w:pPr>
        <w:spacing w:after="0" w:line="206" w:lineRule="exact"/>
        <w:rPr>
          <w:sz w:val="20"/>
          <w:szCs w:val="20"/>
          <w:color w:val="auto"/>
        </w:rPr>
      </w:pPr>
    </w:p>
    <w:p>
      <w:pPr>
        <w:jc w:val="both"/>
        <w:ind w:left="1500" w:hanging="743"/>
        <w:spacing w:after="0" w:line="253" w:lineRule="auto"/>
        <w:tabs>
          <w:tab w:leader="none" w:pos="15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Right to (Continued) Employment or Service. </w:t>
      </w:r>
      <w:r>
        <w:rPr>
          <w:rFonts w:ascii="Times New Roman" w:cs="Times New Roman" w:eastAsia="Times New Roman" w:hAnsi="Times New Roman"/>
          <w:sz w:val="22"/>
          <w:szCs w:val="22"/>
          <w:color w:val="auto"/>
        </w:rPr>
        <w:t>This Agreement and the grant of RSUs hereunder shall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confer, or be construed to confer, upon the Participant any right to employment or service, or continued employment or service, with the Company or any Related Entity.</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46" w:lineRule="auto"/>
        <w:tabs>
          <w:tab w:leader="none" w:pos="15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Limit on Other Compensation Arrangements. </w:t>
      </w:r>
      <w:r>
        <w:rPr>
          <w:rFonts w:ascii="Times New Roman" w:cs="Times New Roman" w:eastAsia="Times New Roman" w:hAnsi="Times New Roman"/>
          <w:sz w:val="22"/>
          <w:szCs w:val="22"/>
          <w:color w:val="auto"/>
        </w:rPr>
        <w:t>Nothing contained in this Agreement shall preclude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or any Related Entity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60" w:name="page61"/>
    <w:bookmarkEnd w:id="60"/>
    <w:p>
      <w:pPr>
        <w:jc w:val="both"/>
        <w:ind w:left="743" w:hanging="743"/>
        <w:spacing w:after="0" w:line="242" w:lineRule="auto"/>
        <w:tabs>
          <w:tab w:leader="none" w:pos="74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Severability. </w:t>
      </w:r>
      <w:r>
        <w:rPr>
          <w:rFonts w:ascii="Times New Roman" w:cs="Times New Roman" w:eastAsia="Times New Roman" w:hAnsi="Times New Roman"/>
          <w:sz w:val="22"/>
          <w:szCs w:val="22"/>
          <w:color w:val="auto"/>
        </w:rPr>
        <w:t>If any term or provision of this Agreement is or becomes or is deemed to be invalid, illegal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RSUs hereunder, such provision shall be stricken as to such jurisdiction and the remainder of this Agreement and the award hereunder shall remain in full force and effect).</w:t>
      </w:r>
    </w:p>
    <w:p>
      <w:pPr>
        <w:spacing w:after="0" w:line="183" w:lineRule="exact"/>
        <w:rPr>
          <w:rFonts w:ascii="Times New Roman" w:cs="Times New Roman" w:eastAsia="Times New Roman" w:hAnsi="Times New Roman"/>
          <w:sz w:val="22"/>
          <w:szCs w:val="22"/>
          <w:color w:val="auto"/>
        </w:rPr>
      </w:pPr>
    </w:p>
    <w:p>
      <w:pPr>
        <w:jc w:val="both"/>
        <w:ind w:left="743" w:hanging="743"/>
        <w:spacing w:after="0" w:line="242" w:lineRule="auto"/>
        <w:tabs>
          <w:tab w:leader="none" w:pos="74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Trust or Fund Created. </w:t>
      </w:r>
      <w:r>
        <w:rPr>
          <w:rFonts w:ascii="Times New Roman" w:cs="Times New Roman" w:eastAsia="Times New Roman" w:hAnsi="Times New Roman"/>
          <w:sz w:val="22"/>
          <w:szCs w:val="22"/>
          <w:color w:val="auto"/>
        </w:rPr>
        <w:t>Neither this Agreement nor the grant of RSUs hereunder shall create or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construed to create a trust or separate fund of any kind or a fiduciary relationship between the Company or any Related Entity and the Participant or any other person. To the extent that the Participant or any other person acquires a right to receive payments from the Company or any Related Entity pursuant to this Agreement, such right shall be no greater than the right of any unsecured general creditor of the Company.</w:t>
      </w:r>
    </w:p>
    <w:p>
      <w:pPr>
        <w:spacing w:after="0" w:line="182" w:lineRule="exact"/>
        <w:rPr>
          <w:rFonts w:ascii="Times New Roman" w:cs="Times New Roman" w:eastAsia="Times New Roman" w:hAnsi="Times New Roman"/>
          <w:sz w:val="22"/>
          <w:szCs w:val="22"/>
          <w:color w:val="auto"/>
        </w:rPr>
      </w:pPr>
    </w:p>
    <w:p>
      <w:pPr>
        <w:ind w:left="743" w:hanging="743"/>
        <w:spacing w:after="0" w:line="264" w:lineRule="auto"/>
        <w:tabs>
          <w:tab w:leader="none" w:pos="74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Law Governing. </w:t>
      </w:r>
      <w:r>
        <w:rPr>
          <w:rFonts w:ascii="Times New Roman" w:cs="Times New Roman" w:eastAsia="Times New Roman" w:hAnsi="Times New Roman"/>
          <w:sz w:val="22"/>
          <w:szCs w:val="22"/>
          <w:color w:val="auto"/>
        </w:rPr>
        <w:t>This Agreement shall be governed by and construed and enforced in accordance with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internal laws of the State of Delaware (without reference to the conflict of laws rules or principles thereof).</w:t>
      </w:r>
    </w:p>
    <w:p>
      <w:pPr>
        <w:spacing w:after="0" w:line="145" w:lineRule="exact"/>
        <w:rPr>
          <w:rFonts w:ascii="Times New Roman" w:cs="Times New Roman" w:eastAsia="Times New Roman" w:hAnsi="Times New Roman"/>
          <w:sz w:val="22"/>
          <w:szCs w:val="22"/>
          <w:color w:val="auto"/>
        </w:rPr>
      </w:pPr>
    </w:p>
    <w:p>
      <w:pPr>
        <w:jc w:val="both"/>
        <w:ind w:left="743" w:hanging="743"/>
        <w:spacing w:after="0" w:line="238" w:lineRule="auto"/>
        <w:tabs>
          <w:tab w:leader="none" w:pos="74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Interpretation / Provisions of Plan Control</w:t>
      </w:r>
      <w:r>
        <w:rPr>
          <w:rFonts w:ascii="Times New Roman" w:cs="Times New Roman" w:eastAsia="Times New Roman" w:hAnsi="Times New Roman"/>
          <w:sz w:val="22"/>
          <w:szCs w:val="22"/>
          <w:color w:val="auto"/>
        </w:rPr>
        <w:t>. This Agreement is subject to all the terms, conditions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provisions of the 2016 Plan including, without limitation, any future amendment provisions thereof, and to such rules, regulations and interpretations relating to the 2016 Plan adopted by the Committee as may be in effect from time to time. Except as otherwise provided below, if and to the extent that this Agreement conflicts or is inconsistent with the terms, conditions and provisions of the 2016 Plan, the 2016 Plan shall control, and this Agreement shall be deemed to be modified accordingly. This Agreement is subject to Section 11(f) of the Plan which requires, in part, that without the consent of the Participant, the Award granted pursuant to this Agreement may not be amended or altered in a way that materially and adversely affects the Participant and any future amendment of the 2016 Plan shall not impact this provision as it relates to the Award. The Participant accepts this Agreement subject to all of the terms and provisions of the 2016 Plan and this Agreement. The undersigned Participant hereby accepts as binding, conclusive and final all decisions or interpretations of the Committee upon any questions arising under the 2016 Plan and this Agreement, unless shown to have been made in an arbitrary and capricious manner. Notwithstanding anything to the contrary in the 2016 Plan, it is hereby acknowledged that the references in Sections 7(a) and 8(c) of the 2016 Plan to Section 11(e) of the 2016 Plan are intended to refer instead to Section 11(f) of the 2016 Plan (and will be interpreted as references to Section 11(f) of the 2016 Plan for purposes of this Agreement, and for purposes of the 2016 Plan in connection with this Agreement).</w:t>
      </w:r>
    </w:p>
    <w:p>
      <w:pPr>
        <w:spacing w:after="0" w:line="182" w:lineRule="exact"/>
        <w:rPr>
          <w:rFonts w:ascii="Times New Roman" w:cs="Times New Roman" w:eastAsia="Times New Roman" w:hAnsi="Times New Roman"/>
          <w:sz w:val="22"/>
          <w:szCs w:val="22"/>
          <w:color w:val="auto"/>
        </w:rPr>
      </w:pPr>
    </w:p>
    <w:p>
      <w:pPr>
        <w:ind w:left="743"/>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Participant’s good faith error in judgment in the normal course of business shall not be deemed “activity that is in conflict with or adverse</w:t>
      </w:r>
    </w:p>
    <w:p>
      <w:pPr>
        <w:spacing w:after="0" w:line="172"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135255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25" w:right="339" w:bottom="1440" w:gutter="0" w:footer="0" w:header="0"/>
        </w:sectPr>
      </w:pPr>
    </w:p>
    <w:bookmarkStart w:id="61" w:name="page62"/>
    <w:bookmarkEnd w:id="61"/>
    <w:p>
      <w:pPr>
        <w:ind w:left="743"/>
        <w:spacing w:after="0"/>
        <w:rPr>
          <w:sz w:val="20"/>
          <w:szCs w:val="20"/>
          <w:color w:val="auto"/>
        </w:rPr>
      </w:pPr>
      <w:r>
        <w:rPr>
          <w:rFonts w:ascii="Times New Roman" w:cs="Times New Roman" w:eastAsia="Times New Roman" w:hAnsi="Times New Roman"/>
          <w:sz w:val="22"/>
          <w:szCs w:val="22"/>
          <w:color w:val="auto"/>
        </w:rPr>
        <w:t>to the interest of the Company or any Subsidiary” as that phrase is used in Section 8(f)(ii) of the 2016 Plan.</w:t>
      </w:r>
    </w:p>
    <w:p>
      <w:pPr>
        <w:spacing w:after="0" w:line="214" w:lineRule="exact"/>
        <w:rPr>
          <w:sz w:val="20"/>
          <w:szCs w:val="20"/>
          <w:color w:val="auto"/>
        </w:rPr>
      </w:pPr>
    </w:p>
    <w:p>
      <w:pPr>
        <w:jc w:val="both"/>
        <w:ind w:left="743" w:hanging="743"/>
        <w:spacing w:after="0" w:line="247" w:lineRule="auto"/>
        <w:tabs>
          <w:tab w:leader="none" w:pos="74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Headings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Section, paragraph and other headings and captions are provided solely as a convenience to facilitate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reference. Such headings and captions shall not be deemed in any way material or relevant to the construction, meaning or interpretation of this Agreement or any term or provision hereof.</w:t>
      </w:r>
    </w:p>
    <w:p>
      <w:pPr>
        <w:spacing w:after="0" w:line="177" w:lineRule="exact"/>
        <w:rPr>
          <w:sz w:val="20"/>
          <w:szCs w:val="20"/>
          <w:color w:val="auto"/>
        </w:rPr>
      </w:pPr>
    </w:p>
    <w:p>
      <w:pPr>
        <w:jc w:val="both"/>
        <w:ind w:left="663" w:hanging="663"/>
        <w:spacing w:after="0" w:line="256" w:lineRule="auto"/>
        <w:tabs>
          <w:tab w:leader="none" w:pos="663"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Notices. </w:t>
      </w:r>
      <w:r>
        <w:rPr>
          <w:rFonts w:ascii="Times New Roman" w:cs="Times New Roman" w:eastAsia="Times New Roman" w:hAnsi="Times New Roman"/>
          <w:sz w:val="21"/>
          <w:szCs w:val="21"/>
          <w:color w:val="auto"/>
        </w:rPr>
        <w:t>Any notice under this Agreement shall be in writing and shall be deemed to have been duly given when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delivered personally or when deposited in the United States mail, registered, postage prepaid, and addressed, in the case of the Company, to the Company’s Secretary at 555 Turnpike Street, Canton, MA 02021, or if the Company should move its principal office, to such principal office, and, in the case of the Participant, to the Participant’s last permanent address as shown on the Company’s records, subject to the right of either party to designate some other address at any time hereafter in a notice satisfying the requirements of this Section.</w:t>
      </w:r>
    </w:p>
    <w:p>
      <w:pPr>
        <w:spacing w:after="0" w:line="156" w:lineRule="exact"/>
        <w:rPr>
          <w:sz w:val="20"/>
          <w:szCs w:val="20"/>
          <w:color w:val="auto"/>
        </w:rPr>
      </w:pPr>
    </w:p>
    <w:p>
      <w:pPr>
        <w:jc w:val="both"/>
        <w:ind w:left="743" w:hanging="743"/>
        <w:spacing w:after="0" w:line="239" w:lineRule="auto"/>
        <w:tabs>
          <w:tab w:leader="none" w:pos="74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It is the intention of both the Company and the Participant that the benefits and rights to which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Participant could be entitled pursuant to this Agreement qualify for the short-term deferral exemption under Section 409A of the Code and the Treasury Regulations and other guidance promulgated or issued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or comply with Section 409A and the provisions of this Agreement shall be construed in a manner consistent with that intention. Notwithstanding the foregoing, the Company does not make any representation to the Participant that the shares of RSUs awarded pursuant to this Agreement are exempt from, or satisfy, the requirements of Section 409A or that any other payments made under this Agreement are exempt from or comply with Section 409A, and the Company shall have no liability or other obligation to indemnify or hold harmless the Participant or any Beneficiary for any such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spacing w:after="0" w:line="176" w:lineRule="exact"/>
        <w:rPr>
          <w:rFonts w:ascii="Times New Roman" w:cs="Times New Roman" w:eastAsia="Times New Roman" w:hAnsi="Times New Roman"/>
          <w:sz w:val="22"/>
          <w:szCs w:val="22"/>
          <w:color w:val="auto"/>
        </w:rPr>
      </w:pPr>
    </w:p>
    <w:p>
      <w:pPr>
        <w:jc w:val="both"/>
        <w:ind w:left="743" w:hanging="743"/>
        <w:spacing w:after="0" w:line="242" w:lineRule="auto"/>
        <w:tabs>
          <w:tab w:leader="none" w:pos="74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Non-Waiver of Breach. </w:t>
      </w:r>
      <w:r>
        <w:rPr>
          <w:rFonts w:ascii="Times New Roman" w:cs="Times New Roman" w:eastAsia="Times New Roman" w:hAnsi="Times New Roman"/>
          <w:sz w:val="22"/>
          <w:szCs w:val="22"/>
          <w:color w:val="auto"/>
        </w:rPr>
        <w:t>The waiver by any party hereto of the other party's prompt and complete performance,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breach or violation, 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70" w:lineRule="exact"/>
        <w:rPr>
          <w:rFonts w:ascii="Times New Roman" w:cs="Times New Roman" w:eastAsia="Times New Roman" w:hAnsi="Times New Roman"/>
          <w:sz w:val="22"/>
          <w:szCs w:val="22"/>
          <w:color w:val="auto"/>
        </w:rPr>
      </w:pPr>
    </w:p>
    <w:p>
      <w:pPr>
        <w:ind w:left="743" w:right="240" w:hanging="743"/>
        <w:spacing w:after="0" w:line="276" w:lineRule="auto"/>
        <w:tabs>
          <w:tab w:leader="none" w:pos="74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Counterparts. </w:t>
      </w:r>
      <w:r>
        <w:rPr>
          <w:rFonts w:ascii="Times New Roman" w:cs="Times New Roman" w:eastAsia="Times New Roman" w:hAnsi="Times New Roman"/>
          <w:sz w:val="22"/>
          <w:szCs w:val="22"/>
          <w:color w:val="auto"/>
        </w:rPr>
        <w:t>This Agreement may be executed in two or more separate counterparts, each of which shall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 original, and all of which together shall constitute one and the same agreement.</w:t>
      </w:r>
    </w:p>
    <w:p>
      <w:pPr>
        <w:spacing w:after="0" w:line="140"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135255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31" w:right="339" w:bottom="1440" w:gutter="0" w:footer="0" w:header="0"/>
        </w:sectPr>
      </w:pPr>
    </w:p>
    <w:bookmarkStart w:id="62" w:name="page63"/>
    <w:bookmarkEnd w:id="62"/>
    <w:p>
      <w:pPr>
        <w:jc w:val="both"/>
        <w:ind w:firstLine="749"/>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intending to be legally bound, have executed this Agreement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October 26, 2022.</w:t>
      </w:r>
    </w:p>
    <w:p>
      <w:pPr>
        <w:spacing w:after="0" w:line="200" w:lineRule="exact"/>
        <w:rPr>
          <w:sz w:val="20"/>
          <w:szCs w:val="20"/>
          <w:color w:val="auto"/>
        </w:rPr>
      </w:pPr>
    </w:p>
    <w:p>
      <w:pPr>
        <w:spacing w:after="0" w:line="35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DESTINATION XL GROUP, INC., a Delaware corporation</w:t>
      </w:r>
    </w:p>
    <w:p>
      <w:pPr>
        <w:spacing w:after="0" w:line="30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By:______________________</w:t>
      </w:r>
    </w:p>
    <w:p>
      <w:pPr>
        <w:spacing w:after="0" w:line="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 Harvey S. Kanter</w:t>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The Participant acknowledges receipt of a copy of the 2016 Plan and represents that he or she has reviewed the applicable provisions of the 2016 Plan and this Agreement and is familiar with and understands their terms and provisions, and hereby accepts this Agreement subject to all of the terms and provisions of the Agreement and the applicable provisions of the 2016 Plan. The Participant further represents that he or she has had an opportunity to obtain the advice of counsel prior to executing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527" w:right="339" w:bottom="1440" w:gutter="0" w:footer="0" w:header="0"/>
        </w:sectPr>
      </w:pPr>
    </w:p>
    <w:p>
      <w:pPr>
        <w:spacing w:after="0" w:line="3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Dated: 10-26-2022</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Jonathan P. Sainsbury</w:t>
      </w:r>
    </w:p>
    <w:p>
      <w:pPr>
        <w:spacing w:after="0" w:line="200" w:lineRule="exact"/>
        <w:rPr>
          <w:sz w:val="20"/>
          <w:szCs w:val="20"/>
          <w:color w:val="auto"/>
        </w:rPr>
      </w:pPr>
    </w:p>
    <w:p>
      <w:pPr>
        <w:sectPr>
          <w:pgSz w:w="11900" w:h="16838" w:orient="portrait"/>
          <w:cols w:equalWidth="0" w:num="2">
            <w:col w:w="4800" w:space="720"/>
            <w:col w:w="5720"/>
          </w:cols>
          <w:pgMar w:left="320" w:top="5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type w:val="continuous"/>
        </w:sectPr>
      </w:pPr>
    </w:p>
    <w:bookmarkStart w:id="63" w:name="page64"/>
    <w:bookmarkEnd w:id="6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104" w:lineRule="exact"/>
        <w:rPr>
          <w:sz w:val="20"/>
          <w:szCs w:val="20"/>
          <w:color w:val="auto"/>
        </w:rPr>
      </w:pPr>
    </w:p>
    <w:p>
      <w:pPr>
        <w:ind w:left="520" w:hanging="512"/>
        <w:spacing w:after="0"/>
        <w:tabs>
          <w:tab w:leader="none" w:pos="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20" w:val="left"/>
          <w:tab w:leader="none" w:pos="6760" w:val="left"/>
          <w:tab w:leader="none" w:pos="8400" w:val="left"/>
        </w:tabs>
        <w:rPr>
          <w:sz w:val="20"/>
          <w:szCs w:val="20"/>
          <w:color w:val="auto"/>
        </w:rPr>
      </w:pPr>
      <w:r>
        <w:rPr>
          <w:rFonts w:ascii="Times New Roman" w:cs="Times New Roman" w:eastAsia="Times New Roman" w:hAnsi="Times New Roman"/>
          <w:sz w:val="18"/>
          <w:szCs w:val="18"/>
          <w:color w:val="auto"/>
        </w:rPr>
        <w:t>Date:</w:t>
        <w:tab/>
        <w:t>November 17,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10"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Harvey S. Kanter</w:t>
      </w:r>
    </w:p>
    <w:p>
      <w:pPr>
        <w:spacing w:after="0" w:line="29"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104" w:lineRule="exact"/>
        <w:rPr>
          <w:sz w:val="20"/>
          <w:szCs w:val="20"/>
          <w:color w:val="auto"/>
        </w:rPr>
      </w:pPr>
    </w:p>
    <w:p>
      <w:pPr>
        <w:ind w:left="520" w:hanging="512"/>
        <w:spacing w:after="0"/>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20" w:val="left"/>
          <w:tab w:leader="none" w:pos="6760" w:val="left"/>
          <w:tab w:leader="none" w:pos="8300" w:val="left"/>
        </w:tabs>
        <w:rPr>
          <w:sz w:val="20"/>
          <w:szCs w:val="20"/>
          <w:color w:val="auto"/>
        </w:rPr>
      </w:pPr>
      <w:r>
        <w:rPr>
          <w:rFonts w:ascii="Times New Roman" w:cs="Times New Roman" w:eastAsia="Times New Roman" w:hAnsi="Times New Roman"/>
          <w:sz w:val="18"/>
          <w:szCs w:val="18"/>
          <w:color w:val="auto"/>
        </w:rPr>
        <w:t>Date:</w:t>
        <w:tab/>
        <w:t>November 17,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spacing w:after="0" w:line="18"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5" w:name="page66"/>
    <w:bookmarkEnd w:id="65"/>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October 29, 2022, as filed with the Securities and Exchange Commission on the date hereof (the “Report”), I, Harvey S. Kanter, Chief Executive Officer of the Company, certify pursuant to 18 U.S.C. § 1350, as adopted pursuant to § 906 of the Sarbanes-Oxley Act of 2002, that:</w:t>
      </w:r>
    </w:p>
    <w:p>
      <w:pPr>
        <w:spacing w:after="0" w:line="61" w:lineRule="exact"/>
        <w:rPr>
          <w:sz w:val="20"/>
          <w:szCs w:val="20"/>
          <w:color w:val="auto"/>
        </w:rPr>
      </w:pPr>
    </w:p>
    <w:p>
      <w:pPr>
        <w:ind w:left="1400" w:right="480" w:hanging="374"/>
        <w:spacing w:after="0" w:line="266" w:lineRule="auto"/>
        <w:tabs>
          <w:tab w:leader="none" w:pos="128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4"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1" w:lineRule="exact"/>
        <w:rPr>
          <w:sz w:val="20"/>
          <w:szCs w:val="20"/>
          <w:color w:val="auto"/>
        </w:rPr>
      </w:pPr>
    </w:p>
    <w:p>
      <w:pPr>
        <w:ind w:left="20"/>
        <w:spacing w:after="0"/>
        <w:tabs>
          <w:tab w:leader="none" w:pos="620" w:val="left"/>
          <w:tab w:leader="none" w:pos="6780" w:val="left"/>
          <w:tab w:leader="none" w:pos="8400" w:val="left"/>
        </w:tabs>
        <w:rPr>
          <w:sz w:val="20"/>
          <w:szCs w:val="20"/>
          <w:color w:val="auto"/>
        </w:rPr>
      </w:pPr>
      <w:r>
        <w:rPr>
          <w:rFonts w:ascii="Times New Roman" w:cs="Times New Roman" w:eastAsia="Times New Roman" w:hAnsi="Times New Roman"/>
          <w:sz w:val="18"/>
          <w:szCs w:val="18"/>
          <w:color w:val="auto"/>
        </w:rPr>
        <w:t>Date:</w:t>
        <w:tab/>
        <w:t>November 17,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Harvey S. Kanter</w:t>
      </w:r>
    </w:p>
    <w:p>
      <w:pPr>
        <w:spacing w:after="0" w:line="27"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Harvey S. Kanter</w:t>
      </w:r>
    </w:p>
    <w:p>
      <w:pPr>
        <w:spacing w:after="0" w:line="18"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7"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October 29, 2022,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61" w:lineRule="exact"/>
        <w:rPr>
          <w:sz w:val="20"/>
          <w:szCs w:val="20"/>
          <w:color w:val="auto"/>
        </w:rPr>
      </w:pPr>
    </w:p>
    <w:p>
      <w:pPr>
        <w:ind w:left="1400" w:right="480" w:hanging="374"/>
        <w:spacing w:after="0" w:line="266" w:lineRule="auto"/>
        <w:tabs>
          <w:tab w:leader="none" w:pos="128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4"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1" w:lineRule="exact"/>
        <w:rPr>
          <w:sz w:val="20"/>
          <w:szCs w:val="20"/>
          <w:color w:val="auto"/>
        </w:rPr>
      </w:pPr>
    </w:p>
    <w:p>
      <w:pPr>
        <w:ind w:left="20"/>
        <w:spacing w:after="0"/>
        <w:tabs>
          <w:tab w:leader="none" w:pos="560" w:val="left"/>
          <w:tab w:leader="none" w:pos="6760" w:val="left"/>
          <w:tab w:leader="none" w:pos="8280" w:val="left"/>
        </w:tabs>
        <w:rPr>
          <w:sz w:val="20"/>
          <w:szCs w:val="20"/>
          <w:color w:val="auto"/>
        </w:rPr>
      </w:pPr>
      <w:r>
        <w:rPr>
          <w:rFonts w:ascii="Times New Roman" w:cs="Times New Roman" w:eastAsia="Times New Roman" w:hAnsi="Times New Roman"/>
          <w:sz w:val="18"/>
          <w:szCs w:val="18"/>
          <w:color w:val="auto"/>
        </w:rPr>
        <w:t>Date:</w:t>
        <w:tab/>
        <w:t>November 17,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Peter H. Stratton, Jr.</w:t>
      </w:r>
    </w:p>
    <w:p>
      <w:pPr>
        <w:spacing w:after="0" w:line="27"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spacing w:after="0" w:line="18"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7"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1)"/>
      <w:numFmt w:val="decimal"/>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1"/>
      <w:numFmt w:val="decimal"/>
      <w:start w:val="104"/>
    </w:lvl>
    <w:lvl w:ilvl="1">
      <w:lvlJc w:val="left"/>
      <w:lvlText w:val="*"/>
      <w:numFmt w:val="bullet"/>
      <w:start w:val="1"/>
    </w:lvl>
  </w:abstractNum>
  <w:abstractNum w:abstractNumId="7">
    <w:nsid w:val="75C6C33A"/>
    <w:multiLevelType w:val="hybridMultilevel"/>
    <w:lvl w:ilvl="0">
      <w:lvlJc w:val="left"/>
      <w:lvlText w:val="%1."/>
      <w:numFmt w:val="decimal"/>
      <w:start w:val="1"/>
    </w:lvl>
  </w:abstractNum>
  <w:abstractNum w:abstractNumId="8">
    <w:nsid w:val="12E685FB"/>
    <w:multiLevelType w:val="hybridMultilevel"/>
    <w:lvl w:ilvl="0">
      <w:lvlJc w:val="left"/>
      <w:lvlText w:val="%1."/>
      <w:numFmt w:val="decimal"/>
      <w:start w:val="2"/>
    </w:lvl>
  </w:abstractNum>
  <w:abstractNum w:abstractNumId="9">
    <w:nsid w:val="70C6A52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0">
    <w:nsid w:val="520EEDD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5"/>
    </w:lvl>
  </w:abstractNum>
  <w:abstractNum w:abstractNumId="11">
    <w:nsid w:val="374A3FE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2">
    <w:nsid w:val="4F4EF005"/>
    <w:multiLevelType w:val="hybridMultilevel"/>
    <w:lvl w:ilvl="0">
      <w:lvlJc w:val="left"/>
      <w:lvlText w:val="%1."/>
      <w:numFmt w:val="decimal"/>
      <w:start w:val="5"/>
    </w:lvl>
  </w:abstractNum>
  <w:abstractNum w:abstractNumId="13">
    <w:nsid w:val="23F9C13C"/>
    <w:multiLevelType w:val="hybridMultilevel"/>
    <w:lvl w:ilvl="0">
      <w:lvlJc w:val="left"/>
      <w:lvlText w:val="(%1)"/>
      <w:numFmt w:val="lowerLetter"/>
      <w:start w:val="1"/>
    </w:lvl>
  </w:abstractNum>
  <w:abstractNum w:abstractNumId="14">
    <w:nsid w:val="649BB77C"/>
    <w:multiLevelType w:val="hybridMultilevel"/>
    <w:lvl w:ilvl="0">
      <w:lvlJc w:val="left"/>
      <w:lvlText w:val="%1"/>
      <w:numFmt w:val="decimal"/>
      <w:start w:val="1"/>
    </w:lvl>
    <w:lvl w:ilvl="1">
      <w:lvlJc w:val="left"/>
      <w:lvlText w:val="(%2)"/>
      <w:numFmt w:val="lowerLetter"/>
      <w:start w:val="2"/>
    </w:lvl>
  </w:abstractNum>
  <w:abstractNum w:abstractNumId="15">
    <w:nsid w:val="275AC794"/>
    <w:multiLevelType w:val="hybridMultilevel"/>
    <w:lvl w:ilvl="0">
      <w:lvlJc w:val="left"/>
      <w:lvlText w:val="%1."/>
      <w:numFmt w:val="decimal"/>
      <w:start w:val="6"/>
    </w:lvl>
    <w:lvl w:ilvl="1">
      <w:lvlJc w:val="left"/>
      <w:lvlText w:val="%2"/>
      <w:numFmt w:val="lowerLetter"/>
      <w:start w:val="1"/>
    </w:lvl>
  </w:abstractNum>
  <w:abstractNum w:abstractNumId="16">
    <w:nsid w:val="39386575"/>
    <w:multiLevelType w:val="hybridMultilevel"/>
    <w:lvl w:ilvl="0">
      <w:lvlJc w:val="left"/>
      <w:lvlText w:val="(%1)"/>
      <w:numFmt w:val="lowerLetter"/>
      <w:start w:val="1"/>
    </w:lvl>
  </w:abstractNum>
  <w:abstractNum w:abstractNumId="17">
    <w:nsid w:val="1CF10FD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8">
    <w:nsid w:val="180115B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Roman"/>
      <w:start w:val="1"/>
    </w:lvl>
    <w:lvl w:ilvl="5">
      <w:lvlJc w:val="left"/>
      <w:lvlText w:val="(%6)"/>
      <w:numFmt w:val="lowerRoman"/>
      <w:start w:val="1"/>
    </w:lvl>
  </w:abstractNum>
  <w:abstractNum w:abstractNumId="19">
    <w:nsid w:val="235BA86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3"/>
    </w:lvl>
  </w:abstractNum>
  <w:abstractNum w:abstractNumId="20">
    <w:nsid w:val="47398C8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21">
    <w:nsid w:val="354FE9F9"/>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22">
    <w:nsid w:val="15B5AF5C"/>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23">
    <w:nsid w:val="741226BB"/>
    <w:multiLevelType w:val="hybridMultilevel"/>
    <w:lvl w:ilvl="0">
      <w:lvlJc w:val="left"/>
      <w:lvlText w:val="(%1)"/>
      <w:numFmt w:val="lowerLetter"/>
      <w:start w:val="6"/>
    </w:lvl>
  </w:abstractNum>
  <w:abstractNum w:abstractNumId="24">
    <w:nsid w:val="D34B6A8"/>
    <w:multiLevelType w:val="hybridMultilevel"/>
    <w:lvl w:ilvl="0">
      <w:lvlJc w:val="left"/>
      <w:lvlText w:val="(%1)"/>
      <w:numFmt w:val="lowerLetter"/>
      <w:start w:val="10"/>
    </w:lvl>
  </w:abstractNum>
  <w:abstractNum w:abstractNumId="25">
    <w:nsid w:val="10233C99"/>
    <w:multiLevelType w:val="hybridMultilevel"/>
    <w:lvl w:ilvl="0">
      <w:lvlJc w:val="left"/>
      <w:lvlText w:val="(%1)"/>
      <w:numFmt w:val="lowerLetter"/>
      <w:start w:val="11"/>
    </w:lvl>
  </w:abstractNum>
  <w:abstractNum w:abstractNumId="26">
    <w:nsid w:val="3F6AB60F"/>
    <w:multiLevelType w:val="hybridMultilevel"/>
    <w:lvl w:ilvl="0">
      <w:lvlJc w:val="left"/>
      <w:lvlText w:val="%1."/>
      <w:numFmt w:val="decimal"/>
      <w:start w:val="8"/>
    </w:lvl>
  </w:abstractNum>
  <w:abstractNum w:abstractNumId="27">
    <w:nsid w:val="61574095"/>
    <w:multiLevelType w:val="hybridMultilevel"/>
    <w:lvl w:ilvl="0">
      <w:lvlJc w:val="left"/>
      <w:lvlText w:val="(%1)"/>
      <w:numFmt w:val="lowerLetter"/>
      <w:start w:val="1"/>
    </w:lvl>
    <w:lvl w:ilvl="1">
      <w:lvlJc w:val="left"/>
      <w:lvlText w:val="(%2)"/>
      <w:numFmt w:val="lowerRoman"/>
      <w:start w:val="1"/>
    </w:lvl>
  </w:abstractNum>
  <w:abstractNum w:abstractNumId="28">
    <w:nsid w:val="7E0C57B1"/>
    <w:multiLevelType w:val="hybridMultilevel"/>
    <w:lvl w:ilvl="0">
      <w:lvlJc w:val="left"/>
      <w:lvlText w:val="(%1)"/>
      <w:numFmt w:val="lowerLetter"/>
      <w:start w:val="5"/>
    </w:lvl>
    <w:lvl w:ilvl="1">
      <w:lvlJc w:val="left"/>
      <w:lvlText w:val="(%2)"/>
      <w:numFmt w:val="lowerRoman"/>
      <w:start w:val="1"/>
    </w:lvl>
  </w:abstractNum>
  <w:abstractNum w:abstractNumId="29">
    <w:nsid w:val="77AE35EB"/>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30">
    <w:nsid w:val="579BE4F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1">
    <w:nsid w:val="310C50B3"/>
    <w:multiLevelType w:val="hybridMultilevel"/>
    <w:lvl w:ilvl="0">
      <w:lvlJc w:val="left"/>
      <w:lvlText w:val="(%1)"/>
      <w:numFmt w:val="lowerLetter"/>
      <w:start w:val="5"/>
    </w:lvl>
  </w:abstractNum>
  <w:abstractNum w:abstractNumId="32">
    <w:nsid w:val="5FF87E05"/>
    <w:multiLevelType w:val="hybridMultilevel"/>
    <w:lvl w:ilvl="0">
      <w:lvlJc w:val="left"/>
      <w:lvlText w:val="%1."/>
      <w:numFmt w:val="decimal"/>
      <w:start w:val="10"/>
    </w:lvl>
  </w:abstractNum>
  <w:abstractNum w:abstractNumId="33">
    <w:nsid w:val="2F305DEF"/>
    <w:multiLevelType w:val="hybridMultilevel"/>
    <w:lvl w:ilvl="0">
      <w:lvlJc w:val="left"/>
      <w:lvlText w:val="(%1)"/>
      <w:numFmt w:val="lowerLetter"/>
      <w:start w:val="1"/>
    </w:lvl>
  </w:abstractNum>
  <w:abstractNum w:abstractNumId="34">
    <w:nsid w:val="25A70BF7"/>
    <w:multiLevelType w:val="hybridMultilevel"/>
    <w:lvl w:ilvl="0">
      <w:lvlJc w:val="left"/>
      <w:lvlText w:val="%1."/>
      <w:numFmt w:val="decimal"/>
      <w:start w:val="11"/>
    </w:lvl>
  </w:abstractNum>
  <w:abstractNum w:abstractNumId="35">
    <w:nsid w:val="1DBABF00"/>
    <w:multiLevelType w:val="hybridMultilevel"/>
    <w:lvl w:ilvl="0">
      <w:lvlJc w:val="left"/>
      <w:lvlText w:val="%1"/>
      <w:numFmt w:val="lowerLetter"/>
      <w:start w:val="1"/>
    </w:lvl>
    <w:lvl w:ilvl="1">
      <w:lvlJc w:val="left"/>
      <w:lvlText w:val="(%2)"/>
      <w:numFmt w:val="lowerLetter"/>
      <w:start w:val="1"/>
    </w:lvl>
  </w:abstractNum>
  <w:abstractNum w:abstractNumId="36">
    <w:nsid w:val="4AD084E9"/>
    <w:multiLevelType w:val="hybridMultilevel"/>
    <w:lvl w:ilvl="0">
      <w:lvlJc w:val="left"/>
      <w:lvlText w:val="(%1)"/>
      <w:numFmt w:val="lowerLetter"/>
      <w:start w:val="2"/>
    </w:lvl>
    <w:lvl w:ilvl="1">
      <w:lvlJc w:val="left"/>
      <w:lvlText w:val="%2"/>
      <w:numFmt w:val="lowerLetter"/>
      <w:start w:val="1"/>
    </w:lvl>
  </w:abstractNum>
  <w:abstractNum w:abstractNumId="37">
    <w:nsid w:val="1F48EAA1"/>
    <w:multiLevelType w:val="hybridMultilevel"/>
    <w:lvl w:ilvl="0">
      <w:lvlJc w:val="left"/>
      <w:lvlText w:val="%1."/>
      <w:numFmt w:val="decimal"/>
      <w:start w:val="12"/>
    </w:lvl>
  </w:abstractNum>
  <w:abstractNum w:abstractNumId="38">
    <w:nsid w:val="1381823A"/>
    <w:multiLevelType w:val="hybridMultilevel"/>
    <w:lvl w:ilvl="0">
      <w:lvlJc w:val="left"/>
      <w:lvlText w:val="(%1)"/>
      <w:numFmt w:val="lowerLetter"/>
      <w:start w:val="1"/>
    </w:lvl>
  </w:abstractNum>
  <w:abstractNum w:abstractNumId="39">
    <w:nsid w:val="5DB70AE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40">
    <w:nsid w:val="100F8FC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1">
    <w:nsid w:val="6590700B"/>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42">
    <w:nsid w:val="15014ACB"/>
    <w:multiLevelType w:val="hybridMultilevel"/>
    <w:lvl w:ilvl="0">
      <w:lvlJc w:val="left"/>
      <w:lvlText w:val="%1."/>
      <w:numFmt w:val="decimal"/>
      <w:start w:val="13"/>
    </w:lvl>
  </w:abstractNum>
  <w:abstractNum w:abstractNumId="43">
    <w:nsid w:val="5F5E7FD0"/>
    <w:multiLevelType w:val="hybridMultilevel"/>
    <w:lvl w:ilvl="0">
      <w:lvlJc w:val="left"/>
      <w:lvlText w:val="%1."/>
      <w:numFmt w:val="decimal"/>
      <w:start w:val="14"/>
    </w:lvl>
  </w:abstractNum>
  <w:abstractNum w:abstractNumId="44">
    <w:nsid w:val="98A3148"/>
    <w:multiLevelType w:val="hybridMultilevel"/>
    <w:lvl w:ilvl="0">
      <w:lvlJc w:val="left"/>
      <w:lvlText w:val="%1."/>
      <w:numFmt w:val="decimal"/>
      <w:start w:val="15"/>
    </w:lvl>
  </w:abstractNum>
  <w:abstractNum w:abstractNumId="45">
    <w:nsid w:val="799D0247"/>
    <w:multiLevelType w:val="hybridMultilevel"/>
    <w:lvl w:ilvl="0">
      <w:lvlJc w:val="left"/>
      <w:lvlText w:val="%1."/>
      <w:numFmt w:val="decimal"/>
      <w:start w:val="16"/>
    </w:lvl>
  </w:abstractNum>
  <w:abstractNum w:abstractNumId="46">
    <w:nsid w:val="6B94764"/>
    <w:multiLevelType w:val="hybridMultilevel"/>
    <w:lvl w:ilvl="0">
      <w:lvlJc w:val="left"/>
      <w:lvlText w:val="%1."/>
      <w:numFmt w:val="decimal"/>
      <w:start w:val="17"/>
    </w:lvl>
  </w:abstractNum>
  <w:abstractNum w:abstractNumId="47">
    <w:nsid w:val="42C296BD"/>
    <w:multiLevelType w:val="hybridMultilevel"/>
    <w:lvl w:ilvl="0">
      <w:lvlJc w:val="left"/>
      <w:lvlText w:val="%1."/>
      <w:numFmt w:val="decimal"/>
      <w:start w:val="18"/>
    </w:lvl>
  </w:abstractNum>
  <w:abstractNum w:abstractNumId="48">
    <w:nsid w:val="168E121F"/>
    <w:multiLevelType w:val="hybridMultilevel"/>
    <w:lvl w:ilvl="0">
      <w:lvlJc w:val="left"/>
      <w:lvlText w:val="%1."/>
      <w:numFmt w:val="decimal"/>
      <w:start w:val="19"/>
    </w:lvl>
  </w:abstractNum>
  <w:abstractNum w:abstractNumId="49">
    <w:nsid w:val="1EBA5D23"/>
    <w:multiLevelType w:val="hybridMultilevel"/>
    <w:lvl w:ilvl="0">
      <w:lvlJc w:val="left"/>
      <w:lvlText w:val="%1."/>
      <w:numFmt w:val="decimal"/>
      <w:start w:val="20"/>
    </w:lvl>
  </w:abstractNum>
  <w:abstractNum w:abstractNumId="50">
    <w:nsid w:val="661E3F1E"/>
    <w:multiLevelType w:val="hybridMultilevel"/>
    <w:lvl w:ilvl="0">
      <w:lvlJc w:val="left"/>
      <w:lvlText w:val="%1."/>
      <w:numFmt w:val="decimal"/>
      <w:start w:val="21"/>
    </w:lvl>
  </w:abstractNum>
  <w:abstractNum w:abstractNumId="51">
    <w:nsid w:val="5DC79EA8"/>
    <w:multiLevelType w:val="hybridMultilevel"/>
    <w:lvl w:ilvl="0">
      <w:lvlJc w:val="left"/>
      <w:lvlText w:val="%1."/>
      <w:numFmt w:val="decimal"/>
      <w:start w:val="22"/>
    </w:lvl>
  </w:abstractNum>
  <w:abstractNum w:abstractNumId="52">
    <w:nsid w:val="540A471C"/>
    <w:multiLevelType w:val="hybridMultilevel"/>
    <w:lvl w:ilvl="0">
      <w:lvlJc w:val="left"/>
      <w:lvlText w:val="%1."/>
      <w:numFmt w:val="decimal"/>
      <w:start w:val="23"/>
    </w:lvl>
  </w:abstractNum>
  <w:abstractNum w:abstractNumId="53">
    <w:nsid w:val="7BD3EE7B"/>
    <w:multiLevelType w:val="hybridMultilevel"/>
    <w:lvl w:ilvl="0">
      <w:lvlJc w:val="left"/>
      <w:lvlText w:val="%1."/>
      <w:numFmt w:val="decimal"/>
      <w:start w:val="24"/>
    </w:lvl>
    <w:lvl w:ilvl="1">
      <w:lvlJc w:val="left"/>
      <w:lvlText w:val="(%2)"/>
      <w:numFmt w:val="lowerLetter"/>
      <w:start w:val="1"/>
    </w:lvl>
  </w:abstractNum>
  <w:abstractNum w:abstractNumId="54">
    <w:nsid w:val="51D9C564"/>
    <w:multiLevelType w:val="hybridMultilevel"/>
    <w:lvl w:ilvl="0">
      <w:lvlJc w:val="left"/>
      <w:lvlText w:val="%1."/>
      <w:numFmt w:val="decimal"/>
      <w:start w:val="26"/>
    </w:lvl>
  </w:abstractNum>
  <w:abstractNum w:abstractNumId="55">
    <w:nsid w:val="613EFDC5"/>
    <w:multiLevelType w:val="hybridMultilevel"/>
    <w:lvl w:ilvl="0">
      <w:lvlJc w:val="left"/>
      <w:lvlText w:val="%1."/>
      <w:numFmt w:val="decimal"/>
      <w:start w:val="1"/>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1."/>
      <w:numFmt w:val="decimal"/>
      <w:start w:val="3"/>
    </w:lvl>
  </w:abstractNum>
  <w:abstractNum w:abstractNumId="58">
    <w:nsid w:val="42963E5A"/>
    <w:multiLevelType w:val="hybridMultilevel"/>
    <w:lvl w:ilvl="0">
      <w:lvlJc w:val="left"/>
      <w:lvlText w:val="(%1)"/>
      <w:numFmt w:val="lowerLetter"/>
      <w:start w:val="1"/>
    </w:lvl>
  </w:abstractNum>
  <w:abstractNum w:abstractNumId="59">
    <w:nsid w:val="A0382C5"/>
    <w:multiLevelType w:val="hybridMultilevel"/>
    <w:lvl w:ilvl="0">
      <w:lvlJc w:val="left"/>
      <w:lvlText w:val="%1"/>
      <w:numFmt w:val="lowerLetter"/>
      <w:start w:val="1"/>
    </w:lvl>
    <w:lvl w:ilvl="1">
      <w:lvlJc w:val="left"/>
      <w:lvlText w:val="(%2)"/>
      <w:numFmt w:val="lowerLetter"/>
      <w:start w:val="2"/>
    </w:lvl>
  </w:abstractNum>
  <w:abstractNum w:abstractNumId="60">
    <w:nsid w:val="8F2B15E"/>
    <w:multiLevelType w:val="hybridMultilevel"/>
    <w:lvl w:ilvl="0">
      <w:lvlJc w:val="left"/>
      <w:lvlText w:val="(%1)"/>
      <w:numFmt w:val="lowerLetter"/>
      <w:start w:val="3"/>
    </w:lvl>
    <w:lvl w:ilvl="1">
      <w:lvlJc w:val="left"/>
      <w:lvlText w:val="%2"/>
      <w:numFmt w:val="lowerLetter"/>
      <w:start w:val="1"/>
    </w:lvl>
  </w:abstractNum>
  <w:abstractNum w:abstractNumId="61">
    <w:nsid w:val="1A32234B"/>
    <w:multiLevelType w:val="hybridMultilevel"/>
    <w:lvl w:ilvl="0">
      <w:lvlJc w:val="left"/>
      <w:lvlText w:val="%1."/>
      <w:numFmt w:val="decimal"/>
      <w:start w:val="4"/>
    </w:lvl>
  </w:abstractNum>
  <w:abstractNum w:abstractNumId="62">
    <w:nsid w:val="3B0FD379"/>
    <w:multiLevelType w:val="hybridMultilevel"/>
    <w:lvl w:ilvl="0">
      <w:lvlJc w:val="left"/>
      <w:lvlText w:val="%1"/>
      <w:numFmt w:val="lowerLetter"/>
      <w:start w:val="1"/>
    </w:lvl>
    <w:lvl w:ilvl="1">
      <w:lvlJc w:val="left"/>
      <w:lvlText w:val="(%2)"/>
      <w:numFmt w:val="lowerLetter"/>
      <w:start w:val="1"/>
    </w:lvl>
  </w:abstractNum>
  <w:abstractNum w:abstractNumId="63">
    <w:nsid w:val="68EB2F63"/>
    <w:multiLevelType w:val="hybridMultilevel"/>
    <w:lvl w:ilvl="0">
      <w:lvlJc w:val="left"/>
      <w:lvlText w:val="(%1)"/>
      <w:numFmt w:val="lowerLetter"/>
      <w:start w:val="2"/>
    </w:lvl>
    <w:lvl w:ilvl="1">
      <w:lvlJc w:val="left"/>
      <w:lvlText w:val="%2"/>
      <w:numFmt w:val="lowerLetter"/>
      <w:start w:val="1"/>
    </w:lvl>
  </w:abstractNum>
  <w:abstractNum w:abstractNumId="64">
    <w:nsid w:val="4962813B"/>
    <w:multiLevelType w:val="hybridMultilevel"/>
    <w:lvl w:ilvl="0">
      <w:lvlJc w:val="left"/>
      <w:lvlText w:val="%1."/>
      <w:numFmt w:val="decimal"/>
      <w:start w:val="5"/>
    </w:lvl>
  </w:abstractNum>
  <w:abstractNum w:abstractNumId="65">
    <w:nsid w:val="60B6DF70"/>
    <w:multiLevelType w:val="hybridMultilevel"/>
    <w:lvl w:ilvl="0">
      <w:lvlJc w:val="left"/>
      <w:lvlText w:val="(%1)"/>
      <w:numFmt w:val="lowerLetter"/>
      <w:start w:val="1"/>
    </w:lvl>
  </w:abstractNum>
  <w:abstractNum w:abstractNumId="66">
    <w:nsid w:val="6A5EE64"/>
    <w:multiLevelType w:val="hybridMultilevel"/>
    <w:lvl w:ilvl="0">
      <w:lvlJc w:val="left"/>
      <w:lvlText w:val="%1."/>
      <w:numFmt w:val="decimal"/>
      <w:start w:val="6"/>
    </w:lvl>
  </w:abstractNum>
  <w:abstractNum w:abstractNumId="67">
    <w:nsid w:val="14330624"/>
    <w:multiLevelType w:val="hybridMultilevel"/>
    <w:lvl w:ilvl="0">
      <w:lvlJc w:val="left"/>
      <w:lvlText w:val="%1."/>
      <w:numFmt w:val="decimal"/>
      <w:start w:val="7"/>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lowerLetter"/>
      <w:start w:val="2"/>
    </w:lvl>
    <w:lvl w:ilvl="1">
      <w:lvlJc w:val="left"/>
      <w:lvlText w:val="(%2)"/>
      <w:numFmt w:val="lowerRoman"/>
      <w:start w:val="1"/>
    </w:lvl>
  </w:abstractNum>
  <w:abstractNum w:abstractNumId="70">
    <w:nsid w:val="71EA1109"/>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71">
    <w:nsid w:val="100F59DC"/>
    <w:multiLevelType w:val="hybridMultilevel"/>
    <w:lvl w:ilvl="0">
      <w:lvlJc w:val="left"/>
      <w:lvlText w:val="(%1)"/>
      <w:numFmt w:val="lowerLetter"/>
      <w:start w:val="1"/>
    </w:lvl>
  </w:abstractNum>
  <w:abstractNum w:abstractNumId="72">
    <w:nsid w:val="7FB7E0AA"/>
    <w:multiLevelType w:val="hybridMultilevel"/>
    <w:lvl w:ilvl="0">
      <w:lvlJc w:val="left"/>
      <w:lvlText w:val="(%1)"/>
      <w:numFmt w:val="lowerLetter"/>
      <w:start w:val="1"/>
    </w:lvl>
  </w:abstractNum>
  <w:abstractNum w:abstractNumId="73">
    <w:nsid w:val="6EB5BD4"/>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1)"/>
      <w:numFmt w:val="lowerLetter"/>
      <w:start w:val="2"/>
    </w:lvl>
  </w:abstractNum>
  <w:abstractNum w:abstractNumId="76">
    <w:nsid w:val="885E1B"/>
    <w:multiLevelType w:val="hybridMultilevel"/>
    <w:lvl w:ilvl="0">
      <w:lvlJc w:val="left"/>
      <w:lvlText w:val="(%1)"/>
      <w:numFmt w:val="lowerLetter"/>
      <w:start w:val="7"/>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lowerLetter"/>
      <w:start w:val="8"/>
    </w:lvl>
  </w:abstractNum>
  <w:abstractNum w:abstractNumId="79">
    <w:nsid w:val="1716703B"/>
    <w:multiLevelType w:val="hybridMultilevel"/>
    <w:lvl w:ilvl="0">
      <w:lvlJc w:val="left"/>
      <w:lvlText w:val="(%1)"/>
      <w:numFmt w:val="lowerLetter"/>
      <w:start w:val="10"/>
    </w:lvl>
  </w:abstractNum>
  <w:abstractNum w:abstractNumId="80">
    <w:nsid w:val="14E17E33"/>
    <w:multiLevelType w:val="hybridMultilevel"/>
    <w:lvl w:ilvl="0">
      <w:lvlJc w:val="left"/>
      <w:lvlText w:val="(%1)"/>
      <w:numFmt w:val="lowerLetter"/>
      <w:start w:val="1"/>
    </w:lvl>
  </w:abstractNum>
  <w:abstractNum w:abstractNumId="81">
    <w:nsid w:val="3222E7CD"/>
    <w:multiLevelType w:val="hybridMultilevel"/>
    <w:lvl w:ilvl="0">
      <w:lvlJc w:val="left"/>
      <w:lvlText w:val="(%1)"/>
      <w:numFmt w:val="lowerLetter"/>
      <w:start w:val="2"/>
    </w:lvl>
    <w:lvl w:ilvl="1">
      <w:lvlJc w:val="left"/>
      <w:lvlText w:val="(%2)"/>
      <w:numFmt w:val="lowerLetter"/>
      <w:start w:val="9"/>
    </w:lvl>
  </w:abstractNum>
  <w:abstractNum w:abstractNumId="82">
    <w:nsid w:val="74DE0EE3"/>
    <w:multiLevelType w:val="hybridMultilevel"/>
    <w:lvl w:ilvl="0">
      <w:lvlJc w:val="left"/>
      <w:lvlText w:val="(%1)"/>
      <w:numFmt w:val="lowerRoman"/>
      <w:start w:val="2"/>
    </w:lvl>
  </w:abstractNum>
  <w:abstractNum w:abstractNumId="83">
    <w:nsid w:val="68EBC550"/>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84">
    <w:nsid w:val="2DF6D648"/>
    <w:multiLevelType w:val="hybridMultilevel"/>
    <w:lvl w:ilvl="0">
      <w:lvlJc w:val="left"/>
      <w:lvlText w:val="(%1)"/>
      <w:numFmt w:val="lowerLetter"/>
      <w:start w:val="1"/>
    </w:lvl>
  </w:abstractNum>
  <w:abstractNum w:abstractNumId="85">
    <w:nsid w:val="46B7D447"/>
    <w:multiLevelType w:val="hybridMultilevel"/>
    <w:lvl w:ilvl="0">
      <w:lvlJc w:val="left"/>
      <w:lvlText w:val="(%1)"/>
      <w:numFmt w:val="lowerLetter"/>
      <w:start w:val="1"/>
    </w:lvl>
  </w:abstractNum>
  <w:abstractNum w:abstractNumId="86">
    <w:nsid w:val="4A2AC315"/>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87">
    <w:nsid w:val="39EE015C"/>
    <w:multiLevelType w:val="hybridMultilevel"/>
    <w:lvl w:ilvl="0">
      <w:lvlJc w:val="left"/>
      <w:lvlText w:val="(%1)"/>
      <w:numFmt w:val="lowerLetter"/>
      <w:start w:val="1"/>
    </w:lvl>
  </w:abstractNum>
  <w:abstractNum w:abstractNumId="88">
    <w:nsid w:val="57FC4FBB"/>
    <w:multiLevelType w:val="hybridMultilevel"/>
    <w:lvl w:ilvl="0">
      <w:lvlJc w:val="left"/>
      <w:lvlText w:val="(%1)"/>
      <w:numFmt w:val="lowerLetter"/>
      <w:start w:val="3"/>
    </w:lvl>
  </w:abstractNum>
  <w:abstractNum w:abstractNumId="89">
    <w:nsid w:val="CC1016F"/>
    <w:multiLevelType w:val="hybridMultilevel"/>
    <w:lvl w:ilvl="0">
      <w:lvlJc w:val="left"/>
      <w:lvlText w:val="(%1)"/>
      <w:numFmt w:val="lowerLetter"/>
      <w:start w:val="7"/>
    </w:lvl>
  </w:abstractNum>
  <w:abstractNum w:abstractNumId="90">
    <w:nsid w:val="43F18422"/>
    <w:multiLevelType w:val="hybridMultilevel"/>
    <w:lvl w:ilvl="0">
      <w:lvlJc w:val="left"/>
      <w:lvlText w:val="(%1)"/>
      <w:numFmt w:val="lowerLetter"/>
      <w:start w:val="1"/>
    </w:lvl>
  </w:abstractNum>
  <w:abstractNum w:abstractNumId="91">
    <w:nsid w:val="60EF0119"/>
    <w:multiLevelType w:val="hybridMultilevel"/>
    <w:lvl w:ilvl="0">
      <w:lvlJc w:val="left"/>
      <w:lvlText w:val="(%1)"/>
      <w:numFmt w:val="lowerLetter"/>
      <w:start w:val="8"/>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2022-11-17T13:33:42Z</dcterms:created>
  <dcterms:modified xsi:type="dcterms:W3CDTF">2022-11-17T13:33:42Z</dcterms:modified>
</cp:coreProperties>
</file>