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13D/A</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(Amendment No. 3)</w:t>
      </w:r>
      <w:r>
        <w:rPr>
          <w:rFonts w:ascii="Arial" w:cs="Arial" w:eastAsia="Arial" w:hAnsi="Arial"/>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9"/>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Red Mountain Capital Partners LLC</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Attn: Willem Mesdag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10100 Santa Monica Boulevard, Suite 925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Los Angeles, California 90067</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(310) 432-0200</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January 29, 2014</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56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Rule 13d-1(e), 13d-1(f) or 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3" w:lineRule="exact"/>
        <w:rPr>
          <w:sz w:val="24"/>
          <w:szCs w:val="24"/>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Rule 13d-7 for other parties to</w:t>
      </w:r>
      <w:r>
        <w:rPr>
          <w:rFonts w:ascii="Arial" w:cs="Arial" w:eastAsia="Arial" w:hAnsi="Arial"/>
          <w:sz w:val="18"/>
          <w:szCs w:val="18"/>
          <w:b w:val="1"/>
          <w:bCs w:val="1"/>
          <w:color w:val="auto"/>
        </w:rPr>
        <w:t xml:space="preserve"> </w:t>
      </w:r>
      <w:r>
        <w:rPr>
          <w:rFonts w:ascii="Arial" w:cs="Arial" w:eastAsia="Arial" w:hAnsi="Arial"/>
          <w:sz w:val="18"/>
          <w:szCs w:val="18"/>
          <w:color w:val="auto"/>
        </w:rPr>
        <w:t>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37465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08" w:lineRule="exact"/>
        <w:rPr>
          <w:sz w:val="24"/>
          <w:szCs w:val="24"/>
          <w:color w:val="auto"/>
        </w:rPr>
      </w:pPr>
    </w:p>
    <w:p>
      <w:pPr>
        <w:ind w:left="460" w:right="120" w:hanging="452"/>
        <w:spacing w:after="0" w:line="277"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ind w:firstLine="456"/>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149860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193040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517" w:right="259" w:bottom="1440" w:gutter="0" w:footer="0" w:header="0"/>
        </w:sectPr>
      </w:pPr>
    </w:p>
    <w:bookmarkStart w:id="1" w:name="page2"/>
    <w:bookmarkEnd w:id="1"/>
    <w:p>
      <w:pPr>
        <w:spacing w:after="0"/>
        <w:tabs>
          <w:tab w:leader="none" w:pos="502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2 OF 10 PAGES</w:t>
      </w:r>
    </w:p>
    <w:p>
      <w:pPr>
        <w:spacing w:after="0" w:line="140" w:lineRule="exact"/>
        <w:rPr>
          <w:sz w:val="20"/>
          <w:szCs w:val="20"/>
          <w:color w:val="auto"/>
        </w:rPr>
      </w:pPr>
    </w:p>
    <w:p>
      <w:pPr>
        <w:ind w:left="920" w:hanging="665"/>
        <w:spacing w:after="0"/>
        <w:tabs>
          <w:tab w:leader="none" w:pos="9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3119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4875" cy="6311900"/>
                    </a:xfrm>
                    <a:prstGeom prst="rect">
                      <a:avLst/>
                    </a:prstGeom>
                    <a:noFill/>
                  </pic:spPr>
                </pic:pic>
              </a:graphicData>
            </a:graphic>
          </wp:anchor>
        </w:drawing>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275"/>
        </w:trPr>
        <w:tc>
          <w:tcPr>
            <w:tcW w:w="3720" w:type="dxa"/>
            <w:vAlign w:val="bottom"/>
          </w:tcPr>
          <w:p>
            <w:pPr>
              <w:spacing w:after="0"/>
              <w:rPr>
                <w:sz w:val="20"/>
                <w:szCs w:val="20"/>
                <w:color w:val="auto"/>
              </w:rPr>
            </w:pPr>
            <w:r>
              <w:rPr>
                <w:rFonts w:ascii="Arial" w:cs="Arial" w:eastAsia="Arial" w:hAnsi="Arial"/>
                <w:sz w:val="22"/>
                <w:szCs w:val="22"/>
                <w:color w:val="auto"/>
              </w:rPr>
              <w:t>Red Mountain Capital Partners LLC</w:t>
            </w:r>
          </w:p>
        </w:tc>
        <w:tc>
          <w:tcPr>
            <w:tcW w:w="1620" w:type="dxa"/>
            <w:vAlign w:val="bottom"/>
          </w:tcPr>
          <w:p>
            <w:pPr>
              <w:jc w:val="right"/>
              <w:spacing w:after="0"/>
              <w:rPr>
                <w:sz w:val="20"/>
                <w:szCs w:val="20"/>
                <w:color w:val="auto"/>
              </w:rPr>
            </w:pPr>
            <w:r>
              <w:rPr>
                <w:rFonts w:ascii="Arial" w:cs="Arial" w:eastAsia="Arial" w:hAnsi="Arial"/>
                <w:sz w:val="22"/>
                <w:szCs w:val="22"/>
                <w:color w:val="auto"/>
              </w:rPr>
              <w:t>73-1726370</w:t>
            </w:r>
          </w:p>
        </w:tc>
      </w:tr>
    </w:tbl>
    <w:p>
      <w:pPr>
        <w:ind w:left="920" w:hanging="665"/>
        <w:spacing w:after="0"/>
        <w:tabs>
          <w:tab w:leader="none" w:pos="9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6" w:lineRule="exact"/>
        <w:rPr>
          <w:sz w:val="20"/>
          <w:szCs w:val="20"/>
          <w:color w:val="auto"/>
        </w:rPr>
      </w:pPr>
    </w:p>
    <w:p>
      <w:pPr>
        <w:ind w:left="920"/>
        <w:spacing w:after="0" w:line="253" w:lineRule="exact"/>
        <w:tabs>
          <w:tab w:leader="none" w:pos="1880" w:val="left"/>
        </w:tabs>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r>
        <w:rPr>
          <w:sz w:val="20"/>
          <w:szCs w:val="20"/>
          <w:color w:val="auto"/>
        </w:rPr>
        <w:tab/>
      </w:r>
      <w:r>
        <w:rPr>
          <w:rFonts w:ascii="Arial" w:cs="Arial" w:eastAsia="Arial" w:hAnsi="Arial"/>
          <w:sz w:val="21"/>
          <w:szCs w:val="21"/>
          <w:color w:val="auto"/>
        </w:rPr>
        <w:t xml:space="preserve">(b) </w:t>
      </w:r>
      <w:r>
        <w:rPr>
          <w:rFonts w:ascii="MS PGothic" w:cs="MS PGothic" w:eastAsia="MS PGothic" w:hAnsi="MS PGothic"/>
          <w:sz w:val="21"/>
          <w:szCs w:val="21"/>
          <w:color w:val="auto"/>
        </w:rPr>
        <w:t>☒</w:t>
      </w:r>
    </w:p>
    <w:p>
      <w:pPr>
        <w:spacing w:after="0" w:line="255" w:lineRule="exact"/>
        <w:rPr>
          <w:sz w:val="20"/>
          <w:szCs w:val="20"/>
          <w:color w:val="auto"/>
        </w:rPr>
      </w:pPr>
    </w:p>
    <w:p>
      <w:pPr>
        <w:ind w:left="920" w:hanging="665"/>
        <w:spacing w:after="0"/>
        <w:tabs>
          <w:tab w:leader="none" w:pos="92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920" w:hanging="665"/>
        <w:spacing w:after="0"/>
        <w:tabs>
          <w:tab w:leader="none" w:pos="9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920"/>
        <w:spacing w:after="0"/>
        <w:tabs>
          <w:tab w:leader="none" w:pos="2320" w:val="left"/>
        </w:tabs>
        <w:rPr>
          <w:sz w:val="20"/>
          <w:szCs w:val="20"/>
          <w:color w:val="auto"/>
        </w:rPr>
      </w:pPr>
      <w:r>
        <w:rPr>
          <w:rFonts w:ascii="Arial" w:cs="Arial" w:eastAsia="Arial" w:hAnsi="Arial"/>
          <w:sz w:val="22"/>
          <w:szCs w:val="22"/>
          <w:color w:val="auto"/>
        </w:rPr>
        <w:t>AF</w:t>
      </w:r>
      <w:r>
        <w:rPr>
          <w:sz w:val="20"/>
          <w:szCs w:val="20"/>
          <w:color w:val="auto"/>
        </w:rPr>
        <w:tab/>
      </w:r>
      <w:r>
        <w:rPr>
          <w:rFonts w:ascii="Arial" w:cs="Arial" w:eastAsia="Arial" w:hAnsi="Arial"/>
          <w:sz w:val="22"/>
          <w:szCs w:val="22"/>
          <w:color w:val="auto"/>
        </w:rPr>
        <w:t>(See Item 3)</w:t>
      </w:r>
    </w:p>
    <w:p>
      <w:pPr>
        <w:spacing w:after="0" w:line="22" w:lineRule="exact"/>
        <w:rPr>
          <w:sz w:val="20"/>
          <w:szCs w:val="20"/>
          <w:color w:val="auto"/>
        </w:rPr>
      </w:pPr>
    </w:p>
    <w:p>
      <w:pPr>
        <w:ind w:left="920" w:hanging="665"/>
        <w:spacing w:after="0"/>
        <w:tabs>
          <w:tab w:leader="none" w:pos="9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w:t>
      </w:r>
    </w:p>
    <w:p>
      <w:pPr>
        <w:spacing w:after="0" w:line="200" w:lineRule="exact"/>
        <w:rPr>
          <w:sz w:val="20"/>
          <w:szCs w:val="20"/>
          <w:color w:val="auto"/>
        </w:rPr>
      </w:pPr>
    </w:p>
    <w:p>
      <w:pPr>
        <w:spacing w:after="0" w:line="294" w:lineRule="exact"/>
        <w:rPr>
          <w:sz w:val="20"/>
          <w:szCs w:val="20"/>
          <w:color w:val="auto"/>
        </w:rPr>
      </w:pPr>
    </w:p>
    <w:p>
      <w:pPr>
        <w:ind w:left="920" w:hanging="665"/>
        <w:spacing w:after="0"/>
        <w:tabs>
          <w:tab w:leader="none" w:pos="9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p>
      <w:pPr>
        <w:ind w:left="2120" w:hanging="347"/>
        <w:spacing w:after="0"/>
        <w:tabs>
          <w:tab w:leader="none" w:pos="21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spacing w:after="0"/>
              <w:rPr>
                <w:sz w:val="21"/>
                <w:szCs w:val="21"/>
                <w:color w:val="auto"/>
              </w:rPr>
            </w:pPr>
          </w:p>
        </w:tc>
        <w:tc>
          <w:tcPr>
            <w:tcW w:w="1620" w:type="dxa"/>
            <w:vAlign w:val="bottom"/>
            <w:gridSpan w:val="2"/>
          </w:tcPr>
          <w:p>
            <w:pPr>
              <w:ind w:left="80"/>
              <w:spacing w:after="0"/>
              <w:rPr>
                <w:sz w:val="20"/>
                <w:szCs w:val="20"/>
                <w:color w:val="auto"/>
              </w:rPr>
            </w:pPr>
            <w:r>
              <w:rPr>
                <w:rFonts w:ascii="Arial" w:cs="Arial" w:eastAsia="Arial" w:hAnsi="Arial"/>
                <w:sz w:val="22"/>
                <w:szCs w:val="22"/>
                <w:color w:val="auto"/>
                <w:w w:val="89"/>
              </w:rPr>
              <w:t>4,838,054 shares</w:t>
            </w:r>
          </w:p>
        </w:tc>
        <w:tc>
          <w:tcPr>
            <w:tcW w:w="5340" w:type="dxa"/>
            <w:vAlign w:val="bottom"/>
          </w:tcPr>
          <w:p>
            <w:pPr>
              <w:ind w:left="1060"/>
              <w:spacing w:after="0"/>
              <w:rPr>
                <w:sz w:val="20"/>
                <w:szCs w:val="20"/>
                <w:color w:val="auto"/>
              </w:rPr>
            </w:pPr>
            <w:r>
              <w:rPr>
                <w:rFonts w:ascii="Arial" w:cs="Arial" w:eastAsia="Arial" w:hAnsi="Arial"/>
                <w:sz w:val="22"/>
                <w:szCs w:val="22"/>
                <w:color w:val="auto"/>
              </w:rPr>
              <w:t>(See Item 5)</w:t>
            </w:r>
          </w:p>
        </w:tc>
        <w:tc>
          <w:tcPr>
            <w:tcW w:w="2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480" w:type="dxa"/>
            <w:vAlign w:val="bottom"/>
          </w:tcPr>
          <w:p>
            <w:pPr>
              <w:spacing w:after="0"/>
              <w:rPr>
                <w:sz w:val="3"/>
                <w:szCs w:val="3"/>
                <w:color w:val="auto"/>
              </w:rPr>
            </w:pPr>
          </w:p>
        </w:tc>
        <w:tc>
          <w:tcPr>
            <w:tcW w:w="1100" w:type="dxa"/>
            <w:vAlign w:val="bottom"/>
            <w:vMerge w:val="restart"/>
          </w:tcPr>
          <w:p>
            <w:pPr>
              <w:jc w:val="center"/>
              <w:ind w:right="208"/>
              <w:spacing w:after="0"/>
              <w:rPr>
                <w:sz w:val="20"/>
                <w:szCs w:val="20"/>
                <w:color w:val="auto"/>
              </w:rPr>
            </w:pPr>
            <w:r>
              <w:rPr>
                <w:rFonts w:ascii="Arial" w:cs="Arial" w:eastAsia="Arial" w:hAnsi="Arial"/>
                <w:sz w:val="18"/>
                <w:szCs w:val="18"/>
                <w:b w:val="1"/>
                <w:bCs w:val="1"/>
                <w:color w:val="auto"/>
                <w:w w:val="95"/>
              </w:rPr>
              <w:t>SHARES</w:t>
            </w:r>
          </w:p>
        </w:tc>
        <w:tc>
          <w:tcPr>
            <w:tcW w:w="460" w:type="dxa"/>
            <w:vAlign w:val="bottom"/>
            <w:tcBorders>
              <w:bottom w:val="single" w:sz="8" w:color="auto"/>
            </w:tcBorders>
          </w:tcPr>
          <w:p>
            <w:pPr>
              <w:spacing w:after="0"/>
              <w:rPr>
                <w:sz w:val="3"/>
                <w:szCs w:val="3"/>
                <w:color w:val="auto"/>
              </w:rPr>
            </w:pPr>
          </w:p>
        </w:tc>
        <w:tc>
          <w:tcPr>
            <w:tcW w:w="6960" w:type="dxa"/>
            <w:vAlign w:val="bottom"/>
            <w:tcBorders>
              <w:bottom w:val="single" w:sz="8" w:color="auto"/>
            </w:tcBorders>
            <w:gridSpan w:val="3"/>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460" w:type="dxa"/>
            <w:vAlign w:val="bottom"/>
          </w:tcPr>
          <w:p>
            <w:pPr>
              <w:ind w:left="200"/>
              <w:spacing w:after="0" w:line="156" w:lineRule="exact"/>
              <w:rPr>
                <w:sz w:val="20"/>
                <w:szCs w:val="20"/>
                <w:color w:val="auto"/>
              </w:rPr>
            </w:pPr>
            <w:r>
              <w:rPr>
                <w:rFonts w:ascii="Arial" w:cs="Arial" w:eastAsia="Arial" w:hAnsi="Arial"/>
                <w:sz w:val="18"/>
                <w:szCs w:val="18"/>
                <w:b w:val="1"/>
                <w:bCs w:val="1"/>
                <w:color w:val="auto"/>
              </w:rPr>
              <w:t>8</w:t>
            </w:r>
          </w:p>
        </w:tc>
        <w:tc>
          <w:tcPr>
            <w:tcW w:w="6960" w:type="dxa"/>
            <w:vAlign w:val="bottom"/>
            <w:gridSpan w:val="3"/>
          </w:tcPr>
          <w:p>
            <w:pPr>
              <w:ind w:left="80"/>
              <w:spacing w:after="0" w:line="156" w:lineRule="exact"/>
              <w:rPr>
                <w:sz w:val="20"/>
                <w:szCs w:val="20"/>
                <w:color w:val="auto"/>
              </w:rPr>
            </w:pPr>
            <w:r>
              <w:rPr>
                <w:rFonts w:ascii="Arial" w:cs="Arial" w:eastAsia="Arial" w:hAnsi="Arial"/>
                <w:sz w:val="18"/>
                <w:szCs w:val="18"/>
                <w:b w:val="1"/>
                <w:bCs w:val="1"/>
                <w:color w:val="auto"/>
              </w:rPr>
              <w:t>SHARED VOTING POWER</w:t>
            </w: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58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rPr>
              <w:t>OWNED BY</w:t>
            </w:r>
          </w:p>
        </w:tc>
        <w:tc>
          <w:tcPr>
            <w:tcW w:w="460" w:type="dxa"/>
            <w:vAlign w:val="bottom"/>
          </w:tcPr>
          <w:p>
            <w:pPr>
              <w:spacing w:after="0"/>
              <w:rPr>
                <w:sz w:val="18"/>
                <w:szCs w:val="18"/>
                <w:color w:val="auto"/>
              </w:rPr>
            </w:pPr>
          </w:p>
        </w:tc>
        <w:tc>
          <w:tcPr>
            <w:tcW w:w="1020" w:type="dxa"/>
            <w:vAlign w:val="bottom"/>
            <w:vMerge w:val="restart"/>
          </w:tcPr>
          <w:p>
            <w:pPr>
              <w:ind w:left="80"/>
              <w:spacing w:after="0"/>
              <w:rPr>
                <w:sz w:val="20"/>
                <w:szCs w:val="20"/>
                <w:color w:val="auto"/>
              </w:rPr>
            </w:pPr>
            <w:r>
              <w:rPr>
                <w:rFonts w:ascii="Arial" w:cs="Arial" w:eastAsia="Arial" w:hAnsi="Arial"/>
                <w:sz w:val="22"/>
                <w:szCs w:val="22"/>
                <w:color w:val="auto"/>
              </w:rPr>
              <w:t>None</w:t>
            </w:r>
          </w:p>
        </w:tc>
        <w:tc>
          <w:tcPr>
            <w:tcW w:w="600" w:type="dxa"/>
            <w:vAlign w:val="bottom"/>
          </w:tcPr>
          <w:p>
            <w:pPr>
              <w:spacing w:after="0"/>
              <w:rPr>
                <w:sz w:val="18"/>
                <w:szCs w:val="18"/>
                <w:color w:val="auto"/>
              </w:rPr>
            </w:pPr>
          </w:p>
        </w:tc>
        <w:tc>
          <w:tcPr>
            <w:tcW w:w="5340" w:type="dxa"/>
            <w:vAlign w:val="bottom"/>
            <w:vMerge w:val="restart"/>
          </w:tcPr>
          <w:p>
            <w:pPr>
              <w:ind w:left="80"/>
              <w:spacing w:after="0"/>
              <w:rPr>
                <w:sz w:val="20"/>
                <w:szCs w:val="20"/>
                <w:color w:val="auto"/>
              </w:rPr>
            </w:pPr>
            <w:r>
              <w:rPr>
                <w:rFonts w:ascii="Arial" w:cs="Arial" w:eastAsia="Arial" w:hAnsi="Arial"/>
                <w:sz w:val="22"/>
                <w:szCs w:val="22"/>
                <w:color w:val="auto"/>
              </w:rPr>
              <w:t>(See Item 5)</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480" w:type="dxa"/>
            <w:vAlign w:val="bottom"/>
          </w:tcPr>
          <w:p>
            <w:pPr>
              <w:spacing w:after="0"/>
              <w:rPr>
                <w:sz w:val="10"/>
                <w:szCs w:val="10"/>
                <w:color w:val="auto"/>
              </w:rPr>
            </w:pPr>
          </w:p>
        </w:tc>
        <w:tc>
          <w:tcPr>
            <w:tcW w:w="1100" w:type="dxa"/>
            <w:vAlign w:val="bottom"/>
            <w:vMerge w:val="restart"/>
          </w:tcPr>
          <w:p>
            <w:pPr>
              <w:jc w:val="center"/>
              <w:ind w:right="208"/>
              <w:spacing w:after="0"/>
              <w:rPr>
                <w:sz w:val="20"/>
                <w:szCs w:val="20"/>
                <w:color w:val="auto"/>
              </w:rPr>
            </w:pPr>
            <w:r>
              <w:rPr>
                <w:rFonts w:ascii="Arial" w:cs="Arial" w:eastAsia="Arial" w:hAnsi="Arial"/>
                <w:sz w:val="18"/>
                <w:szCs w:val="18"/>
                <w:b w:val="1"/>
                <w:bCs w:val="1"/>
                <w:color w:val="auto"/>
              </w:rPr>
              <w:t>EACH</w:t>
            </w:r>
          </w:p>
        </w:tc>
        <w:tc>
          <w:tcPr>
            <w:tcW w:w="4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vMerge w:val="continue"/>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4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46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9</w:t>
            </w:r>
          </w:p>
        </w:tc>
        <w:tc>
          <w:tcPr>
            <w:tcW w:w="69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2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580" w:type="dxa"/>
            <w:vAlign w:val="bottom"/>
            <w:gridSpan w:val="2"/>
            <w:vMerge w:val="restart"/>
          </w:tcPr>
          <w:p>
            <w:pPr>
              <w:jc w:val="center"/>
              <w:ind w:left="90"/>
              <w:spacing w:after="0"/>
              <w:rPr>
                <w:sz w:val="20"/>
                <w:szCs w:val="20"/>
                <w:color w:val="auto"/>
              </w:rPr>
            </w:pPr>
            <w:r>
              <w:rPr>
                <w:rFonts w:ascii="Arial" w:cs="Arial" w:eastAsia="Arial" w:hAnsi="Arial"/>
                <w:sz w:val="18"/>
                <w:szCs w:val="18"/>
                <w:b w:val="1"/>
                <w:bCs w:val="1"/>
                <w:color w:val="auto"/>
              </w:rPr>
              <w:t>REPORTING</w:t>
            </w:r>
          </w:p>
        </w:tc>
        <w:tc>
          <w:tcPr>
            <w:tcW w:w="460" w:type="dxa"/>
            <w:vAlign w:val="bottom"/>
            <w:vMerge w:val="continue"/>
          </w:tcPr>
          <w:p>
            <w:pPr>
              <w:spacing w:after="0"/>
              <w:rPr>
                <w:sz w:val="13"/>
                <w:szCs w:val="13"/>
                <w:color w:val="auto"/>
              </w:rPr>
            </w:pPr>
          </w:p>
        </w:tc>
        <w:tc>
          <w:tcPr>
            <w:tcW w:w="6960" w:type="dxa"/>
            <w:vAlign w:val="bottom"/>
            <w:gridSpan w:val="3"/>
            <w:vMerge w:val="continue"/>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58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00" w:type="dxa"/>
            <w:vAlign w:val="bottom"/>
          </w:tcPr>
          <w:p>
            <w:pPr>
              <w:jc w:val="center"/>
              <w:ind w:right="208"/>
              <w:spacing w:after="0"/>
              <w:rPr>
                <w:sz w:val="20"/>
                <w:szCs w:val="20"/>
                <w:color w:val="auto"/>
              </w:rPr>
            </w:pPr>
            <w:r>
              <w:rPr>
                <w:rFonts w:ascii="Arial" w:cs="Arial" w:eastAsia="Arial" w:hAnsi="Arial"/>
                <w:sz w:val="18"/>
                <w:szCs w:val="18"/>
                <w:b w:val="1"/>
                <w:bCs w:val="1"/>
                <w:color w:val="auto"/>
                <w:w w:val="94"/>
              </w:rPr>
              <w:t>PERSON</w:t>
            </w:r>
          </w:p>
        </w:tc>
        <w:tc>
          <w:tcPr>
            <w:tcW w:w="460" w:type="dxa"/>
            <w:vAlign w:val="bottom"/>
          </w:tcPr>
          <w:p>
            <w:pPr>
              <w:spacing w:after="0"/>
              <w:rPr>
                <w:sz w:val="18"/>
                <w:szCs w:val="18"/>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22"/>
                <w:szCs w:val="22"/>
                <w:color w:val="auto"/>
                <w:w w:val="89"/>
              </w:rPr>
              <w:t>4,838,054 shares</w:t>
            </w:r>
          </w:p>
        </w:tc>
        <w:tc>
          <w:tcPr>
            <w:tcW w:w="5340" w:type="dxa"/>
            <w:vAlign w:val="bottom"/>
            <w:vMerge w:val="restart"/>
          </w:tcPr>
          <w:p>
            <w:pPr>
              <w:ind w:left="1060"/>
              <w:spacing w:after="0"/>
              <w:rPr>
                <w:sz w:val="20"/>
                <w:szCs w:val="20"/>
                <w:color w:val="auto"/>
              </w:rPr>
            </w:pPr>
            <w:r>
              <w:rPr>
                <w:rFonts w:ascii="Arial" w:cs="Arial" w:eastAsia="Arial" w:hAnsi="Arial"/>
                <w:sz w:val="22"/>
                <w:szCs w:val="22"/>
                <w:color w:val="auto"/>
              </w:rPr>
              <w:t>(See Item 5)</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8"/>
                <w:szCs w:val="18"/>
                <w:color w:val="auto"/>
              </w:rPr>
            </w:pPr>
          </w:p>
        </w:tc>
        <w:tc>
          <w:tcPr>
            <w:tcW w:w="1100" w:type="dxa"/>
            <w:vAlign w:val="bottom"/>
          </w:tcPr>
          <w:p>
            <w:pPr>
              <w:jc w:val="center"/>
              <w:ind w:right="208"/>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vMerge w:val="continue"/>
          </w:tcPr>
          <w:p>
            <w:pPr>
              <w:spacing w:after="0"/>
              <w:rPr>
                <w:sz w:val="18"/>
                <w:szCs w:val="18"/>
                <w:color w:val="auto"/>
              </w:rPr>
            </w:pPr>
          </w:p>
        </w:tc>
        <w:tc>
          <w:tcPr>
            <w:tcW w:w="5340" w:type="dxa"/>
            <w:vAlign w:val="bottom"/>
            <w:tcBorders>
              <w:bottom w:val="single" w:sz="8" w:color="auto"/>
            </w:tcBorders>
            <w:vMerge w:val="continue"/>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b w:val="1"/>
                <w:bCs w:val="1"/>
                <w:color w:val="auto"/>
              </w:rPr>
              <w:t>10</w:t>
            </w:r>
          </w:p>
        </w:tc>
        <w:tc>
          <w:tcPr>
            <w:tcW w:w="6960" w:type="dxa"/>
            <w:vAlign w:val="bottom"/>
            <w:gridSpan w:val="3"/>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None</w:t>
            </w:r>
          </w:p>
        </w:tc>
        <w:tc>
          <w:tcPr>
            <w:tcW w:w="60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(See Item 5)</w:t>
            </w: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Pr>
          <w:p>
            <w:pPr>
              <w:ind w:left="260"/>
              <w:spacing w:after="0"/>
              <w:rPr>
                <w:sz w:val="20"/>
                <w:szCs w:val="20"/>
                <w:color w:val="auto"/>
              </w:rPr>
            </w:pPr>
            <w:r>
              <w:rPr>
                <w:rFonts w:ascii="Arial" w:cs="Arial" w:eastAsia="Arial" w:hAnsi="Arial"/>
                <w:sz w:val="18"/>
                <w:szCs w:val="18"/>
                <w:b w:val="1"/>
                <w:bCs w:val="1"/>
                <w:color w:val="auto"/>
                <w:w w:val="99"/>
              </w:rPr>
              <w:t>11</w:t>
            </w:r>
          </w:p>
        </w:tc>
        <w:tc>
          <w:tcPr>
            <w:tcW w:w="8520" w:type="dxa"/>
            <w:vAlign w:val="bottom"/>
            <w:gridSpan w:val="5"/>
          </w:tcPr>
          <w:p>
            <w:pPr>
              <w:ind w:left="4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ind w:left="440"/>
              <w:spacing w:after="0"/>
              <w:rPr>
                <w:sz w:val="20"/>
                <w:szCs w:val="20"/>
                <w:color w:val="auto"/>
              </w:rPr>
            </w:pPr>
            <w:r>
              <w:rPr>
                <w:rFonts w:ascii="Arial" w:cs="Arial" w:eastAsia="Arial" w:hAnsi="Arial"/>
                <w:sz w:val="22"/>
                <w:szCs w:val="22"/>
                <w:color w:val="auto"/>
              </w:rPr>
              <w:t>4,838,054 shares</w:t>
            </w:r>
          </w:p>
        </w:tc>
        <w:tc>
          <w:tcPr>
            <w:tcW w:w="5940" w:type="dxa"/>
            <w:vAlign w:val="bottom"/>
            <w:tcBorders>
              <w:bottom w:val="single" w:sz="8" w:color="auto"/>
            </w:tcBorders>
            <w:gridSpan w:val="2"/>
          </w:tcPr>
          <w:p>
            <w:pPr>
              <w:ind w:left="460"/>
              <w:spacing w:after="0"/>
              <w:rPr>
                <w:sz w:val="20"/>
                <w:szCs w:val="20"/>
                <w:color w:val="auto"/>
              </w:rPr>
            </w:pPr>
            <w:r>
              <w:rPr>
                <w:rFonts w:ascii="Arial" w:cs="Arial" w:eastAsia="Arial" w:hAnsi="Arial"/>
                <w:sz w:val="22"/>
                <w:szCs w:val="22"/>
                <w:color w:val="auto"/>
              </w:rPr>
              <w:t>(See Item 5)</w:t>
            </w: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ind w:left="260"/>
              <w:spacing w:after="0"/>
              <w:rPr>
                <w:sz w:val="20"/>
                <w:szCs w:val="20"/>
                <w:color w:val="auto"/>
              </w:rPr>
            </w:pPr>
            <w:r>
              <w:rPr>
                <w:rFonts w:ascii="Arial" w:cs="Arial" w:eastAsia="Arial" w:hAnsi="Arial"/>
                <w:sz w:val="18"/>
                <w:szCs w:val="18"/>
                <w:b w:val="1"/>
                <w:bCs w:val="1"/>
                <w:color w:val="auto"/>
                <w:w w:val="99"/>
              </w:rPr>
              <w:t>12</w:t>
            </w:r>
          </w:p>
        </w:tc>
        <w:tc>
          <w:tcPr>
            <w:tcW w:w="8520" w:type="dxa"/>
            <w:vAlign w:val="bottom"/>
            <w:gridSpan w:val="5"/>
          </w:tcPr>
          <w:p>
            <w:pPr>
              <w:ind w:left="440"/>
              <w:spacing w:after="0"/>
              <w:rPr>
                <w:sz w:val="20"/>
                <w:szCs w:val="20"/>
                <w:color w:val="auto"/>
              </w:rPr>
            </w:pPr>
            <w:r>
              <w:rPr>
                <w:rFonts w:ascii="Arial" w:cs="Arial" w:eastAsia="Arial" w:hAnsi="Arial"/>
                <w:sz w:val="18"/>
                <w:szCs w:val="18"/>
                <w:b w:val="1"/>
                <w:bCs w:val="1"/>
                <w:color w:val="auto"/>
              </w:rPr>
              <w:t>CHECK BOX IF THE AGGREGATE AMOUNT IN ROW (11) EXCLUDES CERTAIN SHARES*</w:t>
            </w:r>
          </w:p>
        </w:tc>
        <w:tc>
          <w:tcPr>
            <w:tcW w:w="24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8520" w:type="dxa"/>
            <w:vAlign w:val="bottom"/>
            <w:tcBorders>
              <w:bottom w:val="single" w:sz="8" w:color="auto"/>
            </w:tcBorders>
            <w:gridSpan w:val="5"/>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0" w:type="dxa"/>
            <w:vAlign w:val="bottom"/>
          </w:tcPr>
          <w:p>
            <w:pPr>
              <w:ind w:left="260"/>
              <w:spacing w:after="0"/>
              <w:rPr>
                <w:sz w:val="20"/>
                <w:szCs w:val="20"/>
                <w:color w:val="auto"/>
              </w:rPr>
            </w:pPr>
            <w:r>
              <w:rPr>
                <w:rFonts w:ascii="Arial" w:cs="Arial" w:eastAsia="Arial" w:hAnsi="Arial"/>
                <w:sz w:val="18"/>
                <w:szCs w:val="18"/>
                <w:b w:val="1"/>
                <w:bCs w:val="1"/>
                <w:color w:val="auto"/>
                <w:w w:val="99"/>
              </w:rPr>
              <w:t>13</w:t>
            </w:r>
          </w:p>
        </w:tc>
        <w:tc>
          <w:tcPr>
            <w:tcW w:w="8520" w:type="dxa"/>
            <w:vAlign w:val="bottom"/>
            <w:gridSpan w:val="5"/>
          </w:tcPr>
          <w:p>
            <w:pPr>
              <w:ind w:left="4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color w:val="auto"/>
        </w:rPr>
        <w:t>(See Item 5)</w:t>
      </w:r>
    </w:p>
    <w:p>
      <w:pPr>
        <w:spacing w:after="0" w:line="22" w:lineRule="exact"/>
        <w:rPr>
          <w:sz w:val="20"/>
          <w:szCs w:val="20"/>
          <w:color w:val="auto"/>
        </w:rPr>
      </w:pPr>
    </w:p>
    <w:p>
      <w:pPr>
        <w:ind w:left="920" w:hanging="665"/>
        <w:spacing w:after="0"/>
        <w:tabs>
          <w:tab w:leader="none" w:pos="920" w:val="left"/>
        </w:tabs>
        <w:numPr>
          <w:ilvl w:val="1"/>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w:t>
      </w:r>
    </w:p>
    <w:p>
      <w:pPr>
        <w:spacing w:after="0" w:line="24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22"/>
          <w:szCs w:val="22"/>
          <w:color w:val="auto"/>
        </w:rPr>
        <w:t>OO – Limited Liability Company</w:t>
      </w:r>
    </w:p>
    <w:p>
      <w:pPr>
        <w:spacing w:after="0" w:line="26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2" w:name="page3"/>
    <w:bookmarkEnd w:id="2"/>
    <w:p>
      <w:pPr>
        <w:spacing w:after="0"/>
        <w:tabs>
          <w:tab w:leader="none" w:pos="502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3 OF 10 PAGES</w:t>
      </w:r>
    </w:p>
    <w:p>
      <w:pPr>
        <w:spacing w:after="0" w:line="140" w:lineRule="exact"/>
        <w:rPr>
          <w:sz w:val="20"/>
          <w:szCs w:val="20"/>
          <w:color w:val="auto"/>
        </w:rPr>
      </w:pPr>
    </w:p>
    <w:p>
      <w:pPr>
        <w:ind w:left="920" w:hanging="665"/>
        <w:spacing w:after="0"/>
        <w:tabs>
          <w:tab w:leader="none" w:pos="9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3119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875" cy="6311900"/>
                    </a:xfrm>
                    <a:prstGeom prst="rect">
                      <a:avLst/>
                    </a:prstGeom>
                    <a:noFill/>
                  </pic:spPr>
                </pic:pic>
              </a:graphicData>
            </a:graphic>
          </wp:anchor>
        </w:drawing>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275"/>
        </w:trPr>
        <w:tc>
          <w:tcPr>
            <w:tcW w:w="3020" w:type="dxa"/>
            <w:vAlign w:val="bottom"/>
          </w:tcPr>
          <w:p>
            <w:pPr>
              <w:spacing w:after="0"/>
              <w:rPr>
                <w:sz w:val="20"/>
                <w:szCs w:val="20"/>
                <w:color w:val="auto"/>
              </w:rPr>
            </w:pPr>
            <w:r>
              <w:rPr>
                <w:rFonts w:ascii="Arial" w:cs="Arial" w:eastAsia="Arial" w:hAnsi="Arial"/>
                <w:sz w:val="22"/>
                <w:szCs w:val="22"/>
                <w:color w:val="auto"/>
              </w:rPr>
              <w:t>Red Mountain Partners, L.P.</w:t>
            </w:r>
          </w:p>
        </w:tc>
        <w:tc>
          <w:tcPr>
            <w:tcW w:w="1600" w:type="dxa"/>
            <w:vAlign w:val="bottom"/>
          </w:tcPr>
          <w:p>
            <w:pPr>
              <w:jc w:val="right"/>
              <w:spacing w:after="0"/>
              <w:rPr>
                <w:sz w:val="20"/>
                <w:szCs w:val="20"/>
                <w:color w:val="auto"/>
              </w:rPr>
            </w:pPr>
            <w:r>
              <w:rPr>
                <w:rFonts w:ascii="Arial" w:cs="Arial" w:eastAsia="Arial" w:hAnsi="Arial"/>
                <w:sz w:val="22"/>
                <w:szCs w:val="22"/>
                <w:color w:val="auto"/>
              </w:rPr>
              <w:t>20-4117349</w:t>
            </w:r>
          </w:p>
        </w:tc>
      </w:tr>
    </w:tbl>
    <w:p>
      <w:pPr>
        <w:ind w:left="920" w:hanging="665"/>
        <w:spacing w:after="0"/>
        <w:tabs>
          <w:tab w:leader="none" w:pos="9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6" w:lineRule="exact"/>
        <w:rPr>
          <w:sz w:val="20"/>
          <w:szCs w:val="20"/>
          <w:color w:val="auto"/>
        </w:rPr>
      </w:pPr>
    </w:p>
    <w:p>
      <w:pPr>
        <w:ind w:left="920"/>
        <w:spacing w:after="0" w:line="253" w:lineRule="exact"/>
        <w:tabs>
          <w:tab w:leader="none" w:pos="1880" w:val="left"/>
        </w:tabs>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r>
        <w:rPr>
          <w:sz w:val="20"/>
          <w:szCs w:val="20"/>
          <w:color w:val="auto"/>
        </w:rPr>
        <w:tab/>
      </w:r>
      <w:r>
        <w:rPr>
          <w:rFonts w:ascii="Arial" w:cs="Arial" w:eastAsia="Arial" w:hAnsi="Arial"/>
          <w:sz w:val="21"/>
          <w:szCs w:val="21"/>
          <w:color w:val="auto"/>
        </w:rPr>
        <w:t xml:space="preserve">(b) </w:t>
      </w:r>
      <w:r>
        <w:rPr>
          <w:rFonts w:ascii="MS PGothic" w:cs="MS PGothic" w:eastAsia="MS PGothic" w:hAnsi="MS PGothic"/>
          <w:sz w:val="21"/>
          <w:szCs w:val="21"/>
          <w:color w:val="auto"/>
        </w:rPr>
        <w:t>☒</w:t>
      </w:r>
    </w:p>
    <w:p>
      <w:pPr>
        <w:spacing w:after="0" w:line="255" w:lineRule="exact"/>
        <w:rPr>
          <w:sz w:val="20"/>
          <w:szCs w:val="20"/>
          <w:color w:val="auto"/>
        </w:rPr>
      </w:pPr>
    </w:p>
    <w:p>
      <w:pPr>
        <w:ind w:left="920" w:hanging="665"/>
        <w:spacing w:after="0"/>
        <w:tabs>
          <w:tab w:leader="none" w:pos="9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920" w:hanging="665"/>
        <w:spacing w:after="0"/>
        <w:tabs>
          <w:tab w:leader="none" w:pos="92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920"/>
        <w:spacing w:after="0"/>
        <w:tabs>
          <w:tab w:leader="none" w:pos="2380" w:val="left"/>
        </w:tabs>
        <w:rPr>
          <w:sz w:val="20"/>
          <w:szCs w:val="20"/>
          <w:color w:val="auto"/>
        </w:rPr>
      </w:pPr>
      <w:r>
        <w:rPr>
          <w:rFonts w:ascii="Arial" w:cs="Arial" w:eastAsia="Arial" w:hAnsi="Arial"/>
          <w:sz w:val="22"/>
          <w:szCs w:val="22"/>
          <w:color w:val="auto"/>
        </w:rPr>
        <w:t>WC</w:t>
      </w:r>
      <w:r>
        <w:rPr>
          <w:sz w:val="20"/>
          <w:szCs w:val="20"/>
          <w:color w:val="auto"/>
        </w:rPr>
        <w:tab/>
      </w:r>
      <w:r>
        <w:rPr>
          <w:rFonts w:ascii="Arial" w:cs="Arial" w:eastAsia="Arial" w:hAnsi="Arial"/>
          <w:sz w:val="22"/>
          <w:szCs w:val="22"/>
          <w:color w:val="auto"/>
        </w:rPr>
        <w:t>(See Item 3)</w:t>
      </w:r>
    </w:p>
    <w:p>
      <w:pPr>
        <w:spacing w:after="0" w:line="22" w:lineRule="exact"/>
        <w:rPr>
          <w:sz w:val="20"/>
          <w:szCs w:val="20"/>
          <w:color w:val="auto"/>
        </w:rPr>
      </w:pPr>
    </w:p>
    <w:p>
      <w:pPr>
        <w:ind w:left="920" w:hanging="665"/>
        <w:spacing w:after="0"/>
        <w:tabs>
          <w:tab w:leader="none" w:pos="9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w:t>
      </w:r>
    </w:p>
    <w:p>
      <w:pPr>
        <w:spacing w:after="0" w:line="200" w:lineRule="exact"/>
        <w:rPr>
          <w:sz w:val="20"/>
          <w:szCs w:val="20"/>
          <w:color w:val="auto"/>
        </w:rPr>
      </w:pPr>
    </w:p>
    <w:p>
      <w:pPr>
        <w:spacing w:after="0" w:line="294" w:lineRule="exact"/>
        <w:rPr>
          <w:sz w:val="20"/>
          <w:szCs w:val="20"/>
          <w:color w:val="auto"/>
        </w:rPr>
      </w:pPr>
    </w:p>
    <w:p>
      <w:pPr>
        <w:ind w:left="920" w:hanging="665"/>
        <w:spacing w:after="0"/>
        <w:tabs>
          <w:tab w:leader="none" w:pos="92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7</w:t>
            </w:r>
          </w:p>
        </w:tc>
        <w:tc>
          <w:tcPr>
            <w:tcW w:w="696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SOLE VOTING POWER</w:t>
            </w:r>
          </w:p>
        </w:tc>
        <w:tc>
          <w:tcPr>
            <w:tcW w:w="24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160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rPr>
              <w:t>NUMBER OF</w:t>
            </w:r>
          </w:p>
        </w:tc>
        <w:tc>
          <w:tcPr>
            <w:tcW w:w="440" w:type="dxa"/>
            <w:vAlign w:val="bottom"/>
            <w:tcBorders>
              <w:right w:val="single" w:sz="8" w:color="auto"/>
            </w:tcBorders>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22"/>
                <w:szCs w:val="22"/>
                <w:color w:val="auto"/>
                <w:w w:val="92"/>
              </w:rPr>
              <w:t>4,838,054 shares</w:t>
            </w:r>
          </w:p>
        </w:tc>
        <w:tc>
          <w:tcPr>
            <w:tcW w:w="5280" w:type="dxa"/>
            <w:vAlign w:val="bottom"/>
          </w:tcPr>
          <w:p>
            <w:pPr>
              <w:ind w:left="1000"/>
              <w:spacing w:after="0"/>
              <w:rPr>
                <w:sz w:val="20"/>
                <w:szCs w:val="20"/>
                <w:color w:val="auto"/>
              </w:rPr>
            </w:pPr>
            <w:r>
              <w:rPr>
                <w:rFonts w:ascii="Arial" w:cs="Arial" w:eastAsia="Arial" w:hAnsi="Arial"/>
                <w:sz w:val="22"/>
                <w:szCs w:val="22"/>
                <w:color w:val="auto"/>
              </w:rPr>
              <w:t>(See Item 5)</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480" w:type="dxa"/>
            <w:vAlign w:val="bottom"/>
          </w:tcPr>
          <w:p>
            <w:pPr>
              <w:spacing w:after="0"/>
              <w:rPr>
                <w:sz w:val="3"/>
                <w:szCs w:val="3"/>
                <w:color w:val="auto"/>
              </w:rPr>
            </w:pPr>
          </w:p>
        </w:tc>
        <w:tc>
          <w:tcPr>
            <w:tcW w:w="1120" w:type="dxa"/>
            <w:vAlign w:val="bottom"/>
            <w:tcBorders>
              <w:right w:val="single" w:sz="8" w:color="auto"/>
            </w:tcBorders>
            <w:vMerge w:val="restart"/>
          </w:tcPr>
          <w:p>
            <w:pPr>
              <w:jc w:val="center"/>
              <w:ind w:right="226"/>
              <w:spacing w:after="0"/>
              <w:rPr>
                <w:sz w:val="20"/>
                <w:szCs w:val="20"/>
                <w:color w:val="auto"/>
              </w:rPr>
            </w:pPr>
            <w:r>
              <w:rPr>
                <w:rFonts w:ascii="Arial" w:cs="Arial" w:eastAsia="Arial" w:hAnsi="Arial"/>
                <w:sz w:val="18"/>
                <w:szCs w:val="18"/>
                <w:b w:val="1"/>
                <w:bCs w:val="1"/>
                <w:color w:val="auto"/>
                <w:w w:val="95"/>
              </w:rPr>
              <w:t>SHARES</w:t>
            </w:r>
          </w:p>
        </w:tc>
        <w:tc>
          <w:tcPr>
            <w:tcW w:w="440" w:type="dxa"/>
            <w:vAlign w:val="bottom"/>
            <w:tcBorders>
              <w:bottom w:val="single" w:sz="8" w:color="auto"/>
              <w:right w:val="single" w:sz="8" w:color="auto"/>
            </w:tcBorders>
          </w:tcPr>
          <w:p>
            <w:pPr>
              <w:spacing w:after="0"/>
              <w:rPr>
                <w:sz w:val="3"/>
                <w:szCs w:val="3"/>
                <w:color w:val="auto"/>
              </w:rPr>
            </w:pPr>
          </w:p>
        </w:tc>
        <w:tc>
          <w:tcPr>
            <w:tcW w:w="6960" w:type="dxa"/>
            <w:vAlign w:val="bottom"/>
            <w:tcBorders>
              <w:bottom w:val="single" w:sz="8" w:color="auto"/>
            </w:tcBorders>
            <w:gridSpan w:val="3"/>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440" w:type="dxa"/>
            <w:vAlign w:val="bottom"/>
            <w:tcBorders>
              <w:right w:val="single" w:sz="8" w:color="auto"/>
            </w:tcBorders>
          </w:tcPr>
          <w:p>
            <w:pPr>
              <w:ind w:left="180"/>
              <w:spacing w:after="0" w:line="156" w:lineRule="exact"/>
              <w:rPr>
                <w:sz w:val="20"/>
                <w:szCs w:val="20"/>
                <w:color w:val="auto"/>
              </w:rPr>
            </w:pPr>
            <w:r>
              <w:rPr>
                <w:rFonts w:ascii="Arial" w:cs="Arial" w:eastAsia="Arial" w:hAnsi="Arial"/>
                <w:sz w:val="18"/>
                <w:szCs w:val="18"/>
                <w:b w:val="1"/>
                <w:bCs w:val="1"/>
                <w:color w:val="auto"/>
              </w:rPr>
              <w:t>8</w:t>
            </w:r>
          </w:p>
        </w:tc>
        <w:tc>
          <w:tcPr>
            <w:tcW w:w="6960" w:type="dxa"/>
            <w:vAlign w:val="bottom"/>
            <w:gridSpan w:val="3"/>
          </w:tcPr>
          <w:p>
            <w:pPr>
              <w:ind w:left="80"/>
              <w:spacing w:after="0" w:line="156" w:lineRule="exact"/>
              <w:rPr>
                <w:sz w:val="20"/>
                <w:szCs w:val="20"/>
                <w:color w:val="auto"/>
              </w:rPr>
            </w:pPr>
            <w:r>
              <w:rPr>
                <w:rFonts w:ascii="Arial" w:cs="Arial" w:eastAsia="Arial" w:hAnsi="Arial"/>
                <w:sz w:val="18"/>
                <w:szCs w:val="18"/>
                <w:b w:val="1"/>
                <w:bCs w:val="1"/>
                <w:color w:val="auto"/>
              </w:rPr>
              <w:t>SHARED VOTING POWER</w:t>
            </w: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600" w:type="dxa"/>
            <w:vAlign w:val="bottom"/>
            <w:tcBorders>
              <w:right w:val="single" w:sz="8" w:color="auto"/>
            </w:tcBorders>
            <w:gridSpan w:val="2"/>
          </w:tcPr>
          <w:p>
            <w:pPr>
              <w:jc w:val="center"/>
              <w:ind w:left="90"/>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right w:val="single" w:sz="8" w:color="auto"/>
            </w:tcBorders>
          </w:tcPr>
          <w:p>
            <w:pPr>
              <w:spacing w:after="0"/>
              <w:rPr>
                <w:sz w:val="18"/>
                <w:szCs w:val="18"/>
                <w:color w:val="auto"/>
              </w:rPr>
            </w:pPr>
          </w:p>
        </w:tc>
        <w:tc>
          <w:tcPr>
            <w:tcW w:w="1080" w:type="dxa"/>
            <w:vAlign w:val="bottom"/>
            <w:vMerge w:val="restart"/>
          </w:tcPr>
          <w:p>
            <w:pPr>
              <w:ind w:left="80"/>
              <w:spacing w:after="0"/>
              <w:rPr>
                <w:sz w:val="20"/>
                <w:szCs w:val="20"/>
                <w:color w:val="auto"/>
              </w:rPr>
            </w:pPr>
            <w:r>
              <w:rPr>
                <w:rFonts w:ascii="Arial" w:cs="Arial" w:eastAsia="Arial" w:hAnsi="Arial"/>
                <w:sz w:val="22"/>
                <w:szCs w:val="22"/>
                <w:color w:val="auto"/>
              </w:rPr>
              <w:t>None</w:t>
            </w:r>
          </w:p>
        </w:tc>
        <w:tc>
          <w:tcPr>
            <w:tcW w:w="600" w:type="dxa"/>
            <w:vAlign w:val="bottom"/>
          </w:tcPr>
          <w:p>
            <w:pPr>
              <w:spacing w:after="0"/>
              <w:rPr>
                <w:sz w:val="18"/>
                <w:szCs w:val="18"/>
                <w:color w:val="auto"/>
              </w:rPr>
            </w:pPr>
          </w:p>
        </w:tc>
        <w:tc>
          <w:tcPr>
            <w:tcW w:w="5280" w:type="dxa"/>
            <w:vAlign w:val="bottom"/>
            <w:vMerge w:val="restart"/>
          </w:tcPr>
          <w:p>
            <w:pPr>
              <w:ind w:left="20"/>
              <w:spacing w:after="0"/>
              <w:rPr>
                <w:sz w:val="20"/>
                <w:szCs w:val="20"/>
                <w:color w:val="auto"/>
              </w:rPr>
            </w:pPr>
            <w:r>
              <w:rPr>
                <w:rFonts w:ascii="Arial" w:cs="Arial" w:eastAsia="Arial" w:hAnsi="Arial"/>
                <w:sz w:val="22"/>
                <w:szCs w:val="22"/>
                <w:color w:val="auto"/>
              </w:rPr>
              <w:t>(See Item 5)</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480" w:type="dxa"/>
            <w:vAlign w:val="bottom"/>
          </w:tcPr>
          <w:p>
            <w:pPr>
              <w:spacing w:after="0"/>
              <w:rPr>
                <w:sz w:val="10"/>
                <w:szCs w:val="10"/>
                <w:color w:val="auto"/>
              </w:rPr>
            </w:pPr>
          </w:p>
        </w:tc>
        <w:tc>
          <w:tcPr>
            <w:tcW w:w="1120" w:type="dxa"/>
            <w:vAlign w:val="bottom"/>
            <w:tcBorders>
              <w:right w:val="single" w:sz="8" w:color="auto"/>
            </w:tcBorders>
            <w:vMerge w:val="restart"/>
          </w:tcPr>
          <w:p>
            <w:pPr>
              <w:jc w:val="center"/>
              <w:ind w:right="226"/>
              <w:spacing w:after="0"/>
              <w:rPr>
                <w:sz w:val="20"/>
                <w:szCs w:val="20"/>
                <w:color w:val="auto"/>
              </w:rPr>
            </w:pPr>
            <w:r>
              <w:rPr>
                <w:rFonts w:ascii="Arial" w:cs="Arial" w:eastAsia="Arial" w:hAnsi="Arial"/>
                <w:sz w:val="18"/>
                <w:szCs w:val="18"/>
                <w:b w:val="1"/>
                <w:bCs w:val="1"/>
                <w:color w:val="auto"/>
              </w:rPr>
              <w:t>EACH</w:t>
            </w:r>
          </w:p>
        </w:tc>
        <w:tc>
          <w:tcPr>
            <w:tcW w:w="44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vMerge w:val="continue"/>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480" w:type="dxa"/>
            <w:vAlign w:val="bottom"/>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9</w:t>
            </w:r>
          </w:p>
        </w:tc>
        <w:tc>
          <w:tcPr>
            <w:tcW w:w="69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2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60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b w:val="1"/>
                <w:bCs w:val="1"/>
                <w:color w:val="auto"/>
              </w:rPr>
              <w:t>REPORTING</w:t>
            </w:r>
          </w:p>
        </w:tc>
        <w:tc>
          <w:tcPr>
            <w:tcW w:w="440" w:type="dxa"/>
            <w:vAlign w:val="bottom"/>
            <w:tcBorders>
              <w:right w:val="single" w:sz="8" w:color="auto"/>
            </w:tcBorders>
            <w:vMerge w:val="continue"/>
          </w:tcPr>
          <w:p>
            <w:pPr>
              <w:spacing w:after="0"/>
              <w:rPr>
                <w:sz w:val="13"/>
                <w:szCs w:val="13"/>
                <w:color w:val="auto"/>
              </w:rPr>
            </w:pPr>
          </w:p>
        </w:tc>
        <w:tc>
          <w:tcPr>
            <w:tcW w:w="6960" w:type="dxa"/>
            <w:vAlign w:val="bottom"/>
            <w:gridSpan w:val="3"/>
            <w:vMerge w:val="continue"/>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600" w:type="dxa"/>
            <w:vAlign w:val="bottom"/>
            <w:tcBorders>
              <w:right w:val="single" w:sz="8" w:color="auto"/>
            </w:tcBorders>
            <w:gridSpan w:val="2"/>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Borders>
              <w:right w:val="single" w:sz="8" w:color="auto"/>
            </w:tcBorders>
          </w:tcPr>
          <w:p>
            <w:pPr>
              <w:jc w:val="center"/>
              <w:ind w:right="226"/>
              <w:spacing w:after="0"/>
              <w:rPr>
                <w:sz w:val="20"/>
                <w:szCs w:val="20"/>
                <w:color w:val="auto"/>
              </w:rPr>
            </w:pPr>
            <w:r>
              <w:rPr>
                <w:rFonts w:ascii="Arial" w:cs="Arial" w:eastAsia="Arial" w:hAnsi="Arial"/>
                <w:sz w:val="18"/>
                <w:szCs w:val="18"/>
                <w:b w:val="1"/>
                <w:bCs w:val="1"/>
                <w:color w:val="auto"/>
                <w:w w:val="94"/>
              </w:rPr>
              <w:t>PERSON</w:t>
            </w:r>
          </w:p>
        </w:tc>
        <w:tc>
          <w:tcPr>
            <w:tcW w:w="440" w:type="dxa"/>
            <w:vAlign w:val="bottom"/>
            <w:tcBorders>
              <w:right w:val="single" w:sz="8" w:color="auto"/>
            </w:tcBorders>
          </w:tcPr>
          <w:p>
            <w:pPr>
              <w:spacing w:after="0"/>
              <w:rPr>
                <w:sz w:val="18"/>
                <w:szCs w:val="18"/>
                <w:color w:val="auto"/>
              </w:rPr>
            </w:pPr>
          </w:p>
        </w:tc>
        <w:tc>
          <w:tcPr>
            <w:tcW w:w="1680" w:type="dxa"/>
            <w:vAlign w:val="bottom"/>
            <w:gridSpan w:val="2"/>
            <w:vMerge w:val="restart"/>
          </w:tcPr>
          <w:p>
            <w:pPr>
              <w:ind w:left="80"/>
              <w:spacing w:after="0"/>
              <w:rPr>
                <w:sz w:val="20"/>
                <w:szCs w:val="20"/>
                <w:color w:val="auto"/>
              </w:rPr>
            </w:pPr>
            <w:r>
              <w:rPr>
                <w:rFonts w:ascii="Arial" w:cs="Arial" w:eastAsia="Arial" w:hAnsi="Arial"/>
                <w:sz w:val="22"/>
                <w:szCs w:val="22"/>
                <w:color w:val="auto"/>
                <w:w w:val="92"/>
              </w:rPr>
              <w:t>4,838,054 shares</w:t>
            </w:r>
          </w:p>
        </w:tc>
        <w:tc>
          <w:tcPr>
            <w:tcW w:w="5280" w:type="dxa"/>
            <w:vAlign w:val="bottom"/>
            <w:vMerge w:val="restart"/>
          </w:tcPr>
          <w:p>
            <w:pPr>
              <w:ind w:left="1000"/>
              <w:spacing w:after="0"/>
              <w:rPr>
                <w:sz w:val="20"/>
                <w:szCs w:val="20"/>
                <w:color w:val="auto"/>
              </w:rPr>
            </w:pPr>
            <w:r>
              <w:rPr>
                <w:rFonts w:ascii="Arial" w:cs="Arial" w:eastAsia="Arial" w:hAnsi="Arial"/>
                <w:sz w:val="22"/>
                <w:szCs w:val="22"/>
                <w:color w:val="auto"/>
              </w:rPr>
              <w:t>(See Item 5)</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8"/>
                <w:szCs w:val="18"/>
                <w:color w:val="auto"/>
              </w:rPr>
            </w:pPr>
          </w:p>
        </w:tc>
        <w:tc>
          <w:tcPr>
            <w:tcW w:w="1120" w:type="dxa"/>
            <w:vAlign w:val="bottom"/>
            <w:tcBorders>
              <w:right w:val="single" w:sz="8" w:color="auto"/>
            </w:tcBorders>
          </w:tcPr>
          <w:p>
            <w:pPr>
              <w:jc w:val="center"/>
              <w:ind w:right="226"/>
              <w:spacing w:after="0"/>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gridSpan w:val="2"/>
            <w:vMerge w:val="continue"/>
          </w:tcPr>
          <w:p>
            <w:pPr>
              <w:spacing w:after="0"/>
              <w:rPr>
                <w:sz w:val="18"/>
                <w:szCs w:val="18"/>
                <w:color w:val="auto"/>
              </w:rPr>
            </w:pPr>
          </w:p>
        </w:tc>
        <w:tc>
          <w:tcPr>
            <w:tcW w:w="5280" w:type="dxa"/>
            <w:vAlign w:val="bottom"/>
            <w:tcBorders>
              <w:bottom w:val="single" w:sz="8" w:color="auto"/>
            </w:tcBorders>
            <w:vMerge w:val="continue"/>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10</w:t>
            </w:r>
          </w:p>
        </w:tc>
        <w:tc>
          <w:tcPr>
            <w:tcW w:w="6960" w:type="dxa"/>
            <w:vAlign w:val="bottom"/>
            <w:gridSpan w:val="3"/>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None</w:t>
            </w:r>
          </w:p>
        </w:tc>
        <w:tc>
          <w:tcPr>
            <w:tcW w:w="6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(See Item 5)</w:t>
            </w: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Pr>
          <w:p>
            <w:pPr>
              <w:ind w:left="260"/>
              <w:spacing w:after="0"/>
              <w:rPr>
                <w:sz w:val="20"/>
                <w:szCs w:val="20"/>
                <w:color w:val="auto"/>
              </w:rPr>
            </w:pPr>
            <w:r>
              <w:rPr>
                <w:rFonts w:ascii="Arial" w:cs="Arial" w:eastAsia="Arial" w:hAnsi="Arial"/>
                <w:sz w:val="18"/>
                <w:szCs w:val="18"/>
                <w:b w:val="1"/>
                <w:bCs w:val="1"/>
                <w:color w:val="auto"/>
                <w:w w:val="99"/>
              </w:rPr>
              <w:t>11</w:t>
            </w:r>
          </w:p>
        </w:tc>
        <w:tc>
          <w:tcPr>
            <w:tcW w:w="1560" w:type="dxa"/>
            <w:vAlign w:val="bottom"/>
            <w:gridSpan w:val="2"/>
          </w:tcPr>
          <w:p>
            <w:pPr>
              <w:ind w:left="440"/>
              <w:spacing w:after="0"/>
              <w:rPr>
                <w:sz w:val="20"/>
                <w:szCs w:val="20"/>
                <w:color w:val="auto"/>
              </w:rPr>
            </w:pPr>
            <w:r>
              <w:rPr>
                <w:rFonts w:ascii="Arial" w:cs="Arial" w:eastAsia="Arial" w:hAnsi="Arial"/>
                <w:sz w:val="18"/>
                <w:szCs w:val="18"/>
                <w:b w:val="1"/>
                <w:bCs w:val="1"/>
                <w:color w:val="auto"/>
                <w:w w:val="93"/>
              </w:rPr>
              <w:t>AGGREGATE</w:t>
            </w:r>
          </w:p>
        </w:tc>
        <w:tc>
          <w:tcPr>
            <w:tcW w:w="696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ind w:left="440"/>
              <w:spacing w:after="0"/>
              <w:rPr>
                <w:sz w:val="20"/>
                <w:szCs w:val="20"/>
                <w:color w:val="auto"/>
              </w:rPr>
            </w:pPr>
            <w:r>
              <w:rPr>
                <w:rFonts w:ascii="Arial" w:cs="Arial" w:eastAsia="Arial" w:hAnsi="Arial"/>
                <w:sz w:val="22"/>
                <w:szCs w:val="22"/>
                <w:color w:val="auto"/>
              </w:rPr>
              <w:t>4,838,054 shares</w:t>
            </w:r>
          </w:p>
        </w:tc>
        <w:tc>
          <w:tcPr>
            <w:tcW w:w="5880" w:type="dxa"/>
            <w:vAlign w:val="bottom"/>
            <w:tcBorders>
              <w:bottom w:val="single" w:sz="8" w:color="auto"/>
            </w:tcBorders>
            <w:gridSpan w:val="2"/>
          </w:tcPr>
          <w:p>
            <w:pPr>
              <w:ind w:left="400"/>
              <w:spacing w:after="0"/>
              <w:rPr>
                <w:sz w:val="20"/>
                <w:szCs w:val="20"/>
                <w:color w:val="auto"/>
              </w:rPr>
            </w:pPr>
            <w:r>
              <w:rPr>
                <w:rFonts w:ascii="Arial" w:cs="Arial" w:eastAsia="Arial" w:hAnsi="Arial"/>
                <w:sz w:val="22"/>
                <w:szCs w:val="22"/>
                <w:color w:val="auto"/>
              </w:rPr>
              <w:t>(See Item 5)</w:t>
            </w: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ind w:left="260"/>
              <w:spacing w:after="0"/>
              <w:rPr>
                <w:sz w:val="20"/>
                <w:szCs w:val="20"/>
                <w:color w:val="auto"/>
              </w:rPr>
            </w:pPr>
            <w:r>
              <w:rPr>
                <w:rFonts w:ascii="Arial" w:cs="Arial" w:eastAsia="Arial" w:hAnsi="Arial"/>
                <w:sz w:val="18"/>
                <w:szCs w:val="18"/>
                <w:b w:val="1"/>
                <w:bCs w:val="1"/>
                <w:color w:val="auto"/>
                <w:w w:val="99"/>
              </w:rPr>
              <w:t>12</w:t>
            </w:r>
          </w:p>
        </w:tc>
        <w:tc>
          <w:tcPr>
            <w:tcW w:w="8520" w:type="dxa"/>
            <w:vAlign w:val="bottom"/>
            <w:gridSpan w:val="5"/>
          </w:tcPr>
          <w:p>
            <w:pPr>
              <w:ind w:left="440"/>
              <w:spacing w:after="0"/>
              <w:rPr>
                <w:sz w:val="20"/>
                <w:szCs w:val="20"/>
                <w:color w:val="auto"/>
              </w:rPr>
            </w:pPr>
            <w:r>
              <w:rPr>
                <w:rFonts w:ascii="Arial" w:cs="Arial" w:eastAsia="Arial" w:hAnsi="Arial"/>
                <w:sz w:val="18"/>
                <w:szCs w:val="18"/>
                <w:b w:val="1"/>
                <w:bCs w:val="1"/>
                <w:color w:val="auto"/>
              </w:rPr>
              <w:t>CHECK BOX IF THE AGGREGATE AMOUNT IN ROW (11) EXCLUDES CERTAIN SHARES*</w:t>
            </w:r>
          </w:p>
        </w:tc>
        <w:tc>
          <w:tcPr>
            <w:tcW w:w="24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960" w:type="dxa"/>
            <w:vAlign w:val="bottom"/>
            <w:tcBorders>
              <w:bottom w:val="single" w:sz="8" w:color="auto"/>
            </w:tcBorders>
            <w:gridSpan w:val="3"/>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0" w:type="dxa"/>
            <w:vAlign w:val="bottom"/>
          </w:tcPr>
          <w:p>
            <w:pPr>
              <w:ind w:left="260"/>
              <w:spacing w:after="0"/>
              <w:rPr>
                <w:sz w:val="20"/>
                <w:szCs w:val="20"/>
                <w:color w:val="auto"/>
              </w:rPr>
            </w:pPr>
            <w:r>
              <w:rPr>
                <w:rFonts w:ascii="Arial" w:cs="Arial" w:eastAsia="Arial" w:hAnsi="Arial"/>
                <w:sz w:val="18"/>
                <w:szCs w:val="18"/>
                <w:b w:val="1"/>
                <w:bCs w:val="1"/>
                <w:color w:val="auto"/>
                <w:w w:val="99"/>
              </w:rPr>
              <w:t>13</w:t>
            </w:r>
          </w:p>
        </w:tc>
        <w:tc>
          <w:tcPr>
            <w:tcW w:w="8520" w:type="dxa"/>
            <w:vAlign w:val="bottom"/>
            <w:gridSpan w:val="5"/>
          </w:tcPr>
          <w:p>
            <w:pPr>
              <w:ind w:left="4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440"/>
              <w:spacing w:after="0"/>
              <w:rPr>
                <w:sz w:val="20"/>
                <w:szCs w:val="20"/>
                <w:color w:val="auto"/>
              </w:rPr>
            </w:pPr>
            <w:r>
              <w:rPr>
                <w:rFonts w:ascii="Arial" w:cs="Arial" w:eastAsia="Arial" w:hAnsi="Arial"/>
                <w:sz w:val="22"/>
                <w:szCs w:val="22"/>
                <w:color w:val="auto"/>
              </w:rPr>
              <w:t>9.5%</w:t>
            </w: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(See Item 5)</w:t>
            </w:r>
          </w:p>
        </w:tc>
        <w:tc>
          <w:tcPr>
            <w:tcW w:w="6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Pr>
          <w:p>
            <w:pPr>
              <w:ind w:left="260"/>
              <w:spacing w:after="0"/>
              <w:rPr>
                <w:sz w:val="20"/>
                <w:szCs w:val="20"/>
                <w:color w:val="auto"/>
              </w:rPr>
            </w:pPr>
            <w:r>
              <w:rPr>
                <w:rFonts w:ascii="Arial" w:cs="Arial" w:eastAsia="Arial" w:hAnsi="Arial"/>
                <w:sz w:val="18"/>
                <w:szCs w:val="18"/>
                <w:b w:val="1"/>
                <w:bCs w:val="1"/>
                <w:color w:val="auto"/>
                <w:w w:val="99"/>
              </w:rPr>
              <w:t>14</w:t>
            </w:r>
          </w:p>
        </w:tc>
        <w:tc>
          <w:tcPr>
            <w:tcW w:w="3240" w:type="dxa"/>
            <w:vAlign w:val="bottom"/>
            <w:gridSpan w:val="4"/>
          </w:tcPr>
          <w:p>
            <w:pPr>
              <w:ind w:left="440"/>
              <w:spacing w:after="0"/>
              <w:rPr>
                <w:sz w:val="20"/>
                <w:szCs w:val="20"/>
                <w:color w:val="auto"/>
              </w:rPr>
            </w:pPr>
            <w:r>
              <w:rPr>
                <w:rFonts w:ascii="Arial" w:cs="Arial" w:eastAsia="Arial" w:hAnsi="Arial"/>
                <w:sz w:val="18"/>
                <w:szCs w:val="18"/>
                <w:b w:val="1"/>
                <w:bCs w:val="1"/>
                <w:color w:val="auto"/>
              </w:rPr>
              <w:t>TYPE OF REPORTING PERSON*</w:t>
            </w:r>
          </w:p>
        </w:tc>
        <w:tc>
          <w:tcPr>
            <w:tcW w:w="52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PN – Limited Partnership</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3" w:name="page4"/>
    <w:bookmarkEnd w:id="3"/>
    <w:p>
      <w:pPr>
        <w:spacing w:after="0"/>
        <w:tabs>
          <w:tab w:leader="none" w:pos="502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4 OF 10 PAGES</w:t>
      </w:r>
    </w:p>
    <w:p>
      <w:pPr>
        <w:spacing w:after="0" w:line="140" w:lineRule="exact"/>
        <w:rPr>
          <w:sz w:val="20"/>
          <w:szCs w:val="20"/>
          <w:color w:val="auto"/>
        </w:rPr>
      </w:pPr>
    </w:p>
    <w:p>
      <w:pPr>
        <w:ind w:left="920" w:hanging="665"/>
        <w:spacing w:after="0"/>
        <w:tabs>
          <w:tab w:leader="none" w:pos="92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311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4875" cy="6311900"/>
                    </a:xfrm>
                    <a:prstGeom prst="rect">
                      <a:avLst/>
                    </a:prstGeom>
                    <a:noFill/>
                  </pic:spPr>
                </pic:pic>
              </a:graphicData>
            </a:graphic>
          </wp:anchor>
        </w:drawing>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275"/>
        </w:trPr>
        <w:tc>
          <w:tcPr>
            <w:tcW w:w="1960" w:type="dxa"/>
            <w:vAlign w:val="bottom"/>
          </w:tcPr>
          <w:p>
            <w:pPr>
              <w:spacing w:after="0"/>
              <w:rPr>
                <w:sz w:val="20"/>
                <w:szCs w:val="20"/>
                <w:color w:val="auto"/>
              </w:rPr>
            </w:pPr>
            <w:r>
              <w:rPr>
                <w:rFonts w:ascii="Arial" w:cs="Arial" w:eastAsia="Arial" w:hAnsi="Arial"/>
                <w:sz w:val="22"/>
                <w:szCs w:val="22"/>
                <w:color w:val="auto"/>
              </w:rPr>
              <w:t>RMCP GP LLC</w:t>
            </w:r>
          </w:p>
        </w:tc>
        <w:tc>
          <w:tcPr>
            <w:tcW w:w="1620" w:type="dxa"/>
            <w:vAlign w:val="bottom"/>
          </w:tcPr>
          <w:p>
            <w:pPr>
              <w:jc w:val="right"/>
              <w:spacing w:after="0"/>
              <w:rPr>
                <w:sz w:val="20"/>
                <w:szCs w:val="20"/>
                <w:color w:val="auto"/>
              </w:rPr>
            </w:pPr>
            <w:r>
              <w:rPr>
                <w:rFonts w:ascii="Arial" w:cs="Arial" w:eastAsia="Arial" w:hAnsi="Arial"/>
                <w:sz w:val="22"/>
                <w:szCs w:val="22"/>
                <w:color w:val="auto"/>
              </w:rPr>
              <w:t>20-4442412</w:t>
            </w:r>
          </w:p>
        </w:tc>
      </w:tr>
    </w:tbl>
    <w:p>
      <w:pPr>
        <w:ind w:left="920" w:hanging="665"/>
        <w:spacing w:after="0"/>
        <w:tabs>
          <w:tab w:leader="none" w:pos="92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6" w:lineRule="exact"/>
        <w:rPr>
          <w:sz w:val="20"/>
          <w:szCs w:val="20"/>
          <w:color w:val="auto"/>
        </w:rPr>
      </w:pPr>
    </w:p>
    <w:p>
      <w:pPr>
        <w:ind w:left="920"/>
        <w:spacing w:after="0" w:line="253" w:lineRule="exact"/>
        <w:tabs>
          <w:tab w:leader="none" w:pos="1880" w:val="left"/>
        </w:tabs>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r>
        <w:rPr>
          <w:sz w:val="20"/>
          <w:szCs w:val="20"/>
          <w:color w:val="auto"/>
        </w:rPr>
        <w:tab/>
      </w:r>
      <w:r>
        <w:rPr>
          <w:rFonts w:ascii="Arial" w:cs="Arial" w:eastAsia="Arial" w:hAnsi="Arial"/>
          <w:sz w:val="21"/>
          <w:szCs w:val="21"/>
          <w:color w:val="auto"/>
        </w:rPr>
        <w:t xml:space="preserve">(b) </w:t>
      </w:r>
      <w:r>
        <w:rPr>
          <w:rFonts w:ascii="MS PGothic" w:cs="MS PGothic" w:eastAsia="MS PGothic" w:hAnsi="MS PGothic"/>
          <w:sz w:val="21"/>
          <w:szCs w:val="21"/>
          <w:color w:val="auto"/>
        </w:rPr>
        <w:t>☒</w:t>
      </w:r>
    </w:p>
    <w:p>
      <w:pPr>
        <w:spacing w:after="0" w:line="255" w:lineRule="exact"/>
        <w:rPr>
          <w:sz w:val="20"/>
          <w:szCs w:val="20"/>
          <w:color w:val="auto"/>
        </w:rPr>
      </w:pPr>
    </w:p>
    <w:p>
      <w:pPr>
        <w:ind w:left="920" w:hanging="665"/>
        <w:spacing w:after="0"/>
        <w:tabs>
          <w:tab w:leader="none" w:pos="92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920" w:hanging="665"/>
        <w:spacing w:after="0"/>
        <w:tabs>
          <w:tab w:leader="none" w:pos="9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920"/>
        <w:spacing w:after="0"/>
        <w:tabs>
          <w:tab w:leader="none" w:pos="2320" w:val="left"/>
        </w:tabs>
        <w:rPr>
          <w:sz w:val="20"/>
          <w:szCs w:val="20"/>
          <w:color w:val="auto"/>
        </w:rPr>
      </w:pPr>
      <w:r>
        <w:rPr>
          <w:rFonts w:ascii="Arial" w:cs="Arial" w:eastAsia="Arial" w:hAnsi="Arial"/>
          <w:sz w:val="22"/>
          <w:szCs w:val="22"/>
          <w:color w:val="auto"/>
        </w:rPr>
        <w:t>AF</w:t>
      </w:r>
      <w:r>
        <w:rPr>
          <w:sz w:val="20"/>
          <w:szCs w:val="20"/>
          <w:color w:val="auto"/>
        </w:rPr>
        <w:tab/>
      </w:r>
      <w:r>
        <w:rPr>
          <w:rFonts w:ascii="Arial" w:cs="Arial" w:eastAsia="Arial" w:hAnsi="Arial"/>
          <w:sz w:val="22"/>
          <w:szCs w:val="22"/>
          <w:color w:val="auto"/>
        </w:rPr>
        <w:t>(See Item 3)</w:t>
      </w:r>
    </w:p>
    <w:p>
      <w:pPr>
        <w:spacing w:after="0" w:line="22" w:lineRule="exact"/>
        <w:rPr>
          <w:sz w:val="20"/>
          <w:szCs w:val="20"/>
          <w:color w:val="auto"/>
        </w:rPr>
      </w:pPr>
    </w:p>
    <w:p>
      <w:pPr>
        <w:ind w:left="920" w:hanging="665"/>
        <w:spacing w:after="0"/>
        <w:tabs>
          <w:tab w:leader="none" w:pos="92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w:t>
      </w:r>
    </w:p>
    <w:p>
      <w:pPr>
        <w:spacing w:after="0" w:line="200" w:lineRule="exact"/>
        <w:rPr>
          <w:sz w:val="20"/>
          <w:szCs w:val="20"/>
          <w:color w:val="auto"/>
        </w:rPr>
      </w:pPr>
    </w:p>
    <w:p>
      <w:pPr>
        <w:spacing w:after="0" w:line="294" w:lineRule="exact"/>
        <w:rPr>
          <w:sz w:val="20"/>
          <w:szCs w:val="20"/>
          <w:color w:val="auto"/>
        </w:rPr>
      </w:pPr>
    </w:p>
    <w:p>
      <w:pPr>
        <w:ind w:left="920" w:hanging="665"/>
        <w:spacing w:after="0"/>
        <w:tabs>
          <w:tab w:leader="none" w:pos="92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p>
      <w:pPr>
        <w:ind w:left="2120" w:hanging="347"/>
        <w:spacing w:after="0"/>
        <w:tabs>
          <w:tab w:leader="none" w:pos="212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5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rPr>
              <w:t>NUMBER OF</w:t>
            </w:r>
          </w:p>
        </w:tc>
        <w:tc>
          <w:tcPr>
            <w:tcW w:w="460" w:type="dxa"/>
            <w:vAlign w:val="bottom"/>
          </w:tcPr>
          <w:p>
            <w:pPr>
              <w:spacing w:after="0"/>
              <w:rPr>
                <w:sz w:val="21"/>
                <w:szCs w:val="21"/>
                <w:color w:val="auto"/>
              </w:rPr>
            </w:pPr>
          </w:p>
        </w:tc>
        <w:tc>
          <w:tcPr>
            <w:tcW w:w="1620" w:type="dxa"/>
            <w:vAlign w:val="bottom"/>
            <w:gridSpan w:val="2"/>
          </w:tcPr>
          <w:p>
            <w:pPr>
              <w:ind w:left="80"/>
              <w:spacing w:after="0"/>
              <w:rPr>
                <w:sz w:val="20"/>
                <w:szCs w:val="20"/>
                <w:color w:val="auto"/>
              </w:rPr>
            </w:pPr>
            <w:r>
              <w:rPr>
                <w:rFonts w:ascii="Arial" w:cs="Arial" w:eastAsia="Arial" w:hAnsi="Arial"/>
                <w:sz w:val="22"/>
                <w:szCs w:val="22"/>
                <w:color w:val="auto"/>
                <w:w w:val="89"/>
              </w:rPr>
              <w:t>4,838,054 shares</w:t>
            </w:r>
          </w:p>
        </w:tc>
        <w:tc>
          <w:tcPr>
            <w:tcW w:w="5340" w:type="dxa"/>
            <w:vAlign w:val="bottom"/>
          </w:tcPr>
          <w:p>
            <w:pPr>
              <w:ind w:left="1060"/>
              <w:spacing w:after="0"/>
              <w:rPr>
                <w:sz w:val="20"/>
                <w:szCs w:val="20"/>
                <w:color w:val="auto"/>
              </w:rPr>
            </w:pPr>
            <w:r>
              <w:rPr>
                <w:rFonts w:ascii="Arial" w:cs="Arial" w:eastAsia="Arial" w:hAnsi="Arial"/>
                <w:sz w:val="22"/>
                <w:szCs w:val="22"/>
                <w:color w:val="auto"/>
              </w:rPr>
              <w:t>(See Item 5)</w:t>
            </w:r>
          </w:p>
        </w:tc>
        <w:tc>
          <w:tcPr>
            <w:tcW w:w="24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5"/>
        </w:trPr>
        <w:tc>
          <w:tcPr>
            <w:tcW w:w="480" w:type="dxa"/>
            <w:vAlign w:val="bottom"/>
          </w:tcPr>
          <w:p>
            <w:pPr>
              <w:spacing w:after="0"/>
              <w:rPr>
                <w:sz w:val="3"/>
                <w:szCs w:val="3"/>
                <w:color w:val="auto"/>
              </w:rPr>
            </w:pPr>
          </w:p>
        </w:tc>
        <w:tc>
          <w:tcPr>
            <w:tcW w:w="1100" w:type="dxa"/>
            <w:vAlign w:val="bottom"/>
            <w:vMerge w:val="restart"/>
          </w:tcPr>
          <w:p>
            <w:pPr>
              <w:jc w:val="center"/>
              <w:ind w:right="208"/>
              <w:spacing w:after="0"/>
              <w:rPr>
                <w:sz w:val="20"/>
                <w:szCs w:val="20"/>
                <w:color w:val="auto"/>
              </w:rPr>
            </w:pPr>
            <w:r>
              <w:rPr>
                <w:rFonts w:ascii="Arial" w:cs="Arial" w:eastAsia="Arial" w:hAnsi="Arial"/>
                <w:sz w:val="18"/>
                <w:szCs w:val="18"/>
                <w:b w:val="1"/>
                <w:bCs w:val="1"/>
                <w:color w:val="auto"/>
                <w:w w:val="95"/>
              </w:rPr>
              <w:t>SHARES</w:t>
            </w:r>
          </w:p>
        </w:tc>
        <w:tc>
          <w:tcPr>
            <w:tcW w:w="460" w:type="dxa"/>
            <w:vAlign w:val="bottom"/>
            <w:tcBorders>
              <w:bottom w:val="single" w:sz="8" w:color="auto"/>
            </w:tcBorders>
          </w:tcPr>
          <w:p>
            <w:pPr>
              <w:spacing w:after="0"/>
              <w:rPr>
                <w:sz w:val="3"/>
                <w:szCs w:val="3"/>
                <w:color w:val="auto"/>
              </w:rPr>
            </w:pPr>
          </w:p>
        </w:tc>
        <w:tc>
          <w:tcPr>
            <w:tcW w:w="6960" w:type="dxa"/>
            <w:vAlign w:val="bottom"/>
            <w:tcBorders>
              <w:bottom w:val="single" w:sz="8" w:color="auto"/>
            </w:tcBorders>
            <w:gridSpan w:val="3"/>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460" w:type="dxa"/>
            <w:vAlign w:val="bottom"/>
          </w:tcPr>
          <w:p>
            <w:pPr>
              <w:ind w:left="200"/>
              <w:spacing w:after="0" w:line="156" w:lineRule="exact"/>
              <w:rPr>
                <w:sz w:val="20"/>
                <w:szCs w:val="20"/>
                <w:color w:val="auto"/>
              </w:rPr>
            </w:pPr>
            <w:r>
              <w:rPr>
                <w:rFonts w:ascii="Arial" w:cs="Arial" w:eastAsia="Arial" w:hAnsi="Arial"/>
                <w:sz w:val="18"/>
                <w:szCs w:val="18"/>
                <w:b w:val="1"/>
                <w:bCs w:val="1"/>
                <w:color w:val="auto"/>
              </w:rPr>
              <w:t>8</w:t>
            </w:r>
          </w:p>
        </w:tc>
        <w:tc>
          <w:tcPr>
            <w:tcW w:w="6960" w:type="dxa"/>
            <w:vAlign w:val="bottom"/>
            <w:gridSpan w:val="3"/>
          </w:tcPr>
          <w:p>
            <w:pPr>
              <w:ind w:left="80"/>
              <w:spacing w:after="0" w:line="156" w:lineRule="exact"/>
              <w:rPr>
                <w:sz w:val="20"/>
                <w:szCs w:val="20"/>
                <w:color w:val="auto"/>
              </w:rPr>
            </w:pPr>
            <w:r>
              <w:rPr>
                <w:rFonts w:ascii="Arial" w:cs="Arial" w:eastAsia="Arial" w:hAnsi="Arial"/>
                <w:sz w:val="18"/>
                <w:szCs w:val="18"/>
                <w:b w:val="1"/>
                <w:bCs w:val="1"/>
                <w:color w:val="auto"/>
              </w:rPr>
              <w:t>SHARED VOTING POWER</w:t>
            </w: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58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rPr>
              <w:t>BENEFICIALLY</w:t>
            </w: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rPr>
              <w:t>OWNED BY</w:t>
            </w:r>
          </w:p>
        </w:tc>
        <w:tc>
          <w:tcPr>
            <w:tcW w:w="460" w:type="dxa"/>
            <w:vAlign w:val="bottom"/>
          </w:tcPr>
          <w:p>
            <w:pPr>
              <w:spacing w:after="0"/>
              <w:rPr>
                <w:sz w:val="18"/>
                <w:szCs w:val="18"/>
                <w:color w:val="auto"/>
              </w:rPr>
            </w:pPr>
          </w:p>
        </w:tc>
        <w:tc>
          <w:tcPr>
            <w:tcW w:w="1020" w:type="dxa"/>
            <w:vAlign w:val="bottom"/>
            <w:vMerge w:val="restart"/>
          </w:tcPr>
          <w:p>
            <w:pPr>
              <w:ind w:left="80"/>
              <w:spacing w:after="0"/>
              <w:rPr>
                <w:sz w:val="20"/>
                <w:szCs w:val="20"/>
                <w:color w:val="auto"/>
              </w:rPr>
            </w:pPr>
            <w:r>
              <w:rPr>
                <w:rFonts w:ascii="Arial" w:cs="Arial" w:eastAsia="Arial" w:hAnsi="Arial"/>
                <w:sz w:val="22"/>
                <w:szCs w:val="22"/>
                <w:color w:val="auto"/>
              </w:rPr>
              <w:t>None</w:t>
            </w:r>
          </w:p>
        </w:tc>
        <w:tc>
          <w:tcPr>
            <w:tcW w:w="600" w:type="dxa"/>
            <w:vAlign w:val="bottom"/>
          </w:tcPr>
          <w:p>
            <w:pPr>
              <w:spacing w:after="0"/>
              <w:rPr>
                <w:sz w:val="18"/>
                <w:szCs w:val="18"/>
                <w:color w:val="auto"/>
              </w:rPr>
            </w:pPr>
          </w:p>
        </w:tc>
        <w:tc>
          <w:tcPr>
            <w:tcW w:w="5340" w:type="dxa"/>
            <w:vAlign w:val="bottom"/>
            <w:vMerge w:val="restart"/>
          </w:tcPr>
          <w:p>
            <w:pPr>
              <w:ind w:left="80"/>
              <w:spacing w:after="0"/>
              <w:rPr>
                <w:sz w:val="20"/>
                <w:szCs w:val="20"/>
                <w:color w:val="auto"/>
              </w:rPr>
            </w:pPr>
            <w:r>
              <w:rPr>
                <w:rFonts w:ascii="Arial" w:cs="Arial" w:eastAsia="Arial" w:hAnsi="Arial"/>
                <w:sz w:val="22"/>
                <w:szCs w:val="22"/>
                <w:color w:val="auto"/>
              </w:rPr>
              <w:t>(See Item 5)</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480" w:type="dxa"/>
            <w:vAlign w:val="bottom"/>
          </w:tcPr>
          <w:p>
            <w:pPr>
              <w:spacing w:after="0"/>
              <w:rPr>
                <w:sz w:val="10"/>
                <w:szCs w:val="10"/>
                <w:color w:val="auto"/>
              </w:rPr>
            </w:pPr>
          </w:p>
        </w:tc>
        <w:tc>
          <w:tcPr>
            <w:tcW w:w="1100" w:type="dxa"/>
            <w:vAlign w:val="bottom"/>
            <w:vMerge w:val="restart"/>
          </w:tcPr>
          <w:p>
            <w:pPr>
              <w:jc w:val="center"/>
              <w:ind w:right="208"/>
              <w:spacing w:after="0"/>
              <w:rPr>
                <w:sz w:val="20"/>
                <w:szCs w:val="20"/>
                <w:color w:val="auto"/>
              </w:rPr>
            </w:pPr>
            <w:r>
              <w:rPr>
                <w:rFonts w:ascii="Arial" w:cs="Arial" w:eastAsia="Arial" w:hAnsi="Arial"/>
                <w:sz w:val="18"/>
                <w:szCs w:val="18"/>
                <w:b w:val="1"/>
                <w:bCs w:val="1"/>
                <w:color w:val="auto"/>
              </w:rPr>
              <w:t>EACH</w:t>
            </w:r>
          </w:p>
        </w:tc>
        <w:tc>
          <w:tcPr>
            <w:tcW w:w="4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340" w:type="dxa"/>
            <w:vAlign w:val="bottom"/>
            <w:tcBorders>
              <w:bottom w:val="single" w:sz="8" w:color="auto"/>
            </w:tcBorders>
            <w:vMerge w:val="continue"/>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48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460" w:type="dxa"/>
            <w:vAlign w:val="bottom"/>
            <w:vMerge w:val="restart"/>
          </w:tcPr>
          <w:p>
            <w:pPr>
              <w:ind w:left="200"/>
              <w:spacing w:after="0"/>
              <w:rPr>
                <w:sz w:val="20"/>
                <w:szCs w:val="20"/>
                <w:color w:val="auto"/>
              </w:rPr>
            </w:pPr>
            <w:r>
              <w:rPr>
                <w:rFonts w:ascii="Arial" w:cs="Arial" w:eastAsia="Arial" w:hAnsi="Arial"/>
                <w:sz w:val="18"/>
                <w:szCs w:val="18"/>
                <w:b w:val="1"/>
                <w:bCs w:val="1"/>
                <w:color w:val="auto"/>
              </w:rPr>
              <w:t>9</w:t>
            </w:r>
          </w:p>
        </w:tc>
        <w:tc>
          <w:tcPr>
            <w:tcW w:w="69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2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580" w:type="dxa"/>
            <w:vAlign w:val="bottom"/>
            <w:gridSpan w:val="2"/>
            <w:vMerge w:val="restart"/>
          </w:tcPr>
          <w:p>
            <w:pPr>
              <w:jc w:val="center"/>
              <w:ind w:left="90"/>
              <w:spacing w:after="0"/>
              <w:rPr>
                <w:sz w:val="20"/>
                <w:szCs w:val="20"/>
                <w:color w:val="auto"/>
              </w:rPr>
            </w:pPr>
            <w:r>
              <w:rPr>
                <w:rFonts w:ascii="Arial" w:cs="Arial" w:eastAsia="Arial" w:hAnsi="Arial"/>
                <w:sz w:val="18"/>
                <w:szCs w:val="18"/>
                <w:b w:val="1"/>
                <w:bCs w:val="1"/>
                <w:color w:val="auto"/>
              </w:rPr>
              <w:t>REPORTING</w:t>
            </w:r>
          </w:p>
        </w:tc>
        <w:tc>
          <w:tcPr>
            <w:tcW w:w="460" w:type="dxa"/>
            <w:vAlign w:val="bottom"/>
            <w:vMerge w:val="continue"/>
          </w:tcPr>
          <w:p>
            <w:pPr>
              <w:spacing w:after="0"/>
              <w:rPr>
                <w:sz w:val="13"/>
                <w:szCs w:val="13"/>
                <w:color w:val="auto"/>
              </w:rPr>
            </w:pPr>
          </w:p>
        </w:tc>
        <w:tc>
          <w:tcPr>
            <w:tcW w:w="6960" w:type="dxa"/>
            <w:vAlign w:val="bottom"/>
            <w:gridSpan w:val="3"/>
            <w:vMerge w:val="continue"/>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58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1020" w:type="dxa"/>
            <w:vAlign w:val="bottom"/>
          </w:tcPr>
          <w:p>
            <w:pPr>
              <w:spacing w:after="0"/>
              <w:rPr>
                <w:sz w:val="5"/>
                <w:szCs w:val="5"/>
                <w:color w:val="auto"/>
              </w:rPr>
            </w:pPr>
          </w:p>
        </w:tc>
        <w:tc>
          <w:tcPr>
            <w:tcW w:w="600" w:type="dxa"/>
            <w:vAlign w:val="bottom"/>
          </w:tcPr>
          <w:p>
            <w:pPr>
              <w:spacing w:after="0"/>
              <w:rPr>
                <w:sz w:val="5"/>
                <w:szCs w:val="5"/>
                <w:color w:val="auto"/>
              </w:rPr>
            </w:pPr>
          </w:p>
        </w:tc>
        <w:tc>
          <w:tcPr>
            <w:tcW w:w="53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00" w:type="dxa"/>
            <w:vAlign w:val="bottom"/>
          </w:tcPr>
          <w:p>
            <w:pPr>
              <w:jc w:val="center"/>
              <w:ind w:right="208"/>
              <w:spacing w:after="0"/>
              <w:rPr>
                <w:sz w:val="20"/>
                <w:szCs w:val="20"/>
                <w:color w:val="auto"/>
              </w:rPr>
            </w:pPr>
            <w:r>
              <w:rPr>
                <w:rFonts w:ascii="Arial" w:cs="Arial" w:eastAsia="Arial" w:hAnsi="Arial"/>
                <w:sz w:val="18"/>
                <w:szCs w:val="18"/>
                <w:b w:val="1"/>
                <w:bCs w:val="1"/>
                <w:color w:val="auto"/>
                <w:w w:val="94"/>
              </w:rPr>
              <w:t>PERSON</w:t>
            </w:r>
          </w:p>
        </w:tc>
        <w:tc>
          <w:tcPr>
            <w:tcW w:w="460" w:type="dxa"/>
            <w:vAlign w:val="bottom"/>
          </w:tcPr>
          <w:p>
            <w:pPr>
              <w:spacing w:after="0"/>
              <w:rPr>
                <w:sz w:val="18"/>
                <w:szCs w:val="18"/>
                <w:color w:val="auto"/>
              </w:rPr>
            </w:pPr>
          </w:p>
        </w:tc>
        <w:tc>
          <w:tcPr>
            <w:tcW w:w="1620" w:type="dxa"/>
            <w:vAlign w:val="bottom"/>
            <w:gridSpan w:val="2"/>
            <w:vMerge w:val="restart"/>
          </w:tcPr>
          <w:p>
            <w:pPr>
              <w:ind w:left="80"/>
              <w:spacing w:after="0"/>
              <w:rPr>
                <w:sz w:val="20"/>
                <w:szCs w:val="20"/>
                <w:color w:val="auto"/>
              </w:rPr>
            </w:pPr>
            <w:r>
              <w:rPr>
                <w:rFonts w:ascii="Arial" w:cs="Arial" w:eastAsia="Arial" w:hAnsi="Arial"/>
                <w:sz w:val="22"/>
                <w:szCs w:val="22"/>
                <w:color w:val="auto"/>
                <w:w w:val="89"/>
              </w:rPr>
              <w:t>4,838,054 shares</w:t>
            </w:r>
          </w:p>
        </w:tc>
        <w:tc>
          <w:tcPr>
            <w:tcW w:w="5340" w:type="dxa"/>
            <w:vAlign w:val="bottom"/>
            <w:vMerge w:val="restart"/>
          </w:tcPr>
          <w:p>
            <w:pPr>
              <w:ind w:left="1060"/>
              <w:spacing w:after="0"/>
              <w:rPr>
                <w:sz w:val="20"/>
                <w:szCs w:val="20"/>
                <w:color w:val="auto"/>
              </w:rPr>
            </w:pPr>
            <w:r>
              <w:rPr>
                <w:rFonts w:ascii="Arial" w:cs="Arial" w:eastAsia="Arial" w:hAnsi="Arial"/>
                <w:sz w:val="22"/>
                <w:szCs w:val="22"/>
                <w:color w:val="auto"/>
              </w:rPr>
              <w:t>(See Item 5)</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8"/>
                <w:szCs w:val="18"/>
                <w:color w:val="auto"/>
              </w:rPr>
            </w:pPr>
          </w:p>
        </w:tc>
        <w:tc>
          <w:tcPr>
            <w:tcW w:w="1100" w:type="dxa"/>
            <w:vAlign w:val="bottom"/>
          </w:tcPr>
          <w:p>
            <w:pPr>
              <w:jc w:val="center"/>
              <w:ind w:right="208"/>
              <w:spacing w:after="0"/>
              <w:rPr>
                <w:sz w:val="20"/>
                <w:szCs w:val="20"/>
                <w:color w:val="auto"/>
              </w:rPr>
            </w:pPr>
            <w:r>
              <w:rPr>
                <w:rFonts w:ascii="Arial" w:cs="Arial" w:eastAsia="Arial" w:hAnsi="Arial"/>
                <w:sz w:val="18"/>
                <w:szCs w:val="18"/>
                <w:b w:val="1"/>
                <w:bCs w:val="1"/>
                <w:color w:val="auto"/>
              </w:rPr>
              <w:t>WITH</w:t>
            </w:r>
          </w:p>
        </w:tc>
        <w:tc>
          <w:tcPr>
            <w:tcW w:w="4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vMerge w:val="continue"/>
          </w:tcPr>
          <w:p>
            <w:pPr>
              <w:spacing w:after="0"/>
              <w:rPr>
                <w:sz w:val="18"/>
                <w:szCs w:val="18"/>
                <w:color w:val="auto"/>
              </w:rPr>
            </w:pPr>
          </w:p>
        </w:tc>
        <w:tc>
          <w:tcPr>
            <w:tcW w:w="5340" w:type="dxa"/>
            <w:vAlign w:val="bottom"/>
            <w:tcBorders>
              <w:bottom w:val="single" w:sz="8" w:color="auto"/>
            </w:tcBorders>
            <w:vMerge w:val="continue"/>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ind w:left="200"/>
              <w:spacing w:after="0"/>
              <w:rPr>
                <w:sz w:val="20"/>
                <w:szCs w:val="20"/>
                <w:color w:val="auto"/>
              </w:rPr>
            </w:pPr>
            <w:r>
              <w:rPr>
                <w:rFonts w:ascii="Arial" w:cs="Arial" w:eastAsia="Arial" w:hAnsi="Arial"/>
                <w:sz w:val="18"/>
                <w:szCs w:val="18"/>
                <w:b w:val="1"/>
                <w:bCs w:val="1"/>
                <w:color w:val="auto"/>
              </w:rPr>
              <w:t>10</w:t>
            </w:r>
          </w:p>
        </w:tc>
        <w:tc>
          <w:tcPr>
            <w:tcW w:w="6960" w:type="dxa"/>
            <w:vAlign w:val="bottom"/>
            <w:gridSpan w:val="3"/>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None</w:t>
            </w:r>
          </w:p>
        </w:tc>
        <w:tc>
          <w:tcPr>
            <w:tcW w:w="60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(See Item 5)</w:t>
            </w: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Pr>
          <w:p>
            <w:pPr>
              <w:ind w:left="260"/>
              <w:spacing w:after="0"/>
              <w:rPr>
                <w:sz w:val="20"/>
                <w:szCs w:val="20"/>
                <w:color w:val="auto"/>
              </w:rPr>
            </w:pPr>
            <w:r>
              <w:rPr>
                <w:rFonts w:ascii="Arial" w:cs="Arial" w:eastAsia="Arial" w:hAnsi="Arial"/>
                <w:sz w:val="18"/>
                <w:szCs w:val="18"/>
                <w:b w:val="1"/>
                <w:bCs w:val="1"/>
                <w:color w:val="auto"/>
                <w:w w:val="99"/>
              </w:rPr>
              <w:t>11</w:t>
            </w:r>
          </w:p>
        </w:tc>
        <w:tc>
          <w:tcPr>
            <w:tcW w:w="8520" w:type="dxa"/>
            <w:vAlign w:val="bottom"/>
            <w:gridSpan w:val="5"/>
          </w:tcPr>
          <w:p>
            <w:pPr>
              <w:ind w:left="440"/>
              <w:spacing w:after="0"/>
              <w:rPr>
                <w:sz w:val="20"/>
                <w:szCs w:val="20"/>
                <w:color w:val="auto"/>
              </w:rPr>
            </w:pPr>
            <w:r>
              <w:rPr>
                <w:rFonts w:ascii="Arial" w:cs="Arial" w:eastAsia="Arial" w:hAnsi="Arial"/>
                <w:sz w:val="18"/>
                <w:szCs w:val="18"/>
                <w:b w:val="1"/>
                <w:bCs w:val="1"/>
                <w:color w:val="auto"/>
              </w:rPr>
              <w:t>AGGREGATE AMOUNT BENEFICIALLY OWNED BY EACH REPORTING PERSON</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3"/>
          </w:tcPr>
          <w:p>
            <w:pPr>
              <w:ind w:left="440"/>
              <w:spacing w:after="0"/>
              <w:rPr>
                <w:sz w:val="20"/>
                <w:szCs w:val="20"/>
                <w:color w:val="auto"/>
              </w:rPr>
            </w:pPr>
            <w:r>
              <w:rPr>
                <w:rFonts w:ascii="Arial" w:cs="Arial" w:eastAsia="Arial" w:hAnsi="Arial"/>
                <w:sz w:val="22"/>
                <w:szCs w:val="22"/>
                <w:color w:val="auto"/>
              </w:rPr>
              <w:t>4,838,054 shares</w:t>
            </w:r>
          </w:p>
        </w:tc>
        <w:tc>
          <w:tcPr>
            <w:tcW w:w="5940" w:type="dxa"/>
            <w:vAlign w:val="bottom"/>
            <w:tcBorders>
              <w:bottom w:val="single" w:sz="8" w:color="auto"/>
            </w:tcBorders>
            <w:gridSpan w:val="2"/>
          </w:tcPr>
          <w:p>
            <w:pPr>
              <w:ind w:left="460"/>
              <w:spacing w:after="0"/>
              <w:rPr>
                <w:sz w:val="20"/>
                <w:szCs w:val="20"/>
                <w:color w:val="auto"/>
              </w:rPr>
            </w:pPr>
            <w:r>
              <w:rPr>
                <w:rFonts w:ascii="Arial" w:cs="Arial" w:eastAsia="Arial" w:hAnsi="Arial"/>
                <w:sz w:val="22"/>
                <w:szCs w:val="22"/>
                <w:color w:val="auto"/>
              </w:rPr>
              <w:t>(See Item 5)</w:t>
            </w: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ind w:left="260"/>
              <w:spacing w:after="0"/>
              <w:rPr>
                <w:sz w:val="20"/>
                <w:szCs w:val="20"/>
                <w:color w:val="auto"/>
              </w:rPr>
            </w:pPr>
            <w:r>
              <w:rPr>
                <w:rFonts w:ascii="Arial" w:cs="Arial" w:eastAsia="Arial" w:hAnsi="Arial"/>
                <w:sz w:val="18"/>
                <w:szCs w:val="18"/>
                <w:b w:val="1"/>
                <w:bCs w:val="1"/>
                <w:color w:val="auto"/>
                <w:w w:val="99"/>
              </w:rPr>
              <w:t>12</w:t>
            </w:r>
          </w:p>
        </w:tc>
        <w:tc>
          <w:tcPr>
            <w:tcW w:w="8520" w:type="dxa"/>
            <w:vAlign w:val="bottom"/>
            <w:gridSpan w:val="5"/>
          </w:tcPr>
          <w:p>
            <w:pPr>
              <w:ind w:left="440"/>
              <w:spacing w:after="0"/>
              <w:rPr>
                <w:sz w:val="20"/>
                <w:szCs w:val="20"/>
                <w:color w:val="auto"/>
              </w:rPr>
            </w:pPr>
            <w:r>
              <w:rPr>
                <w:rFonts w:ascii="Arial" w:cs="Arial" w:eastAsia="Arial" w:hAnsi="Arial"/>
                <w:sz w:val="18"/>
                <w:szCs w:val="18"/>
                <w:b w:val="1"/>
                <w:bCs w:val="1"/>
                <w:color w:val="auto"/>
              </w:rPr>
              <w:t>CHECK BOX IF THE AGGREGATE AMOUNT IN ROW (11) EXCLUDES CERTAIN SHARES*</w:t>
            </w:r>
          </w:p>
        </w:tc>
        <w:tc>
          <w:tcPr>
            <w:tcW w:w="24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8520" w:type="dxa"/>
            <w:vAlign w:val="bottom"/>
            <w:tcBorders>
              <w:bottom w:val="single" w:sz="8" w:color="auto"/>
            </w:tcBorders>
            <w:gridSpan w:val="5"/>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0" w:type="dxa"/>
            <w:vAlign w:val="bottom"/>
          </w:tcPr>
          <w:p>
            <w:pPr>
              <w:ind w:left="260"/>
              <w:spacing w:after="0"/>
              <w:rPr>
                <w:sz w:val="20"/>
                <w:szCs w:val="20"/>
                <w:color w:val="auto"/>
              </w:rPr>
            </w:pPr>
            <w:r>
              <w:rPr>
                <w:rFonts w:ascii="Arial" w:cs="Arial" w:eastAsia="Arial" w:hAnsi="Arial"/>
                <w:sz w:val="18"/>
                <w:szCs w:val="18"/>
                <w:b w:val="1"/>
                <w:bCs w:val="1"/>
                <w:color w:val="auto"/>
                <w:w w:val="99"/>
              </w:rPr>
              <w:t>13</w:t>
            </w:r>
          </w:p>
        </w:tc>
        <w:tc>
          <w:tcPr>
            <w:tcW w:w="8520" w:type="dxa"/>
            <w:vAlign w:val="bottom"/>
            <w:gridSpan w:val="5"/>
          </w:tcPr>
          <w:p>
            <w:pPr>
              <w:ind w:left="4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920"/>
        <w:spacing w:after="0"/>
        <w:tabs>
          <w:tab w:leader="none" w:pos="1620" w:val="left"/>
        </w:tabs>
        <w:rPr>
          <w:sz w:val="20"/>
          <w:szCs w:val="20"/>
          <w:color w:val="auto"/>
        </w:rPr>
      </w:pPr>
      <w:r>
        <w:rPr>
          <w:rFonts w:ascii="Arial" w:cs="Arial" w:eastAsia="Arial" w:hAnsi="Arial"/>
          <w:sz w:val="22"/>
          <w:szCs w:val="22"/>
          <w:color w:val="auto"/>
        </w:rPr>
        <w:t>9.5%</w:t>
      </w:r>
      <w:r>
        <w:rPr>
          <w:sz w:val="20"/>
          <w:szCs w:val="20"/>
          <w:color w:val="auto"/>
        </w:rPr>
        <w:tab/>
      </w:r>
      <w:r>
        <w:rPr>
          <w:rFonts w:ascii="Arial" w:cs="Arial" w:eastAsia="Arial" w:hAnsi="Arial"/>
          <w:sz w:val="19"/>
          <w:szCs w:val="19"/>
          <w:color w:val="auto"/>
        </w:rPr>
        <w:t>(See Item 5)</w:t>
      </w:r>
    </w:p>
    <w:p>
      <w:pPr>
        <w:spacing w:after="0" w:line="22" w:lineRule="exact"/>
        <w:rPr>
          <w:sz w:val="20"/>
          <w:szCs w:val="20"/>
          <w:color w:val="auto"/>
        </w:rPr>
      </w:pPr>
    </w:p>
    <w:p>
      <w:pPr>
        <w:ind w:left="920" w:hanging="665"/>
        <w:spacing w:after="0"/>
        <w:tabs>
          <w:tab w:leader="none" w:pos="920" w:val="left"/>
        </w:tabs>
        <w:numPr>
          <w:ilvl w:val="1"/>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TYPE OF REPORTING PERSON*</w:t>
      </w:r>
    </w:p>
    <w:p>
      <w:pPr>
        <w:spacing w:after="0" w:line="24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22"/>
          <w:szCs w:val="22"/>
          <w:color w:val="auto"/>
        </w:rPr>
        <w:t>OO – Limited Liability Company</w:t>
      </w:r>
    </w:p>
    <w:p>
      <w:pPr>
        <w:spacing w:after="0" w:line="267"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4" w:name="page5"/>
    <w:bookmarkEnd w:id="4"/>
    <w:p>
      <w:pPr>
        <w:spacing w:after="0"/>
        <w:tabs>
          <w:tab w:leader="none" w:pos="502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5 OF 10 PAGES</w:t>
      </w:r>
    </w:p>
    <w:p>
      <w:pPr>
        <w:spacing w:after="0" w:line="140" w:lineRule="exact"/>
        <w:rPr>
          <w:sz w:val="20"/>
          <w:szCs w:val="20"/>
          <w:color w:val="auto"/>
        </w:rPr>
      </w:pPr>
    </w:p>
    <w:p>
      <w:pPr>
        <w:ind w:left="920" w:hanging="665"/>
        <w:spacing w:after="0"/>
        <w:tabs>
          <w:tab w:leader="none" w:pos="9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3119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4875" cy="6311900"/>
                    </a:xfrm>
                    <a:prstGeom prst="rect">
                      <a:avLst/>
                    </a:prstGeom>
                    <a:noFill/>
                  </pic:spPr>
                </pic:pic>
              </a:graphicData>
            </a:graphic>
          </wp:anchor>
        </w:drawing>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275"/>
        </w:trPr>
        <w:tc>
          <w:tcPr>
            <w:tcW w:w="4120" w:type="dxa"/>
            <w:vAlign w:val="bottom"/>
          </w:tcPr>
          <w:p>
            <w:pPr>
              <w:spacing w:after="0"/>
              <w:rPr>
                <w:sz w:val="20"/>
                <w:szCs w:val="20"/>
                <w:color w:val="auto"/>
              </w:rPr>
            </w:pPr>
            <w:r>
              <w:rPr>
                <w:rFonts w:ascii="Arial" w:cs="Arial" w:eastAsia="Arial" w:hAnsi="Arial"/>
                <w:sz w:val="22"/>
                <w:szCs w:val="22"/>
                <w:color w:val="auto"/>
              </w:rPr>
              <w:t>Red Mountain Capital Management, Inc.</w:t>
            </w:r>
          </w:p>
        </w:tc>
        <w:tc>
          <w:tcPr>
            <w:tcW w:w="1600" w:type="dxa"/>
            <w:vAlign w:val="bottom"/>
          </w:tcPr>
          <w:p>
            <w:pPr>
              <w:jc w:val="right"/>
              <w:spacing w:after="0"/>
              <w:rPr>
                <w:sz w:val="20"/>
                <w:szCs w:val="20"/>
                <w:color w:val="auto"/>
              </w:rPr>
            </w:pPr>
            <w:r>
              <w:rPr>
                <w:rFonts w:ascii="Arial" w:cs="Arial" w:eastAsia="Arial" w:hAnsi="Arial"/>
                <w:sz w:val="22"/>
                <w:szCs w:val="22"/>
                <w:color w:val="auto"/>
              </w:rPr>
              <w:t>13-4057186</w:t>
            </w:r>
          </w:p>
        </w:tc>
      </w:tr>
    </w:tbl>
    <w:p>
      <w:pPr>
        <w:ind w:left="920" w:hanging="665"/>
        <w:spacing w:after="0"/>
        <w:tabs>
          <w:tab w:leader="none" w:pos="92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6" w:lineRule="exact"/>
        <w:rPr>
          <w:sz w:val="20"/>
          <w:szCs w:val="20"/>
          <w:color w:val="auto"/>
        </w:rPr>
      </w:pPr>
    </w:p>
    <w:p>
      <w:pPr>
        <w:ind w:left="920"/>
        <w:spacing w:after="0" w:line="253" w:lineRule="exact"/>
        <w:tabs>
          <w:tab w:leader="none" w:pos="1880" w:val="left"/>
        </w:tabs>
        <w:rPr>
          <w:sz w:val="20"/>
          <w:szCs w:val="20"/>
          <w:color w:val="auto"/>
        </w:rPr>
      </w:pPr>
      <w:r>
        <w:rPr>
          <w:rFonts w:ascii="Arial" w:cs="Arial" w:eastAsia="Arial" w:hAnsi="Arial"/>
          <w:sz w:val="22"/>
          <w:szCs w:val="22"/>
          <w:color w:val="auto"/>
        </w:rPr>
        <w:t xml:space="preserve">(a) </w:t>
      </w:r>
      <w:r>
        <w:rPr>
          <w:rFonts w:ascii="MS PGothic" w:cs="MS PGothic" w:eastAsia="MS PGothic" w:hAnsi="MS PGothic"/>
          <w:sz w:val="22"/>
          <w:szCs w:val="22"/>
          <w:color w:val="auto"/>
        </w:rPr>
        <w:t>☐</w:t>
      </w:r>
      <w:r>
        <w:rPr>
          <w:sz w:val="20"/>
          <w:szCs w:val="20"/>
          <w:color w:val="auto"/>
        </w:rPr>
        <w:tab/>
      </w:r>
      <w:r>
        <w:rPr>
          <w:rFonts w:ascii="Arial" w:cs="Arial" w:eastAsia="Arial" w:hAnsi="Arial"/>
          <w:sz w:val="21"/>
          <w:szCs w:val="21"/>
          <w:color w:val="auto"/>
        </w:rPr>
        <w:t xml:space="preserve">(b) </w:t>
      </w:r>
      <w:r>
        <w:rPr>
          <w:rFonts w:ascii="MS PGothic" w:cs="MS PGothic" w:eastAsia="MS PGothic" w:hAnsi="MS PGothic"/>
          <w:sz w:val="21"/>
          <w:szCs w:val="21"/>
          <w:color w:val="auto"/>
        </w:rPr>
        <w:t>☒</w:t>
      </w:r>
    </w:p>
    <w:p>
      <w:pPr>
        <w:spacing w:after="0" w:line="255" w:lineRule="exact"/>
        <w:rPr>
          <w:sz w:val="20"/>
          <w:szCs w:val="20"/>
          <w:color w:val="auto"/>
        </w:rPr>
      </w:pPr>
    </w:p>
    <w:p>
      <w:pPr>
        <w:ind w:left="920" w:hanging="665"/>
        <w:spacing w:after="0"/>
        <w:tabs>
          <w:tab w:leader="none" w:pos="92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920" w:hanging="665"/>
        <w:spacing w:after="0"/>
        <w:tabs>
          <w:tab w:leader="none" w:pos="92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920"/>
        <w:spacing w:after="0"/>
        <w:tabs>
          <w:tab w:leader="none" w:pos="2320" w:val="left"/>
        </w:tabs>
        <w:rPr>
          <w:sz w:val="20"/>
          <w:szCs w:val="20"/>
          <w:color w:val="auto"/>
        </w:rPr>
      </w:pPr>
      <w:r>
        <w:rPr>
          <w:rFonts w:ascii="Arial" w:cs="Arial" w:eastAsia="Arial" w:hAnsi="Arial"/>
          <w:sz w:val="22"/>
          <w:szCs w:val="22"/>
          <w:color w:val="auto"/>
        </w:rPr>
        <w:t>AF</w:t>
      </w:r>
      <w:r>
        <w:rPr>
          <w:sz w:val="20"/>
          <w:szCs w:val="20"/>
          <w:color w:val="auto"/>
        </w:rPr>
        <w:tab/>
      </w:r>
      <w:r>
        <w:rPr>
          <w:rFonts w:ascii="Arial" w:cs="Arial" w:eastAsia="Arial" w:hAnsi="Arial"/>
          <w:sz w:val="22"/>
          <w:szCs w:val="22"/>
          <w:color w:val="auto"/>
        </w:rPr>
        <w:t>(See Item 3)</w:t>
      </w:r>
    </w:p>
    <w:p>
      <w:pPr>
        <w:spacing w:after="0" w:line="22" w:lineRule="exact"/>
        <w:rPr>
          <w:sz w:val="20"/>
          <w:szCs w:val="20"/>
          <w:color w:val="auto"/>
        </w:rPr>
      </w:pPr>
    </w:p>
    <w:p>
      <w:pPr>
        <w:ind w:left="920" w:hanging="665"/>
        <w:spacing w:after="0"/>
        <w:tabs>
          <w:tab w:leader="none" w:pos="92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w:t>
      </w:r>
    </w:p>
    <w:p>
      <w:pPr>
        <w:spacing w:after="0" w:line="200" w:lineRule="exact"/>
        <w:rPr>
          <w:sz w:val="20"/>
          <w:szCs w:val="20"/>
          <w:color w:val="auto"/>
        </w:rPr>
      </w:pPr>
    </w:p>
    <w:p>
      <w:pPr>
        <w:spacing w:after="0" w:line="294" w:lineRule="exact"/>
        <w:rPr>
          <w:sz w:val="20"/>
          <w:szCs w:val="20"/>
          <w:color w:val="auto"/>
        </w:rPr>
      </w:pPr>
    </w:p>
    <w:p>
      <w:pPr>
        <w:ind w:left="920" w:hanging="665"/>
        <w:spacing w:after="0"/>
        <w:tabs>
          <w:tab w:leader="none" w:pos="9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Delaware</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7</w:t>
            </w:r>
          </w:p>
        </w:tc>
        <w:tc>
          <w:tcPr>
            <w:tcW w:w="696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SOLE VOTING POWER</w:t>
            </w:r>
          </w:p>
        </w:tc>
        <w:tc>
          <w:tcPr>
            <w:tcW w:w="24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160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rPr>
              <w:t>NUMBER OF</w:t>
            </w:r>
          </w:p>
        </w:tc>
        <w:tc>
          <w:tcPr>
            <w:tcW w:w="440" w:type="dxa"/>
            <w:vAlign w:val="bottom"/>
            <w:tcBorders>
              <w:right w:val="single" w:sz="8" w:color="auto"/>
            </w:tcBorders>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22"/>
                <w:szCs w:val="22"/>
                <w:color w:val="auto"/>
                <w:w w:val="92"/>
              </w:rPr>
              <w:t>4,838,054 shares</w:t>
            </w:r>
          </w:p>
        </w:tc>
        <w:tc>
          <w:tcPr>
            <w:tcW w:w="5280" w:type="dxa"/>
            <w:vAlign w:val="bottom"/>
          </w:tcPr>
          <w:p>
            <w:pPr>
              <w:ind w:left="1000"/>
              <w:spacing w:after="0"/>
              <w:rPr>
                <w:sz w:val="20"/>
                <w:szCs w:val="20"/>
                <w:color w:val="auto"/>
              </w:rPr>
            </w:pPr>
            <w:r>
              <w:rPr>
                <w:rFonts w:ascii="Arial" w:cs="Arial" w:eastAsia="Arial" w:hAnsi="Arial"/>
                <w:sz w:val="22"/>
                <w:szCs w:val="22"/>
                <w:color w:val="auto"/>
              </w:rPr>
              <w:t>(See Item 5)</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480" w:type="dxa"/>
            <w:vAlign w:val="bottom"/>
          </w:tcPr>
          <w:p>
            <w:pPr>
              <w:spacing w:after="0"/>
              <w:rPr>
                <w:sz w:val="3"/>
                <w:szCs w:val="3"/>
                <w:color w:val="auto"/>
              </w:rPr>
            </w:pPr>
          </w:p>
        </w:tc>
        <w:tc>
          <w:tcPr>
            <w:tcW w:w="1120" w:type="dxa"/>
            <w:vAlign w:val="bottom"/>
            <w:tcBorders>
              <w:right w:val="single" w:sz="8" w:color="auto"/>
            </w:tcBorders>
            <w:vMerge w:val="restart"/>
          </w:tcPr>
          <w:p>
            <w:pPr>
              <w:jc w:val="center"/>
              <w:ind w:right="226"/>
              <w:spacing w:after="0"/>
              <w:rPr>
                <w:sz w:val="20"/>
                <w:szCs w:val="20"/>
                <w:color w:val="auto"/>
              </w:rPr>
            </w:pPr>
            <w:r>
              <w:rPr>
                <w:rFonts w:ascii="Arial" w:cs="Arial" w:eastAsia="Arial" w:hAnsi="Arial"/>
                <w:sz w:val="18"/>
                <w:szCs w:val="18"/>
                <w:b w:val="1"/>
                <w:bCs w:val="1"/>
                <w:color w:val="auto"/>
                <w:w w:val="95"/>
              </w:rPr>
              <w:t>SHARES</w:t>
            </w:r>
          </w:p>
        </w:tc>
        <w:tc>
          <w:tcPr>
            <w:tcW w:w="440" w:type="dxa"/>
            <w:vAlign w:val="bottom"/>
            <w:tcBorders>
              <w:bottom w:val="single" w:sz="8" w:color="auto"/>
              <w:right w:val="single" w:sz="8" w:color="auto"/>
            </w:tcBorders>
          </w:tcPr>
          <w:p>
            <w:pPr>
              <w:spacing w:after="0"/>
              <w:rPr>
                <w:sz w:val="3"/>
                <w:szCs w:val="3"/>
                <w:color w:val="auto"/>
              </w:rPr>
            </w:pPr>
          </w:p>
        </w:tc>
        <w:tc>
          <w:tcPr>
            <w:tcW w:w="6960" w:type="dxa"/>
            <w:vAlign w:val="bottom"/>
            <w:tcBorders>
              <w:bottom w:val="single" w:sz="8" w:color="auto"/>
            </w:tcBorders>
            <w:gridSpan w:val="3"/>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440" w:type="dxa"/>
            <w:vAlign w:val="bottom"/>
            <w:tcBorders>
              <w:right w:val="single" w:sz="8" w:color="auto"/>
            </w:tcBorders>
          </w:tcPr>
          <w:p>
            <w:pPr>
              <w:ind w:left="180"/>
              <w:spacing w:after="0" w:line="156" w:lineRule="exact"/>
              <w:rPr>
                <w:sz w:val="20"/>
                <w:szCs w:val="20"/>
                <w:color w:val="auto"/>
              </w:rPr>
            </w:pPr>
            <w:r>
              <w:rPr>
                <w:rFonts w:ascii="Arial" w:cs="Arial" w:eastAsia="Arial" w:hAnsi="Arial"/>
                <w:sz w:val="18"/>
                <w:szCs w:val="18"/>
                <w:b w:val="1"/>
                <w:bCs w:val="1"/>
                <w:color w:val="auto"/>
              </w:rPr>
              <w:t>8</w:t>
            </w:r>
          </w:p>
        </w:tc>
        <w:tc>
          <w:tcPr>
            <w:tcW w:w="6960" w:type="dxa"/>
            <w:vAlign w:val="bottom"/>
            <w:gridSpan w:val="3"/>
          </w:tcPr>
          <w:p>
            <w:pPr>
              <w:ind w:left="80"/>
              <w:spacing w:after="0" w:line="156" w:lineRule="exact"/>
              <w:rPr>
                <w:sz w:val="20"/>
                <w:szCs w:val="20"/>
                <w:color w:val="auto"/>
              </w:rPr>
            </w:pPr>
            <w:r>
              <w:rPr>
                <w:rFonts w:ascii="Arial" w:cs="Arial" w:eastAsia="Arial" w:hAnsi="Arial"/>
                <w:sz w:val="18"/>
                <w:szCs w:val="18"/>
                <w:b w:val="1"/>
                <w:bCs w:val="1"/>
                <w:color w:val="auto"/>
              </w:rPr>
              <w:t>SHARED VOTING POWER</w:t>
            </w: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600" w:type="dxa"/>
            <w:vAlign w:val="bottom"/>
            <w:tcBorders>
              <w:right w:val="single" w:sz="8" w:color="auto"/>
            </w:tcBorders>
            <w:gridSpan w:val="2"/>
          </w:tcPr>
          <w:p>
            <w:pPr>
              <w:jc w:val="center"/>
              <w:ind w:left="90"/>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right w:val="single" w:sz="8" w:color="auto"/>
            </w:tcBorders>
          </w:tcPr>
          <w:p>
            <w:pPr>
              <w:spacing w:after="0"/>
              <w:rPr>
                <w:sz w:val="18"/>
                <w:szCs w:val="18"/>
                <w:color w:val="auto"/>
              </w:rPr>
            </w:pPr>
          </w:p>
        </w:tc>
        <w:tc>
          <w:tcPr>
            <w:tcW w:w="1080" w:type="dxa"/>
            <w:vAlign w:val="bottom"/>
            <w:vMerge w:val="restart"/>
          </w:tcPr>
          <w:p>
            <w:pPr>
              <w:ind w:left="80"/>
              <w:spacing w:after="0"/>
              <w:rPr>
                <w:sz w:val="20"/>
                <w:szCs w:val="20"/>
                <w:color w:val="auto"/>
              </w:rPr>
            </w:pPr>
            <w:r>
              <w:rPr>
                <w:rFonts w:ascii="Arial" w:cs="Arial" w:eastAsia="Arial" w:hAnsi="Arial"/>
                <w:sz w:val="22"/>
                <w:szCs w:val="22"/>
                <w:color w:val="auto"/>
              </w:rPr>
              <w:t>None</w:t>
            </w:r>
          </w:p>
        </w:tc>
        <w:tc>
          <w:tcPr>
            <w:tcW w:w="600" w:type="dxa"/>
            <w:vAlign w:val="bottom"/>
          </w:tcPr>
          <w:p>
            <w:pPr>
              <w:spacing w:after="0"/>
              <w:rPr>
                <w:sz w:val="18"/>
                <w:szCs w:val="18"/>
                <w:color w:val="auto"/>
              </w:rPr>
            </w:pPr>
          </w:p>
        </w:tc>
        <w:tc>
          <w:tcPr>
            <w:tcW w:w="5280" w:type="dxa"/>
            <w:vAlign w:val="bottom"/>
            <w:vMerge w:val="restart"/>
          </w:tcPr>
          <w:p>
            <w:pPr>
              <w:ind w:left="20"/>
              <w:spacing w:after="0"/>
              <w:rPr>
                <w:sz w:val="20"/>
                <w:szCs w:val="20"/>
                <w:color w:val="auto"/>
              </w:rPr>
            </w:pPr>
            <w:r>
              <w:rPr>
                <w:rFonts w:ascii="Arial" w:cs="Arial" w:eastAsia="Arial" w:hAnsi="Arial"/>
                <w:sz w:val="22"/>
                <w:szCs w:val="22"/>
                <w:color w:val="auto"/>
              </w:rPr>
              <w:t>(See Item 5)</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480" w:type="dxa"/>
            <w:vAlign w:val="bottom"/>
          </w:tcPr>
          <w:p>
            <w:pPr>
              <w:spacing w:after="0"/>
              <w:rPr>
                <w:sz w:val="10"/>
                <w:szCs w:val="10"/>
                <w:color w:val="auto"/>
              </w:rPr>
            </w:pPr>
          </w:p>
        </w:tc>
        <w:tc>
          <w:tcPr>
            <w:tcW w:w="1120" w:type="dxa"/>
            <w:vAlign w:val="bottom"/>
            <w:tcBorders>
              <w:right w:val="single" w:sz="8" w:color="auto"/>
            </w:tcBorders>
            <w:vMerge w:val="restart"/>
          </w:tcPr>
          <w:p>
            <w:pPr>
              <w:jc w:val="center"/>
              <w:ind w:right="226"/>
              <w:spacing w:after="0"/>
              <w:rPr>
                <w:sz w:val="20"/>
                <w:szCs w:val="20"/>
                <w:color w:val="auto"/>
              </w:rPr>
            </w:pPr>
            <w:r>
              <w:rPr>
                <w:rFonts w:ascii="Arial" w:cs="Arial" w:eastAsia="Arial" w:hAnsi="Arial"/>
                <w:sz w:val="18"/>
                <w:szCs w:val="18"/>
                <w:b w:val="1"/>
                <w:bCs w:val="1"/>
                <w:color w:val="auto"/>
              </w:rPr>
              <w:t>EACH</w:t>
            </w:r>
          </w:p>
        </w:tc>
        <w:tc>
          <w:tcPr>
            <w:tcW w:w="44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vMerge w:val="continue"/>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480" w:type="dxa"/>
            <w:vAlign w:val="bottom"/>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9</w:t>
            </w:r>
          </w:p>
        </w:tc>
        <w:tc>
          <w:tcPr>
            <w:tcW w:w="69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2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60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b w:val="1"/>
                <w:bCs w:val="1"/>
                <w:color w:val="auto"/>
              </w:rPr>
              <w:t>REPORTING</w:t>
            </w:r>
          </w:p>
        </w:tc>
        <w:tc>
          <w:tcPr>
            <w:tcW w:w="440" w:type="dxa"/>
            <w:vAlign w:val="bottom"/>
            <w:tcBorders>
              <w:right w:val="single" w:sz="8" w:color="auto"/>
            </w:tcBorders>
            <w:vMerge w:val="continue"/>
          </w:tcPr>
          <w:p>
            <w:pPr>
              <w:spacing w:after="0"/>
              <w:rPr>
                <w:sz w:val="13"/>
                <w:szCs w:val="13"/>
                <w:color w:val="auto"/>
              </w:rPr>
            </w:pPr>
          </w:p>
        </w:tc>
        <w:tc>
          <w:tcPr>
            <w:tcW w:w="6960" w:type="dxa"/>
            <w:vAlign w:val="bottom"/>
            <w:gridSpan w:val="3"/>
            <w:vMerge w:val="continue"/>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600" w:type="dxa"/>
            <w:vAlign w:val="bottom"/>
            <w:tcBorders>
              <w:right w:val="single" w:sz="8" w:color="auto"/>
            </w:tcBorders>
            <w:gridSpan w:val="2"/>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Borders>
              <w:right w:val="single" w:sz="8" w:color="auto"/>
            </w:tcBorders>
          </w:tcPr>
          <w:p>
            <w:pPr>
              <w:jc w:val="center"/>
              <w:ind w:right="226"/>
              <w:spacing w:after="0"/>
              <w:rPr>
                <w:sz w:val="20"/>
                <w:szCs w:val="20"/>
                <w:color w:val="auto"/>
              </w:rPr>
            </w:pPr>
            <w:r>
              <w:rPr>
                <w:rFonts w:ascii="Arial" w:cs="Arial" w:eastAsia="Arial" w:hAnsi="Arial"/>
                <w:sz w:val="18"/>
                <w:szCs w:val="18"/>
                <w:b w:val="1"/>
                <w:bCs w:val="1"/>
                <w:color w:val="auto"/>
                <w:w w:val="94"/>
              </w:rPr>
              <w:t>PERSON</w:t>
            </w:r>
          </w:p>
        </w:tc>
        <w:tc>
          <w:tcPr>
            <w:tcW w:w="440" w:type="dxa"/>
            <w:vAlign w:val="bottom"/>
            <w:tcBorders>
              <w:right w:val="single" w:sz="8" w:color="auto"/>
            </w:tcBorders>
          </w:tcPr>
          <w:p>
            <w:pPr>
              <w:spacing w:after="0"/>
              <w:rPr>
                <w:sz w:val="18"/>
                <w:szCs w:val="18"/>
                <w:color w:val="auto"/>
              </w:rPr>
            </w:pPr>
          </w:p>
        </w:tc>
        <w:tc>
          <w:tcPr>
            <w:tcW w:w="1680" w:type="dxa"/>
            <w:vAlign w:val="bottom"/>
            <w:gridSpan w:val="2"/>
            <w:vMerge w:val="restart"/>
          </w:tcPr>
          <w:p>
            <w:pPr>
              <w:ind w:left="80"/>
              <w:spacing w:after="0"/>
              <w:rPr>
                <w:sz w:val="20"/>
                <w:szCs w:val="20"/>
                <w:color w:val="auto"/>
              </w:rPr>
            </w:pPr>
            <w:r>
              <w:rPr>
                <w:rFonts w:ascii="Arial" w:cs="Arial" w:eastAsia="Arial" w:hAnsi="Arial"/>
                <w:sz w:val="22"/>
                <w:szCs w:val="22"/>
                <w:color w:val="auto"/>
                <w:w w:val="92"/>
              </w:rPr>
              <w:t>4,838,054 shares</w:t>
            </w:r>
          </w:p>
        </w:tc>
        <w:tc>
          <w:tcPr>
            <w:tcW w:w="5280" w:type="dxa"/>
            <w:vAlign w:val="bottom"/>
            <w:vMerge w:val="restart"/>
          </w:tcPr>
          <w:p>
            <w:pPr>
              <w:ind w:left="1000"/>
              <w:spacing w:after="0"/>
              <w:rPr>
                <w:sz w:val="20"/>
                <w:szCs w:val="20"/>
                <w:color w:val="auto"/>
              </w:rPr>
            </w:pPr>
            <w:r>
              <w:rPr>
                <w:rFonts w:ascii="Arial" w:cs="Arial" w:eastAsia="Arial" w:hAnsi="Arial"/>
                <w:sz w:val="22"/>
                <w:szCs w:val="22"/>
                <w:color w:val="auto"/>
              </w:rPr>
              <w:t>(See Item 5)</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8"/>
                <w:szCs w:val="18"/>
                <w:color w:val="auto"/>
              </w:rPr>
            </w:pPr>
          </w:p>
        </w:tc>
        <w:tc>
          <w:tcPr>
            <w:tcW w:w="1120" w:type="dxa"/>
            <w:vAlign w:val="bottom"/>
            <w:tcBorders>
              <w:right w:val="single" w:sz="8" w:color="auto"/>
            </w:tcBorders>
          </w:tcPr>
          <w:p>
            <w:pPr>
              <w:jc w:val="center"/>
              <w:ind w:right="226"/>
              <w:spacing w:after="0"/>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gridSpan w:val="2"/>
            <w:vMerge w:val="continue"/>
          </w:tcPr>
          <w:p>
            <w:pPr>
              <w:spacing w:after="0"/>
              <w:rPr>
                <w:sz w:val="18"/>
                <w:szCs w:val="18"/>
                <w:color w:val="auto"/>
              </w:rPr>
            </w:pPr>
          </w:p>
        </w:tc>
        <w:tc>
          <w:tcPr>
            <w:tcW w:w="5280" w:type="dxa"/>
            <w:vAlign w:val="bottom"/>
            <w:tcBorders>
              <w:bottom w:val="single" w:sz="8" w:color="auto"/>
            </w:tcBorders>
            <w:vMerge w:val="continue"/>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10</w:t>
            </w:r>
          </w:p>
        </w:tc>
        <w:tc>
          <w:tcPr>
            <w:tcW w:w="6960" w:type="dxa"/>
            <w:vAlign w:val="bottom"/>
            <w:gridSpan w:val="3"/>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None</w:t>
            </w:r>
          </w:p>
        </w:tc>
        <w:tc>
          <w:tcPr>
            <w:tcW w:w="6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(See Item 5)</w:t>
            </w: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Pr>
          <w:p>
            <w:pPr>
              <w:ind w:left="260"/>
              <w:spacing w:after="0"/>
              <w:rPr>
                <w:sz w:val="20"/>
                <w:szCs w:val="20"/>
                <w:color w:val="auto"/>
              </w:rPr>
            </w:pPr>
            <w:r>
              <w:rPr>
                <w:rFonts w:ascii="Arial" w:cs="Arial" w:eastAsia="Arial" w:hAnsi="Arial"/>
                <w:sz w:val="18"/>
                <w:szCs w:val="18"/>
                <w:b w:val="1"/>
                <w:bCs w:val="1"/>
                <w:color w:val="auto"/>
                <w:w w:val="99"/>
              </w:rPr>
              <w:t>11</w:t>
            </w:r>
          </w:p>
        </w:tc>
        <w:tc>
          <w:tcPr>
            <w:tcW w:w="1560" w:type="dxa"/>
            <w:vAlign w:val="bottom"/>
            <w:gridSpan w:val="2"/>
          </w:tcPr>
          <w:p>
            <w:pPr>
              <w:ind w:left="440"/>
              <w:spacing w:after="0"/>
              <w:rPr>
                <w:sz w:val="20"/>
                <w:szCs w:val="20"/>
                <w:color w:val="auto"/>
              </w:rPr>
            </w:pPr>
            <w:r>
              <w:rPr>
                <w:rFonts w:ascii="Arial" w:cs="Arial" w:eastAsia="Arial" w:hAnsi="Arial"/>
                <w:sz w:val="18"/>
                <w:szCs w:val="18"/>
                <w:b w:val="1"/>
                <w:bCs w:val="1"/>
                <w:color w:val="auto"/>
                <w:w w:val="93"/>
              </w:rPr>
              <w:t>AGGREGATE</w:t>
            </w:r>
          </w:p>
        </w:tc>
        <w:tc>
          <w:tcPr>
            <w:tcW w:w="696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ind w:left="440"/>
              <w:spacing w:after="0"/>
              <w:rPr>
                <w:sz w:val="20"/>
                <w:szCs w:val="20"/>
                <w:color w:val="auto"/>
              </w:rPr>
            </w:pPr>
            <w:r>
              <w:rPr>
                <w:rFonts w:ascii="Arial" w:cs="Arial" w:eastAsia="Arial" w:hAnsi="Arial"/>
                <w:sz w:val="22"/>
                <w:szCs w:val="22"/>
                <w:color w:val="auto"/>
              </w:rPr>
              <w:t>4,838,054 shares</w:t>
            </w:r>
          </w:p>
        </w:tc>
        <w:tc>
          <w:tcPr>
            <w:tcW w:w="5880" w:type="dxa"/>
            <w:vAlign w:val="bottom"/>
            <w:tcBorders>
              <w:bottom w:val="single" w:sz="8" w:color="auto"/>
            </w:tcBorders>
            <w:gridSpan w:val="2"/>
          </w:tcPr>
          <w:p>
            <w:pPr>
              <w:ind w:left="400"/>
              <w:spacing w:after="0"/>
              <w:rPr>
                <w:sz w:val="20"/>
                <w:szCs w:val="20"/>
                <w:color w:val="auto"/>
              </w:rPr>
            </w:pPr>
            <w:r>
              <w:rPr>
                <w:rFonts w:ascii="Arial" w:cs="Arial" w:eastAsia="Arial" w:hAnsi="Arial"/>
                <w:sz w:val="22"/>
                <w:szCs w:val="22"/>
                <w:color w:val="auto"/>
              </w:rPr>
              <w:t>(See Item 5)</w:t>
            </w: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ind w:left="260"/>
              <w:spacing w:after="0"/>
              <w:rPr>
                <w:sz w:val="20"/>
                <w:szCs w:val="20"/>
                <w:color w:val="auto"/>
              </w:rPr>
            </w:pPr>
            <w:r>
              <w:rPr>
                <w:rFonts w:ascii="Arial" w:cs="Arial" w:eastAsia="Arial" w:hAnsi="Arial"/>
                <w:sz w:val="18"/>
                <w:szCs w:val="18"/>
                <w:b w:val="1"/>
                <w:bCs w:val="1"/>
                <w:color w:val="auto"/>
                <w:w w:val="99"/>
              </w:rPr>
              <w:t>12</w:t>
            </w:r>
          </w:p>
        </w:tc>
        <w:tc>
          <w:tcPr>
            <w:tcW w:w="8520" w:type="dxa"/>
            <w:vAlign w:val="bottom"/>
            <w:gridSpan w:val="5"/>
          </w:tcPr>
          <w:p>
            <w:pPr>
              <w:ind w:left="440"/>
              <w:spacing w:after="0"/>
              <w:rPr>
                <w:sz w:val="20"/>
                <w:szCs w:val="20"/>
                <w:color w:val="auto"/>
              </w:rPr>
            </w:pPr>
            <w:r>
              <w:rPr>
                <w:rFonts w:ascii="Arial" w:cs="Arial" w:eastAsia="Arial" w:hAnsi="Arial"/>
                <w:sz w:val="18"/>
                <w:szCs w:val="18"/>
                <w:b w:val="1"/>
                <w:bCs w:val="1"/>
                <w:color w:val="auto"/>
              </w:rPr>
              <w:t>CHECK BOX IF THE AGGREGATE AMOUNT IN ROW (11) EXCLUDES CERTAIN SHARES*</w:t>
            </w:r>
          </w:p>
        </w:tc>
        <w:tc>
          <w:tcPr>
            <w:tcW w:w="24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960" w:type="dxa"/>
            <w:vAlign w:val="bottom"/>
            <w:tcBorders>
              <w:bottom w:val="single" w:sz="8" w:color="auto"/>
            </w:tcBorders>
            <w:gridSpan w:val="3"/>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0" w:type="dxa"/>
            <w:vAlign w:val="bottom"/>
          </w:tcPr>
          <w:p>
            <w:pPr>
              <w:ind w:left="260"/>
              <w:spacing w:after="0"/>
              <w:rPr>
                <w:sz w:val="20"/>
                <w:szCs w:val="20"/>
                <w:color w:val="auto"/>
              </w:rPr>
            </w:pPr>
            <w:r>
              <w:rPr>
                <w:rFonts w:ascii="Arial" w:cs="Arial" w:eastAsia="Arial" w:hAnsi="Arial"/>
                <w:sz w:val="18"/>
                <w:szCs w:val="18"/>
                <w:b w:val="1"/>
                <w:bCs w:val="1"/>
                <w:color w:val="auto"/>
                <w:w w:val="99"/>
              </w:rPr>
              <w:t>13</w:t>
            </w:r>
          </w:p>
        </w:tc>
        <w:tc>
          <w:tcPr>
            <w:tcW w:w="8520" w:type="dxa"/>
            <w:vAlign w:val="bottom"/>
            <w:gridSpan w:val="5"/>
          </w:tcPr>
          <w:p>
            <w:pPr>
              <w:ind w:left="4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440"/>
              <w:spacing w:after="0"/>
              <w:rPr>
                <w:sz w:val="20"/>
                <w:szCs w:val="20"/>
                <w:color w:val="auto"/>
              </w:rPr>
            </w:pPr>
            <w:r>
              <w:rPr>
                <w:rFonts w:ascii="Arial" w:cs="Arial" w:eastAsia="Arial" w:hAnsi="Arial"/>
                <w:sz w:val="22"/>
                <w:szCs w:val="22"/>
                <w:color w:val="auto"/>
              </w:rPr>
              <w:t>9.5%</w:t>
            </w: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(See Item 5)</w:t>
            </w:r>
          </w:p>
        </w:tc>
        <w:tc>
          <w:tcPr>
            <w:tcW w:w="6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Pr>
          <w:p>
            <w:pPr>
              <w:ind w:left="260"/>
              <w:spacing w:after="0"/>
              <w:rPr>
                <w:sz w:val="20"/>
                <w:szCs w:val="20"/>
                <w:color w:val="auto"/>
              </w:rPr>
            </w:pPr>
            <w:r>
              <w:rPr>
                <w:rFonts w:ascii="Arial" w:cs="Arial" w:eastAsia="Arial" w:hAnsi="Arial"/>
                <w:sz w:val="18"/>
                <w:szCs w:val="18"/>
                <w:b w:val="1"/>
                <w:bCs w:val="1"/>
                <w:color w:val="auto"/>
                <w:w w:val="99"/>
              </w:rPr>
              <w:t>14</w:t>
            </w:r>
          </w:p>
        </w:tc>
        <w:tc>
          <w:tcPr>
            <w:tcW w:w="3240" w:type="dxa"/>
            <w:vAlign w:val="bottom"/>
            <w:gridSpan w:val="4"/>
          </w:tcPr>
          <w:p>
            <w:pPr>
              <w:ind w:left="440"/>
              <w:spacing w:after="0"/>
              <w:rPr>
                <w:sz w:val="20"/>
                <w:szCs w:val="20"/>
                <w:color w:val="auto"/>
              </w:rPr>
            </w:pPr>
            <w:r>
              <w:rPr>
                <w:rFonts w:ascii="Arial" w:cs="Arial" w:eastAsia="Arial" w:hAnsi="Arial"/>
                <w:sz w:val="18"/>
                <w:szCs w:val="18"/>
                <w:b w:val="1"/>
                <w:bCs w:val="1"/>
                <w:color w:val="auto"/>
              </w:rPr>
              <w:t>TYPE OF REPORTING PERSON*</w:t>
            </w:r>
          </w:p>
        </w:tc>
        <w:tc>
          <w:tcPr>
            <w:tcW w:w="52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CO – Corporation</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5" w:name="page6"/>
    <w:bookmarkEnd w:id="5"/>
    <w:p>
      <w:pPr>
        <w:spacing w:after="0"/>
        <w:tabs>
          <w:tab w:leader="none" w:pos="502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6 OF 10 PAGES</w:t>
      </w:r>
    </w:p>
    <w:p>
      <w:pPr>
        <w:spacing w:after="0" w:line="140" w:lineRule="exact"/>
        <w:rPr>
          <w:sz w:val="20"/>
          <w:szCs w:val="20"/>
          <w:color w:val="auto"/>
        </w:rPr>
      </w:pPr>
    </w:p>
    <w:p>
      <w:pPr>
        <w:ind w:left="920" w:hanging="665"/>
        <w:spacing w:after="0"/>
        <w:tabs>
          <w:tab w:leader="none" w:pos="92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NAME OF REPORTING PERSONS</w:t>
      </w:r>
    </w:p>
    <w:p>
      <w:pPr>
        <w:spacing w:after="0" w:line="27" w:lineRule="exact"/>
        <w:rPr>
          <w:rFonts w:ascii="Arial" w:cs="Arial" w:eastAsia="Arial" w:hAnsi="Arial"/>
          <w:sz w:val="18"/>
          <w:szCs w:val="18"/>
          <w:b w:val="1"/>
          <w:bCs w:val="1"/>
          <w:color w:val="auto"/>
        </w:rPr>
      </w:pPr>
    </w:p>
    <w:p>
      <w:pPr>
        <w:ind w:left="9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I.R.S. IDENTIFICATION NOS. OF ABOVE PERSONS (ENTITIES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-276860</wp:posOffset>
            </wp:positionV>
            <wp:extent cx="7254875" cy="628586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4875" cy="6285865"/>
                    </a:xfrm>
                    <a:prstGeom prst="rect">
                      <a:avLst/>
                    </a:prstGeom>
                    <a:noFill/>
                  </pic:spPr>
                </pic:pic>
              </a:graphicData>
            </a:graphic>
          </wp:anchor>
        </w:drawing>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22"/>
          <w:szCs w:val="22"/>
          <w:color w:val="auto"/>
        </w:rPr>
        <w:t>Willem Mesdag</w:t>
      </w:r>
    </w:p>
    <w:p>
      <w:pPr>
        <w:spacing w:after="0" w:line="22" w:lineRule="exact"/>
        <w:rPr>
          <w:sz w:val="20"/>
          <w:szCs w:val="20"/>
          <w:color w:val="auto"/>
        </w:rPr>
      </w:pPr>
    </w:p>
    <w:p>
      <w:pPr>
        <w:ind w:left="920" w:hanging="665"/>
        <w:spacing w:after="0"/>
        <w:tabs>
          <w:tab w:leader="none" w:pos="92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1" w:lineRule="exact"/>
        <w:rPr>
          <w:sz w:val="20"/>
          <w:szCs w:val="20"/>
          <w:color w:val="auto"/>
        </w:rPr>
      </w:pPr>
    </w:p>
    <w:p>
      <w:pPr>
        <w:ind w:left="920"/>
        <w:spacing w:after="0" w:line="207" w:lineRule="exact"/>
        <w:tabs>
          <w:tab w:leader="none" w:pos="1720"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66" w:lineRule="exact"/>
        <w:rPr>
          <w:sz w:val="20"/>
          <w:szCs w:val="20"/>
          <w:color w:val="auto"/>
        </w:rPr>
      </w:pPr>
    </w:p>
    <w:p>
      <w:pPr>
        <w:ind w:left="920" w:hanging="665"/>
        <w:spacing w:after="0"/>
        <w:tabs>
          <w:tab w:leader="none" w:pos="92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79" w:lineRule="exact"/>
        <w:rPr>
          <w:sz w:val="20"/>
          <w:szCs w:val="20"/>
          <w:color w:val="auto"/>
        </w:rPr>
      </w:pPr>
    </w:p>
    <w:p>
      <w:pPr>
        <w:ind w:left="920" w:hanging="665"/>
        <w:spacing w:after="0"/>
        <w:tabs>
          <w:tab w:leader="none" w:pos="92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SOURCE OF FUNDS*</w:t>
      </w:r>
    </w:p>
    <w:p>
      <w:pPr>
        <w:spacing w:after="0" w:line="249" w:lineRule="exact"/>
        <w:rPr>
          <w:sz w:val="20"/>
          <w:szCs w:val="20"/>
          <w:color w:val="auto"/>
        </w:rPr>
      </w:pPr>
    </w:p>
    <w:p>
      <w:pPr>
        <w:ind w:left="920"/>
        <w:spacing w:after="0"/>
        <w:tabs>
          <w:tab w:leader="none" w:pos="2320" w:val="left"/>
        </w:tabs>
        <w:rPr>
          <w:sz w:val="20"/>
          <w:szCs w:val="20"/>
          <w:color w:val="auto"/>
        </w:rPr>
      </w:pPr>
      <w:r>
        <w:rPr>
          <w:rFonts w:ascii="Arial" w:cs="Arial" w:eastAsia="Arial" w:hAnsi="Arial"/>
          <w:sz w:val="22"/>
          <w:szCs w:val="22"/>
          <w:color w:val="auto"/>
        </w:rPr>
        <w:t>AF</w:t>
      </w:r>
      <w:r>
        <w:rPr>
          <w:sz w:val="20"/>
          <w:szCs w:val="20"/>
          <w:color w:val="auto"/>
        </w:rPr>
        <w:tab/>
      </w:r>
      <w:r>
        <w:rPr>
          <w:rFonts w:ascii="Arial" w:cs="Arial" w:eastAsia="Arial" w:hAnsi="Arial"/>
          <w:sz w:val="22"/>
          <w:szCs w:val="22"/>
          <w:color w:val="auto"/>
        </w:rPr>
        <w:t>(See Item 3)</w:t>
      </w:r>
    </w:p>
    <w:p>
      <w:pPr>
        <w:spacing w:after="0" w:line="22" w:lineRule="exact"/>
        <w:rPr>
          <w:sz w:val="20"/>
          <w:szCs w:val="20"/>
          <w:color w:val="auto"/>
        </w:rPr>
      </w:pPr>
    </w:p>
    <w:p>
      <w:pPr>
        <w:ind w:left="920" w:hanging="665"/>
        <w:spacing w:after="0"/>
        <w:tabs>
          <w:tab w:leader="none" w:pos="92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CHECK BOX IF DISCLOSURE OF LEGAL PROCEEDINGS IS REQUIRED PURSUANT TO</w:t>
      </w:r>
    </w:p>
    <w:p>
      <w:pPr>
        <w:spacing w:after="0" w:line="200" w:lineRule="exact"/>
        <w:rPr>
          <w:sz w:val="20"/>
          <w:szCs w:val="20"/>
          <w:color w:val="auto"/>
        </w:rPr>
      </w:pPr>
    </w:p>
    <w:p>
      <w:pPr>
        <w:spacing w:after="0" w:line="294" w:lineRule="exact"/>
        <w:rPr>
          <w:sz w:val="20"/>
          <w:szCs w:val="20"/>
          <w:color w:val="auto"/>
        </w:rPr>
      </w:pPr>
    </w:p>
    <w:p>
      <w:pPr>
        <w:ind w:left="920" w:hanging="665"/>
        <w:spacing w:after="0"/>
        <w:tabs>
          <w:tab w:leader="none" w:pos="92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CITIZENSHIP OR PLACE OF ORGANIZATION</w:t>
      </w:r>
    </w:p>
    <w:p>
      <w:pPr>
        <w:spacing w:after="0" w:line="249" w:lineRule="exact"/>
        <w:rPr>
          <w:sz w:val="20"/>
          <w:szCs w:val="20"/>
          <w:color w:val="auto"/>
        </w:rPr>
      </w:pPr>
    </w:p>
    <w:p>
      <w:pPr>
        <w:ind w:left="920"/>
        <w:spacing w:after="0"/>
        <w:rPr>
          <w:sz w:val="20"/>
          <w:szCs w:val="20"/>
          <w:color w:val="auto"/>
        </w:rPr>
      </w:pPr>
      <w:r>
        <w:rPr>
          <w:rFonts w:ascii="Arial" w:cs="Arial" w:eastAsia="Arial" w:hAnsi="Arial"/>
          <w:sz w:val="22"/>
          <w:szCs w:val="22"/>
          <w:color w:val="auto"/>
        </w:rPr>
        <w:t>U.S. Citizen</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Borders>
              <w:top w:val="single" w:sz="8" w:color="auto"/>
            </w:tcBorders>
          </w:tcPr>
          <w:p>
            <w:pPr>
              <w:spacing w:after="0"/>
              <w:rPr>
                <w:sz w:val="20"/>
                <w:szCs w:val="20"/>
                <w:color w:val="auto"/>
              </w:rPr>
            </w:pPr>
          </w:p>
        </w:tc>
        <w:tc>
          <w:tcPr>
            <w:tcW w:w="1120" w:type="dxa"/>
            <w:vAlign w:val="bottom"/>
            <w:tcBorders>
              <w:top w:val="single" w:sz="8" w:color="auto"/>
              <w:right w:val="single" w:sz="8" w:color="auto"/>
            </w:tcBorders>
          </w:tcPr>
          <w:p>
            <w:pPr>
              <w:spacing w:after="0"/>
              <w:rPr>
                <w:sz w:val="20"/>
                <w:szCs w:val="20"/>
                <w:color w:val="auto"/>
              </w:rPr>
            </w:pPr>
          </w:p>
        </w:tc>
        <w:tc>
          <w:tcPr>
            <w:tcW w:w="440" w:type="dxa"/>
            <w:vAlign w:val="bottom"/>
            <w:tcBorders>
              <w:top w:val="single" w:sz="8" w:color="auto"/>
              <w:right w:val="single" w:sz="8" w:color="auto"/>
            </w:tcBorders>
          </w:tcPr>
          <w:p>
            <w:pPr>
              <w:ind w:left="180"/>
              <w:spacing w:after="0"/>
              <w:rPr>
                <w:sz w:val="20"/>
                <w:szCs w:val="20"/>
                <w:color w:val="auto"/>
              </w:rPr>
            </w:pPr>
            <w:r>
              <w:rPr>
                <w:rFonts w:ascii="Arial" w:cs="Arial" w:eastAsia="Arial" w:hAnsi="Arial"/>
                <w:sz w:val="18"/>
                <w:szCs w:val="18"/>
                <w:b w:val="1"/>
                <w:bCs w:val="1"/>
                <w:color w:val="auto"/>
              </w:rPr>
              <w:t>7</w:t>
            </w:r>
          </w:p>
        </w:tc>
        <w:tc>
          <w:tcPr>
            <w:tcW w:w="6960" w:type="dxa"/>
            <w:vAlign w:val="bottom"/>
            <w:tcBorders>
              <w:top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SOLE VOTING POWER</w:t>
            </w:r>
          </w:p>
        </w:tc>
        <w:tc>
          <w:tcPr>
            <w:tcW w:w="24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3"/>
        </w:trPr>
        <w:tc>
          <w:tcPr>
            <w:tcW w:w="1600" w:type="dxa"/>
            <w:vAlign w:val="bottom"/>
            <w:tcBorders>
              <w:right w:val="single" w:sz="8" w:color="auto"/>
            </w:tcBorders>
            <w:gridSpan w:val="2"/>
          </w:tcPr>
          <w:p>
            <w:pPr>
              <w:jc w:val="center"/>
              <w:ind w:left="50"/>
              <w:spacing w:after="0"/>
              <w:rPr>
                <w:sz w:val="20"/>
                <w:szCs w:val="20"/>
                <w:color w:val="auto"/>
              </w:rPr>
            </w:pPr>
            <w:r>
              <w:rPr>
                <w:rFonts w:ascii="Arial" w:cs="Arial" w:eastAsia="Arial" w:hAnsi="Arial"/>
                <w:sz w:val="18"/>
                <w:szCs w:val="18"/>
                <w:b w:val="1"/>
                <w:bCs w:val="1"/>
                <w:color w:val="auto"/>
              </w:rPr>
              <w:t>NUMBER OF</w:t>
            </w:r>
          </w:p>
        </w:tc>
        <w:tc>
          <w:tcPr>
            <w:tcW w:w="440" w:type="dxa"/>
            <w:vAlign w:val="bottom"/>
            <w:tcBorders>
              <w:right w:val="single" w:sz="8" w:color="auto"/>
            </w:tcBorders>
          </w:tcPr>
          <w:p>
            <w:pPr>
              <w:spacing w:after="0"/>
              <w:rPr>
                <w:sz w:val="24"/>
                <w:szCs w:val="24"/>
                <w:color w:val="auto"/>
              </w:rPr>
            </w:pPr>
          </w:p>
        </w:tc>
        <w:tc>
          <w:tcPr>
            <w:tcW w:w="1680" w:type="dxa"/>
            <w:vAlign w:val="bottom"/>
            <w:gridSpan w:val="2"/>
          </w:tcPr>
          <w:p>
            <w:pPr>
              <w:ind w:left="80"/>
              <w:spacing w:after="0"/>
              <w:rPr>
                <w:sz w:val="20"/>
                <w:szCs w:val="20"/>
                <w:color w:val="auto"/>
              </w:rPr>
            </w:pPr>
            <w:r>
              <w:rPr>
                <w:rFonts w:ascii="Arial" w:cs="Arial" w:eastAsia="Arial" w:hAnsi="Arial"/>
                <w:sz w:val="22"/>
                <w:szCs w:val="22"/>
                <w:color w:val="auto"/>
                <w:w w:val="92"/>
              </w:rPr>
              <w:t>4,838,054 shares</w:t>
            </w:r>
          </w:p>
        </w:tc>
        <w:tc>
          <w:tcPr>
            <w:tcW w:w="5280" w:type="dxa"/>
            <w:vAlign w:val="bottom"/>
          </w:tcPr>
          <w:p>
            <w:pPr>
              <w:ind w:left="1000"/>
              <w:spacing w:after="0"/>
              <w:rPr>
                <w:sz w:val="20"/>
                <w:szCs w:val="20"/>
                <w:color w:val="auto"/>
              </w:rPr>
            </w:pPr>
            <w:r>
              <w:rPr>
                <w:rFonts w:ascii="Arial" w:cs="Arial" w:eastAsia="Arial" w:hAnsi="Arial"/>
                <w:sz w:val="22"/>
                <w:szCs w:val="22"/>
                <w:color w:val="auto"/>
              </w:rPr>
              <w:t>(See Item 5)</w:t>
            </w:r>
          </w:p>
        </w:tc>
        <w:tc>
          <w:tcPr>
            <w:tcW w:w="2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480" w:type="dxa"/>
            <w:vAlign w:val="bottom"/>
          </w:tcPr>
          <w:p>
            <w:pPr>
              <w:spacing w:after="0"/>
              <w:rPr>
                <w:sz w:val="3"/>
                <w:szCs w:val="3"/>
                <w:color w:val="auto"/>
              </w:rPr>
            </w:pPr>
          </w:p>
        </w:tc>
        <w:tc>
          <w:tcPr>
            <w:tcW w:w="1120" w:type="dxa"/>
            <w:vAlign w:val="bottom"/>
            <w:tcBorders>
              <w:right w:val="single" w:sz="8" w:color="auto"/>
            </w:tcBorders>
            <w:vMerge w:val="restart"/>
          </w:tcPr>
          <w:p>
            <w:pPr>
              <w:jc w:val="center"/>
              <w:ind w:right="226"/>
              <w:spacing w:after="0"/>
              <w:rPr>
                <w:sz w:val="20"/>
                <w:szCs w:val="20"/>
                <w:color w:val="auto"/>
              </w:rPr>
            </w:pPr>
            <w:r>
              <w:rPr>
                <w:rFonts w:ascii="Arial" w:cs="Arial" w:eastAsia="Arial" w:hAnsi="Arial"/>
                <w:sz w:val="18"/>
                <w:szCs w:val="18"/>
                <w:b w:val="1"/>
                <w:bCs w:val="1"/>
                <w:color w:val="auto"/>
                <w:w w:val="95"/>
              </w:rPr>
              <w:t>SHARES</w:t>
            </w:r>
          </w:p>
        </w:tc>
        <w:tc>
          <w:tcPr>
            <w:tcW w:w="440" w:type="dxa"/>
            <w:vAlign w:val="bottom"/>
            <w:tcBorders>
              <w:bottom w:val="single" w:sz="8" w:color="auto"/>
              <w:right w:val="single" w:sz="8" w:color="auto"/>
            </w:tcBorders>
          </w:tcPr>
          <w:p>
            <w:pPr>
              <w:spacing w:after="0"/>
              <w:rPr>
                <w:sz w:val="3"/>
                <w:szCs w:val="3"/>
                <w:color w:val="auto"/>
              </w:rPr>
            </w:pPr>
          </w:p>
        </w:tc>
        <w:tc>
          <w:tcPr>
            <w:tcW w:w="6960" w:type="dxa"/>
            <w:vAlign w:val="bottom"/>
            <w:tcBorders>
              <w:bottom w:val="single" w:sz="8" w:color="auto"/>
            </w:tcBorders>
            <w:gridSpan w:val="3"/>
          </w:tcPr>
          <w:p>
            <w:pPr>
              <w:spacing w:after="0"/>
              <w:rPr>
                <w:sz w:val="3"/>
                <w:szCs w:val="3"/>
                <w:color w:val="auto"/>
              </w:rPr>
            </w:pPr>
          </w:p>
        </w:tc>
        <w:tc>
          <w:tcPr>
            <w:tcW w:w="2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480" w:type="dxa"/>
            <w:vAlign w:val="bottom"/>
          </w:tcPr>
          <w:p>
            <w:pPr>
              <w:spacing w:after="0"/>
              <w:rPr>
                <w:sz w:val="13"/>
                <w:szCs w:val="13"/>
                <w:color w:val="auto"/>
              </w:rPr>
            </w:pPr>
          </w:p>
        </w:tc>
        <w:tc>
          <w:tcPr>
            <w:tcW w:w="1120" w:type="dxa"/>
            <w:vAlign w:val="bottom"/>
            <w:tcBorders>
              <w:right w:val="single" w:sz="8" w:color="auto"/>
            </w:tcBorders>
            <w:vMerge w:val="continue"/>
          </w:tcPr>
          <w:p>
            <w:pPr>
              <w:spacing w:after="0"/>
              <w:rPr>
                <w:sz w:val="13"/>
                <w:szCs w:val="13"/>
                <w:color w:val="auto"/>
              </w:rPr>
            </w:pPr>
          </w:p>
        </w:tc>
        <w:tc>
          <w:tcPr>
            <w:tcW w:w="440" w:type="dxa"/>
            <w:vAlign w:val="bottom"/>
            <w:tcBorders>
              <w:right w:val="single" w:sz="8" w:color="auto"/>
            </w:tcBorders>
          </w:tcPr>
          <w:p>
            <w:pPr>
              <w:ind w:left="180"/>
              <w:spacing w:after="0" w:line="156" w:lineRule="exact"/>
              <w:rPr>
                <w:sz w:val="20"/>
                <w:szCs w:val="20"/>
                <w:color w:val="auto"/>
              </w:rPr>
            </w:pPr>
            <w:r>
              <w:rPr>
                <w:rFonts w:ascii="Arial" w:cs="Arial" w:eastAsia="Arial" w:hAnsi="Arial"/>
                <w:sz w:val="18"/>
                <w:szCs w:val="18"/>
                <w:b w:val="1"/>
                <w:bCs w:val="1"/>
                <w:color w:val="auto"/>
              </w:rPr>
              <w:t>8</w:t>
            </w:r>
          </w:p>
        </w:tc>
        <w:tc>
          <w:tcPr>
            <w:tcW w:w="6960" w:type="dxa"/>
            <w:vAlign w:val="bottom"/>
            <w:gridSpan w:val="3"/>
          </w:tcPr>
          <w:p>
            <w:pPr>
              <w:ind w:left="80"/>
              <w:spacing w:after="0" w:line="156" w:lineRule="exact"/>
              <w:rPr>
                <w:sz w:val="20"/>
                <w:szCs w:val="20"/>
                <w:color w:val="auto"/>
              </w:rPr>
            </w:pPr>
            <w:r>
              <w:rPr>
                <w:rFonts w:ascii="Arial" w:cs="Arial" w:eastAsia="Arial" w:hAnsi="Arial"/>
                <w:sz w:val="18"/>
                <w:szCs w:val="18"/>
                <w:b w:val="1"/>
                <w:bCs w:val="1"/>
                <w:color w:val="auto"/>
              </w:rPr>
              <w:t>SHARED VOTING POWER</w:t>
            </w: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1600" w:type="dxa"/>
            <w:vAlign w:val="bottom"/>
            <w:tcBorders>
              <w:right w:val="single" w:sz="8" w:color="auto"/>
            </w:tcBorders>
            <w:gridSpan w:val="2"/>
          </w:tcPr>
          <w:p>
            <w:pPr>
              <w:jc w:val="center"/>
              <w:ind w:left="90"/>
              <w:spacing w:after="0"/>
              <w:rPr>
                <w:sz w:val="20"/>
                <w:szCs w:val="20"/>
                <w:color w:val="auto"/>
              </w:rPr>
            </w:pPr>
            <w:r>
              <w:rPr>
                <w:rFonts w:ascii="Arial" w:cs="Arial" w:eastAsia="Arial" w:hAnsi="Arial"/>
                <w:sz w:val="18"/>
                <w:szCs w:val="18"/>
                <w:b w:val="1"/>
                <w:bCs w:val="1"/>
                <w:color w:val="auto"/>
              </w:rPr>
              <w:t>BENEFICIALLY</w:t>
            </w:r>
          </w:p>
        </w:tc>
        <w:tc>
          <w:tcPr>
            <w:tcW w:w="44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2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00" w:type="dxa"/>
            <w:vAlign w:val="bottom"/>
            <w:tcBorders>
              <w:right w:val="single" w:sz="8" w:color="auto"/>
            </w:tcBorders>
            <w:gridSpan w:val="2"/>
          </w:tcPr>
          <w:p>
            <w:pPr>
              <w:jc w:val="center"/>
              <w:ind w:left="70"/>
              <w:spacing w:after="0"/>
              <w:rPr>
                <w:sz w:val="20"/>
                <w:szCs w:val="20"/>
                <w:color w:val="auto"/>
              </w:rPr>
            </w:pPr>
            <w:r>
              <w:rPr>
                <w:rFonts w:ascii="Arial" w:cs="Arial" w:eastAsia="Arial" w:hAnsi="Arial"/>
                <w:sz w:val="18"/>
                <w:szCs w:val="18"/>
                <w:b w:val="1"/>
                <w:bCs w:val="1"/>
                <w:color w:val="auto"/>
              </w:rPr>
              <w:t>OWNED BY</w:t>
            </w:r>
          </w:p>
        </w:tc>
        <w:tc>
          <w:tcPr>
            <w:tcW w:w="440" w:type="dxa"/>
            <w:vAlign w:val="bottom"/>
            <w:tcBorders>
              <w:right w:val="single" w:sz="8" w:color="auto"/>
            </w:tcBorders>
          </w:tcPr>
          <w:p>
            <w:pPr>
              <w:spacing w:after="0"/>
              <w:rPr>
                <w:sz w:val="18"/>
                <w:szCs w:val="18"/>
                <w:color w:val="auto"/>
              </w:rPr>
            </w:pPr>
          </w:p>
        </w:tc>
        <w:tc>
          <w:tcPr>
            <w:tcW w:w="1080" w:type="dxa"/>
            <w:vAlign w:val="bottom"/>
            <w:vMerge w:val="restart"/>
          </w:tcPr>
          <w:p>
            <w:pPr>
              <w:ind w:left="80"/>
              <w:spacing w:after="0"/>
              <w:rPr>
                <w:sz w:val="20"/>
                <w:szCs w:val="20"/>
                <w:color w:val="auto"/>
              </w:rPr>
            </w:pPr>
            <w:r>
              <w:rPr>
                <w:rFonts w:ascii="Arial" w:cs="Arial" w:eastAsia="Arial" w:hAnsi="Arial"/>
                <w:sz w:val="22"/>
                <w:szCs w:val="22"/>
                <w:color w:val="auto"/>
              </w:rPr>
              <w:t>None</w:t>
            </w:r>
          </w:p>
        </w:tc>
        <w:tc>
          <w:tcPr>
            <w:tcW w:w="600" w:type="dxa"/>
            <w:vAlign w:val="bottom"/>
          </w:tcPr>
          <w:p>
            <w:pPr>
              <w:spacing w:after="0"/>
              <w:rPr>
                <w:sz w:val="18"/>
                <w:szCs w:val="18"/>
                <w:color w:val="auto"/>
              </w:rPr>
            </w:pPr>
          </w:p>
        </w:tc>
        <w:tc>
          <w:tcPr>
            <w:tcW w:w="5280" w:type="dxa"/>
            <w:vAlign w:val="bottom"/>
            <w:vMerge w:val="restart"/>
          </w:tcPr>
          <w:p>
            <w:pPr>
              <w:ind w:left="20"/>
              <w:spacing w:after="0"/>
              <w:rPr>
                <w:sz w:val="20"/>
                <w:szCs w:val="20"/>
                <w:color w:val="auto"/>
              </w:rPr>
            </w:pPr>
            <w:r>
              <w:rPr>
                <w:rFonts w:ascii="Arial" w:cs="Arial" w:eastAsia="Arial" w:hAnsi="Arial"/>
                <w:sz w:val="22"/>
                <w:szCs w:val="22"/>
                <w:color w:val="auto"/>
              </w:rPr>
              <w:t>(See Item 5)</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480" w:type="dxa"/>
            <w:vAlign w:val="bottom"/>
          </w:tcPr>
          <w:p>
            <w:pPr>
              <w:spacing w:after="0"/>
              <w:rPr>
                <w:sz w:val="10"/>
                <w:szCs w:val="10"/>
                <w:color w:val="auto"/>
              </w:rPr>
            </w:pPr>
          </w:p>
        </w:tc>
        <w:tc>
          <w:tcPr>
            <w:tcW w:w="1120" w:type="dxa"/>
            <w:vAlign w:val="bottom"/>
            <w:tcBorders>
              <w:right w:val="single" w:sz="8" w:color="auto"/>
            </w:tcBorders>
            <w:vMerge w:val="restart"/>
          </w:tcPr>
          <w:p>
            <w:pPr>
              <w:jc w:val="center"/>
              <w:ind w:right="226"/>
              <w:spacing w:after="0"/>
              <w:rPr>
                <w:sz w:val="20"/>
                <w:szCs w:val="20"/>
                <w:color w:val="auto"/>
              </w:rPr>
            </w:pPr>
            <w:r>
              <w:rPr>
                <w:rFonts w:ascii="Arial" w:cs="Arial" w:eastAsia="Arial" w:hAnsi="Arial"/>
                <w:sz w:val="18"/>
                <w:szCs w:val="18"/>
                <w:b w:val="1"/>
                <w:bCs w:val="1"/>
                <w:color w:val="auto"/>
              </w:rPr>
              <w:t>EACH</w:t>
            </w:r>
          </w:p>
        </w:tc>
        <w:tc>
          <w:tcPr>
            <w:tcW w:w="440" w:type="dxa"/>
            <w:vAlign w:val="bottom"/>
            <w:tcBorders>
              <w:bottom w:val="single" w:sz="8" w:color="auto"/>
              <w:right w:val="single" w:sz="8" w:color="auto"/>
            </w:tcBorders>
          </w:tcPr>
          <w:p>
            <w:pPr>
              <w:spacing w:after="0"/>
              <w:rPr>
                <w:sz w:val="10"/>
                <w:szCs w:val="10"/>
                <w:color w:val="auto"/>
              </w:rPr>
            </w:pPr>
          </w:p>
        </w:tc>
        <w:tc>
          <w:tcPr>
            <w:tcW w:w="1080" w:type="dxa"/>
            <w:vAlign w:val="bottom"/>
            <w:tcBorders>
              <w:bottom w:val="single" w:sz="8" w:color="auto"/>
            </w:tcBorders>
            <w:vMerge w:val="continue"/>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5280" w:type="dxa"/>
            <w:vAlign w:val="bottom"/>
            <w:tcBorders>
              <w:bottom w:val="single" w:sz="8" w:color="auto"/>
            </w:tcBorders>
            <w:vMerge w:val="continue"/>
          </w:tcPr>
          <w:p>
            <w:pPr>
              <w:spacing w:after="0"/>
              <w:rPr>
                <w:sz w:val="10"/>
                <w:szCs w:val="10"/>
                <w:color w:val="auto"/>
              </w:rPr>
            </w:pPr>
          </w:p>
        </w:tc>
        <w:tc>
          <w:tcPr>
            <w:tcW w:w="24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71"/>
        </w:trPr>
        <w:tc>
          <w:tcPr>
            <w:tcW w:w="480" w:type="dxa"/>
            <w:vAlign w:val="bottom"/>
          </w:tcPr>
          <w:p>
            <w:pPr>
              <w:spacing w:after="0"/>
              <w:rPr>
                <w:sz w:val="6"/>
                <w:szCs w:val="6"/>
                <w:color w:val="auto"/>
              </w:rPr>
            </w:pPr>
          </w:p>
        </w:tc>
        <w:tc>
          <w:tcPr>
            <w:tcW w:w="1120" w:type="dxa"/>
            <w:vAlign w:val="bottom"/>
            <w:tcBorders>
              <w:right w:val="single" w:sz="8" w:color="auto"/>
            </w:tcBorders>
            <w:vMerge w:val="continue"/>
          </w:tcPr>
          <w:p>
            <w:pPr>
              <w:spacing w:after="0"/>
              <w:rPr>
                <w:sz w:val="6"/>
                <w:szCs w:val="6"/>
                <w:color w:val="auto"/>
              </w:rPr>
            </w:pPr>
          </w:p>
        </w:tc>
        <w:tc>
          <w:tcPr>
            <w:tcW w:w="440" w:type="dxa"/>
            <w:vAlign w:val="bottom"/>
            <w:tcBorders>
              <w:right w:val="single" w:sz="8" w:color="auto"/>
            </w:tcBorders>
            <w:vMerge w:val="restart"/>
          </w:tcPr>
          <w:p>
            <w:pPr>
              <w:ind w:left="180"/>
              <w:spacing w:after="0"/>
              <w:rPr>
                <w:sz w:val="20"/>
                <w:szCs w:val="20"/>
                <w:color w:val="auto"/>
              </w:rPr>
            </w:pPr>
            <w:r>
              <w:rPr>
                <w:rFonts w:ascii="Arial" w:cs="Arial" w:eastAsia="Arial" w:hAnsi="Arial"/>
                <w:sz w:val="18"/>
                <w:szCs w:val="18"/>
                <w:b w:val="1"/>
                <w:bCs w:val="1"/>
                <w:color w:val="auto"/>
              </w:rPr>
              <w:t>9</w:t>
            </w:r>
          </w:p>
        </w:tc>
        <w:tc>
          <w:tcPr>
            <w:tcW w:w="6960" w:type="dxa"/>
            <w:vAlign w:val="bottom"/>
            <w:gridSpan w:val="3"/>
            <w:vMerge w:val="restart"/>
          </w:tcPr>
          <w:p>
            <w:pPr>
              <w:ind w:left="80"/>
              <w:spacing w:after="0"/>
              <w:rPr>
                <w:sz w:val="20"/>
                <w:szCs w:val="20"/>
                <w:color w:val="auto"/>
              </w:rPr>
            </w:pPr>
            <w:r>
              <w:rPr>
                <w:rFonts w:ascii="Arial" w:cs="Arial" w:eastAsia="Arial" w:hAnsi="Arial"/>
                <w:sz w:val="18"/>
                <w:szCs w:val="18"/>
                <w:b w:val="1"/>
                <w:bCs w:val="1"/>
                <w:color w:val="auto"/>
              </w:rPr>
              <w:t>SOLE DISPOSITIVE POWER</w:t>
            </w:r>
          </w:p>
        </w:tc>
        <w:tc>
          <w:tcPr>
            <w:tcW w:w="2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600" w:type="dxa"/>
            <w:vAlign w:val="bottom"/>
            <w:tcBorders>
              <w:right w:val="single" w:sz="8" w:color="auto"/>
            </w:tcBorders>
            <w:gridSpan w:val="2"/>
            <w:vMerge w:val="restart"/>
          </w:tcPr>
          <w:p>
            <w:pPr>
              <w:jc w:val="center"/>
              <w:ind w:left="70"/>
              <w:spacing w:after="0"/>
              <w:rPr>
                <w:sz w:val="20"/>
                <w:szCs w:val="20"/>
                <w:color w:val="auto"/>
              </w:rPr>
            </w:pPr>
            <w:r>
              <w:rPr>
                <w:rFonts w:ascii="Arial" w:cs="Arial" w:eastAsia="Arial" w:hAnsi="Arial"/>
                <w:sz w:val="18"/>
                <w:szCs w:val="18"/>
                <w:b w:val="1"/>
                <w:bCs w:val="1"/>
                <w:color w:val="auto"/>
              </w:rPr>
              <w:t>REPORTING</w:t>
            </w:r>
          </w:p>
        </w:tc>
        <w:tc>
          <w:tcPr>
            <w:tcW w:w="440" w:type="dxa"/>
            <w:vAlign w:val="bottom"/>
            <w:tcBorders>
              <w:right w:val="single" w:sz="8" w:color="auto"/>
            </w:tcBorders>
            <w:vMerge w:val="continue"/>
          </w:tcPr>
          <w:p>
            <w:pPr>
              <w:spacing w:after="0"/>
              <w:rPr>
                <w:sz w:val="13"/>
                <w:szCs w:val="13"/>
                <w:color w:val="auto"/>
              </w:rPr>
            </w:pPr>
          </w:p>
        </w:tc>
        <w:tc>
          <w:tcPr>
            <w:tcW w:w="6960" w:type="dxa"/>
            <w:vAlign w:val="bottom"/>
            <w:gridSpan w:val="3"/>
            <w:vMerge w:val="continue"/>
          </w:tcPr>
          <w:p>
            <w:pPr>
              <w:spacing w:after="0"/>
              <w:rPr>
                <w:sz w:val="13"/>
                <w:szCs w:val="13"/>
                <w:color w:val="auto"/>
              </w:rPr>
            </w:pPr>
          </w:p>
        </w:tc>
        <w:tc>
          <w:tcPr>
            <w:tcW w:w="2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8"/>
        </w:trPr>
        <w:tc>
          <w:tcPr>
            <w:tcW w:w="1600" w:type="dxa"/>
            <w:vAlign w:val="bottom"/>
            <w:tcBorders>
              <w:right w:val="single" w:sz="8" w:color="auto"/>
            </w:tcBorders>
            <w:gridSpan w:val="2"/>
            <w:vMerge w:val="continue"/>
          </w:tcPr>
          <w:p>
            <w:pPr>
              <w:spacing w:after="0"/>
              <w:rPr>
                <w:sz w:val="5"/>
                <w:szCs w:val="5"/>
                <w:color w:val="auto"/>
              </w:rPr>
            </w:pPr>
          </w:p>
        </w:tc>
        <w:tc>
          <w:tcPr>
            <w:tcW w:w="440" w:type="dxa"/>
            <w:vAlign w:val="bottom"/>
            <w:tcBorders>
              <w:right w:val="single" w:sz="8" w:color="auto"/>
            </w:tcBorders>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5280" w:type="dxa"/>
            <w:vAlign w:val="bottom"/>
          </w:tcPr>
          <w:p>
            <w:pPr>
              <w:spacing w:after="0"/>
              <w:rPr>
                <w:sz w:val="5"/>
                <w:szCs w:val="5"/>
                <w:color w:val="auto"/>
              </w:rPr>
            </w:pPr>
          </w:p>
        </w:tc>
        <w:tc>
          <w:tcPr>
            <w:tcW w:w="2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480" w:type="dxa"/>
            <w:vAlign w:val="bottom"/>
          </w:tcPr>
          <w:p>
            <w:pPr>
              <w:spacing w:after="0"/>
              <w:rPr>
                <w:sz w:val="18"/>
                <w:szCs w:val="18"/>
                <w:color w:val="auto"/>
              </w:rPr>
            </w:pPr>
          </w:p>
        </w:tc>
        <w:tc>
          <w:tcPr>
            <w:tcW w:w="1120" w:type="dxa"/>
            <w:vAlign w:val="bottom"/>
            <w:tcBorders>
              <w:right w:val="single" w:sz="8" w:color="auto"/>
            </w:tcBorders>
          </w:tcPr>
          <w:p>
            <w:pPr>
              <w:jc w:val="center"/>
              <w:ind w:right="226"/>
              <w:spacing w:after="0"/>
              <w:rPr>
                <w:sz w:val="20"/>
                <w:szCs w:val="20"/>
                <w:color w:val="auto"/>
              </w:rPr>
            </w:pPr>
            <w:r>
              <w:rPr>
                <w:rFonts w:ascii="Arial" w:cs="Arial" w:eastAsia="Arial" w:hAnsi="Arial"/>
                <w:sz w:val="18"/>
                <w:szCs w:val="18"/>
                <w:b w:val="1"/>
                <w:bCs w:val="1"/>
                <w:color w:val="auto"/>
                <w:w w:val="94"/>
              </w:rPr>
              <w:t>PERSON</w:t>
            </w:r>
          </w:p>
        </w:tc>
        <w:tc>
          <w:tcPr>
            <w:tcW w:w="440" w:type="dxa"/>
            <w:vAlign w:val="bottom"/>
            <w:tcBorders>
              <w:right w:val="single" w:sz="8" w:color="auto"/>
            </w:tcBorders>
          </w:tcPr>
          <w:p>
            <w:pPr>
              <w:spacing w:after="0"/>
              <w:rPr>
                <w:sz w:val="18"/>
                <w:szCs w:val="18"/>
                <w:color w:val="auto"/>
              </w:rPr>
            </w:pPr>
          </w:p>
        </w:tc>
        <w:tc>
          <w:tcPr>
            <w:tcW w:w="1680" w:type="dxa"/>
            <w:vAlign w:val="bottom"/>
            <w:gridSpan w:val="2"/>
            <w:vMerge w:val="restart"/>
          </w:tcPr>
          <w:p>
            <w:pPr>
              <w:ind w:left="80"/>
              <w:spacing w:after="0"/>
              <w:rPr>
                <w:sz w:val="20"/>
                <w:szCs w:val="20"/>
                <w:color w:val="auto"/>
              </w:rPr>
            </w:pPr>
            <w:r>
              <w:rPr>
                <w:rFonts w:ascii="Arial" w:cs="Arial" w:eastAsia="Arial" w:hAnsi="Arial"/>
                <w:sz w:val="22"/>
                <w:szCs w:val="22"/>
                <w:color w:val="auto"/>
                <w:w w:val="92"/>
              </w:rPr>
              <w:t>4,838,054 shares</w:t>
            </w:r>
          </w:p>
        </w:tc>
        <w:tc>
          <w:tcPr>
            <w:tcW w:w="5280" w:type="dxa"/>
            <w:vAlign w:val="bottom"/>
            <w:vMerge w:val="restart"/>
          </w:tcPr>
          <w:p>
            <w:pPr>
              <w:ind w:left="1000"/>
              <w:spacing w:after="0"/>
              <w:rPr>
                <w:sz w:val="20"/>
                <w:szCs w:val="20"/>
                <w:color w:val="auto"/>
              </w:rPr>
            </w:pPr>
            <w:r>
              <w:rPr>
                <w:rFonts w:ascii="Arial" w:cs="Arial" w:eastAsia="Arial" w:hAnsi="Arial"/>
                <w:sz w:val="22"/>
                <w:szCs w:val="22"/>
                <w:color w:val="auto"/>
              </w:rPr>
              <w:t>(See Item 5)</w:t>
            </w: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80" w:type="dxa"/>
            <w:vAlign w:val="bottom"/>
          </w:tcPr>
          <w:p>
            <w:pPr>
              <w:spacing w:after="0"/>
              <w:rPr>
                <w:sz w:val="18"/>
                <w:szCs w:val="18"/>
                <w:color w:val="auto"/>
              </w:rPr>
            </w:pPr>
          </w:p>
        </w:tc>
        <w:tc>
          <w:tcPr>
            <w:tcW w:w="1120" w:type="dxa"/>
            <w:vAlign w:val="bottom"/>
            <w:tcBorders>
              <w:right w:val="single" w:sz="8" w:color="auto"/>
            </w:tcBorders>
          </w:tcPr>
          <w:p>
            <w:pPr>
              <w:jc w:val="center"/>
              <w:ind w:right="226"/>
              <w:spacing w:after="0"/>
              <w:rPr>
                <w:sz w:val="20"/>
                <w:szCs w:val="20"/>
                <w:color w:val="auto"/>
              </w:rPr>
            </w:pPr>
            <w:r>
              <w:rPr>
                <w:rFonts w:ascii="Arial" w:cs="Arial" w:eastAsia="Arial" w:hAnsi="Arial"/>
                <w:sz w:val="18"/>
                <w:szCs w:val="18"/>
                <w:b w:val="1"/>
                <w:bCs w:val="1"/>
                <w:color w:val="auto"/>
              </w:rPr>
              <w:t>WITH</w:t>
            </w:r>
          </w:p>
        </w:tc>
        <w:tc>
          <w:tcPr>
            <w:tcW w:w="440" w:type="dxa"/>
            <w:vAlign w:val="bottom"/>
            <w:tcBorders>
              <w:bottom w:val="single" w:sz="8" w:color="auto"/>
              <w:right w:val="single" w:sz="8" w:color="auto"/>
            </w:tcBorders>
          </w:tcPr>
          <w:p>
            <w:pPr>
              <w:spacing w:after="0"/>
              <w:rPr>
                <w:sz w:val="18"/>
                <w:szCs w:val="18"/>
                <w:color w:val="auto"/>
              </w:rPr>
            </w:pPr>
          </w:p>
        </w:tc>
        <w:tc>
          <w:tcPr>
            <w:tcW w:w="1680" w:type="dxa"/>
            <w:vAlign w:val="bottom"/>
            <w:tcBorders>
              <w:bottom w:val="single" w:sz="8" w:color="auto"/>
            </w:tcBorders>
            <w:gridSpan w:val="2"/>
            <w:vMerge w:val="continue"/>
          </w:tcPr>
          <w:p>
            <w:pPr>
              <w:spacing w:after="0"/>
              <w:rPr>
                <w:sz w:val="18"/>
                <w:szCs w:val="18"/>
                <w:color w:val="auto"/>
              </w:rPr>
            </w:pPr>
          </w:p>
        </w:tc>
        <w:tc>
          <w:tcPr>
            <w:tcW w:w="5280" w:type="dxa"/>
            <w:vAlign w:val="bottom"/>
            <w:tcBorders>
              <w:bottom w:val="single" w:sz="8" w:color="auto"/>
            </w:tcBorders>
            <w:vMerge w:val="continue"/>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480" w:type="dxa"/>
            <w:vAlign w:val="bottom"/>
          </w:tcPr>
          <w:p>
            <w:pPr>
              <w:spacing w:after="0"/>
              <w:rPr>
                <w:sz w:val="19"/>
                <w:szCs w:val="19"/>
                <w:color w:val="auto"/>
              </w:rPr>
            </w:pPr>
          </w:p>
        </w:tc>
        <w:tc>
          <w:tcPr>
            <w:tcW w:w="1120" w:type="dxa"/>
            <w:vAlign w:val="bottom"/>
            <w:tcBorders>
              <w:right w:val="single" w:sz="8" w:color="auto"/>
            </w:tcBorders>
          </w:tcPr>
          <w:p>
            <w:pPr>
              <w:spacing w:after="0"/>
              <w:rPr>
                <w:sz w:val="19"/>
                <w:szCs w:val="19"/>
                <w:color w:val="auto"/>
              </w:rPr>
            </w:pPr>
          </w:p>
        </w:tc>
        <w:tc>
          <w:tcPr>
            <w:tcW w:w="440" w:type="dxa"/>
            <w:vAlign w:val="bottom"/>
            <w:tcBorders>
              <w:right w:val="single" w:sz="8" w:color="auto"/>
            </w:tcBorders>
          </w:tcPr>
          <w:p>
            <w:pPr>
              <w:ind w:left="180"/>
              <w:spacing w:after="0"/>
              <w:rPr>
                <w:sz w:val="20"/>
                <w:szCs w:val="20"/>
                <w:color w:val="auto"/>
              </w:rPr>
            </w:pPr>
            <w:r>
              <w:rPr>
                <w:rFonts w:ascii="Arial" w:cs="Arial" w:eastAsia="Arial" w:hAnsi="Arial"/>
                <w:sz w:val="18"/>
                <w:szCs w:val="18"/>
                <w:b w:val="1"/>
                <w:bCs w:val="1"/>
                <w:color w:val="auto"/>
              </w:rPr>
              <w:t>10</w:t>
            </w:r>
          </w:p>
        </w:tc>
        <w:tc>
          <w:tcPr>
            <w:tcW w:w="6960" w:type="dxa"/>
            <w:vAlign w:val="bottom"/>
            <w:gridSpan w:val="3"/>
          </w:tcPr>
          <w:p>
            <w:pPr>
              <w:ind w:left="80"/>
              <w:spacing w:after="0"/>
              <w:rPr>
                <w:sz w:val="20"/>
                <w:szCs w:val="20"/>
                <w:color w:val="auto"/>
              </w:rPr>
            </w:pPr>
            <w:r>
              <w:rPr>
                <w:rFonts w:ascii="Arial" w:cs="Arial" w:eastAsia="Arial" w:hAnsi="Arial"/>
                <w:sz w:val="18"/>
                <w:szCs w:val="18"/>
                <w:b w:val="1"/>
                <w:bCs w:val="1"/>
                <w:color w:val="auto"/>
              </w:rPr>
              <w:t>SHARED DISPOSITIVE POWER</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None</w:t>
            </w:r>
          </w:p>
        </w:tc>
        <w:tc>
          <w:tcPr>
            <w:tcW w:w="6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(See Item 5)</w:t>
            </w: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Pr>
          <w:p>
            <w:pPr>
              <w:ind w:left="260"/>
              <w:spacing w:after="0"/>
              <w:rPr>
                <w:sz w:val="20"/>
                <w:szCs w:val="20"/>
                <w:color w:val="auto"/>
              </w:rPr>
            </w:pPr>
            <w:r>
              <w:rPr>
                <w:rFonts w:ascii="Arial" w:cs="Arial" w:eastAsia="Arial" w:hAnsi="Arial"/>
                <w:sz w:val="18"/>
                <w:szCs w:val="18"/>
                <w:b w:val="1"/>
                <w:bCs w:val="1"/>
                <w:color w:val="auto"/>
                <w:w w:val="99"/>
              </w:rPr>
              <w:t>11</w:t>
            </w:r>
          </w:p>
        </w:tc>
        <w:tc>
          <w:tcPr>
            <w:tcW w:w="1560" w:type="dxa"/>
            <w:vAlign w:val="bottom"/>
            <w:gridSpan w:val="2"/>
          </w:tcPr>
          <w:p>
            <w:pPr>
              <w:ind w:left="440"/>
              <w:spacing w:after="0"/>
              <w:rPr>
                <w:sz w:val="20"/>
                <w:szCs w:val="20"/>
                <w:color w:val="auto"/>
              </w:rPr>
            </w:pPr>
            <w:r>
              <w:rPr>
                <w:rFonts w:ascii="Arial" w:cs="Arial" w:eastAsia="Arial" w:hAnsi="Arial"/>
                <w:sz w:val="18"/>
                <w:szCs w:val="18"/>
                <w:b w:val="1"/>
                <w:bCs w:val="1"/>
                <w:color w:val="auto"/>
                <w:w w:val="93"/>
              </w:rPr>
              <w:t>AGGREGATE</w:t>
            </w:r>
          </w:p>
        </w:tc>
        <w:tc>
          <w:tcPr>
            <w:tcW w:w="6960" w:type="dxa"/>
            <w:vAlign w:val="bottom"/>
            <w:gridSpan w:val="3"/>
          </w:tcPr>
          <w:p>
            <w:pPr>
              <w:ind w:left="80"/>
              <w:spacing w:after="0"/>
              <w:rPr>
                <w:sz w:val="20"/>
                <w:szCs w:val="20"/>
                <w:color w:val="auto"/>
              </w:rPr>
            </w:pPr>
            <w:r>
              <w:rPr>
                <w:rFonts w:ascii="Arial" w:cs="Arial" w:eastAsia="Arial" w:hAnsi="Arial"/>
                <w:sz w:val="18"/>
                <w:szCs w:val="18"/>
                <w:b w:val="1"/>
                <w:bCs w:val="1"/>
                <w:color w:val="auto"/>
              </w:rPr>
              <w:t>AMOUNT BENEFICIALLY OWNED BY EACH REPORTING PERSON</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3"/>
          </w:tcPr>
          <w:p>
            <w:pPr>
              <w:ind w:left="440"/>
              <w:spacing w:after="0"/>
              <w:rPr>
                <w:sz w:val="20"/>
                <w:szCs w:val="20"/>
                <w:color w:val="auto"/>
              </w:rPr>
            </w:pPr>
            <w:r>
              <w:rPr>
                <w:rFonts w:ascii="Arial" w:cs="Arial" w:eastAsia="Arial" w:hAnsi="Arial"/>
                <w:sz w:val="22"/>
                <w:szCs w:val="22"/>
                <w:color w:val="auto"/>
              </w:rPr>
              <w:t>4,838,054 shares</w:t>
            </w:r>
          </w:p>
        </w:tc>
        <w:tc>
          <w:tcPr>
            <w:tcW w:w="5880" w:type="dxa"/>
            <w:vAlign w:val="bottom"/>
            <w:tcBorders>
              <w:bottom w:val="single" w:sz="8" w:color="auto"/>
            </w:tcBorders>
            <w:gridSpan w:val="2"/>
          </w:tcPr>
          <w:p>
            <w:pPr>
              <w:ind w:left="400"/>
              <w:spacing w:after="0"/>
              <w:rPr>
                <w:sz w:val="20"/>
                <w:szCs w:val="20"/>
                <w:color w:val="auto"/>
              </w:rPr>
            </w:pPr>
            <w:r>
              <w:rPr>
                <w:rFonts w:ascii="Arial" w:cs="Arial" w:eastAsia="Arial" w:hAnsi="Arial"/>
                <w:sz w:val="22"/>
                <w:szCs w:val="22"/>
                <w:color w:val="auto"/>
              </w:rPr>
              <w:t>(See Item 5)</w:t>
            </w: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8"/>
        </w:trPr>
        <w:tc>
          <w:tcPr>
            <w:tcW w:w="480" w:type="dxa"/>
            <w:vAlign w:val="bottom"/>
          </w:tcPr>
          <w:p>
            <w:pPr>
              <w:ind w:left="260"/>
              <w:spacing w:after="0"/>
              <w:rPr>
                <w:sz w:val="20"/>
                <w:szCs w:val="20"/>
                <w:color w:val="auto"/>
              </w:rPr>
            </w:pPr>
            <w:r>
              <w:rPr>
                <w:rFonts w:ascii="Arial" w:cs="Arial" w:eastAsia="Arial" w:hAnsi="Arial"/>
                <w:sz w:val="18"/>
                <w:szCs w:val="18"/>
                <w:b w:val="1"/>
                <w:bCs w:val="1"/>
                <w:color w:val="auto"/>
                <w:w w:val="99"/>
              </w:rPr>
              <w:t>12</w:t>
            </w:r>
          </w:p>
        </w:tc>
        <w:tc>
          <w:tcPr>
            <w:tcW w:w="8520" w:type="dxa"/>
            <w:vAlign w:val="bottom"/>
            <w:gridSpan w:val="5"/>
          </w:tcPr>
          <w:p>
            <w:pPr>
              <w:ind w:left="440"/>
              <w:spacing w:after="0"/>
              <w:rPr>
                <w:sz w:val="20"/>
                <w:szCs w:val="20"/>
                <w:color w:val="auto"/>
              </w:rPr>
            </w:pPr>
            <w:r>
              <w:rPr>
                <w:rFonts w:ascii="Arial" w:cs="Arial" w:eastAsia="Arial" w:hAnsi="Arial"/>
                <w:sz w:val="18"/>
                <w:szCs w:val="18"/>
                <w:b w:val="1"/>
                <w:bCs w:val="1"/>
                <w:color w:val="auto"/>
              </w:rPr>
              <w:t>CHECK BOX IF THE AGGREGATE AMOUNT IN ROW (11) EXCLUDES CERTAIN SHARES*</w:t>
            </w:r>
          </w:p>
        </w:tc>
        <w:tc>
          <w:tcPr>
            <w:tcW w:w="244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90"/>
        </w:trPr>
        <w:tc>
          <w:tcPr>
            <w:tcW w:w="4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960" w:type="dxa"/>
            <w:vAlign w:val="bottom"/>
            <w:tcBorders>
              <w:bottom w:val="single" w:sz="8" w:color="auto"/>
            </w:tcBorders>
            <w:gridSpan w:val="3"/>
          </w:tcPr>
          <w:p>
            <w:pPr>
              <w:spacing w:after="0"/>
              <w:rPr>
                <w:sz w:val="16"/>
                <w:szCs w:val="16"/>
                <w:color w:val="auto"/>
              </w:rPr>
            </w:pPr>
          </w:p>
        </w:tc>
        <w:tc>
          <w:tcPr>
            <w:tcW w:w="2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80" w:type="dxa"/>
            <w:vAlign w:val="bottom"/>
          </w:tcPr>
          <w:p>
            <w:pPr>
              <w:ind w:left="260"/>
              <w:spacing w:after="0"/>
              <w:rPr>
                <w:sz w:val="20"/>
                <w:szCs w:val="20"/>
                <w:color w:val="auto"/>
              </w:rPr>
            </w:pPr>
            <w:r>
              <w:rPr>
                <w:rFonts w:ascii="Arial" w:cs="Arial" w:eastAsia="Arial" w:hAnsi="Arial"/>
                <w:sz w:val="18"/>
                <w:szCs w:val="18"/>
                <w:b w:val="1"/>
                <w:bCs w:val="1"/>
                <w:color w:val="auto"/>
                <w:w w:val="99"/>
              </w:rPr>
              <w:t>13</w:t>
            </w:r>
          </w:p>
        </w:tc>
        <w:tc>
          <w:tcPr>
            <w:tcW w:w="8520" w:type="dxa"/>
            <w:vAlign w:val="bottom"/>
            <w:gridSpan w:val="5"/>
          </w:tcPr>
          <w:p>
            <w:pPr>
              <w:ind w:left="440"/>
              <w:spacing w:after="0"/>
              <w:rPr>
                <w:sz w:val="20"/>
                <w:szCs w:val="20"/>
                <w:color w:val="auto"/>
              </w:rPr>
            </w:pPr>
            <w:r>
              <w:rPr>
                <w:rFonts w:ascii="Arial" w:cs="Arial" w:eastAsia="Arial" w:hAnsi="Arial"/>
                <w:sz w:val="18"/>
                <w:szCs w:val="18"/>
                <w:b w:val="1"/>
                <w:bCs w:val="1"/>
                <w:color w:val="auto"/>
              </w:rPr>
              <w:t>PERCENT OF CLASS REPRESENTED BY AMOUNT IN ROW (11)</w:t>
            </w: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0"/>
        </w:trPr>
        <w:tc>
          <w:tcPr>
            <w:tcW w:w="4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ind w:left="440"/>
              <w:spacing w:after="0"/>
              <w:rPr>
                <w:sz w:val="20"/>
                <w:szCs w:val="20"/>
                <w:color w:val="auto"/>
              </w:rPr>
            </w:pPr>
            <w:r>
              <w:rPr>
                <w:rFonts w:ascii="Arial" w:cs="Arial" w:eastAsia="Arial" w:hAnsi="Arial"/>
                <w:sz w:val="22"/>
                <w:szCs w:val="22"/>
                <w:color w:val="auto"/>
              </w:rPr>
              <w:t>9.5%</w:t>
            </w:r>
          </w:p>
        </w:tc>
        <w:tc>
          <w:tcPr>
            <w:tcW w:w="1520" w:type="dxa"/>
            <w:vAlign w:val="bottom"/>
            <w:tcBorders>
              <w:bottom w:val="single" w:sz="8" w:color="auto"/>
            </w:tcBorders>
            <w:gridSpan w:val="2"/>
          </w:tcPr>
          <w:p>
            <w:pPr>
              <w:ind w:left="40"/>
              <w:spacing w:after="0"/>
              <w:rPr>
                <w:sz w:val="20"/>
                <w:szCs w:val="20"/>
                <w:color w:val="auto"/>
              </w:rPr>
            </w:pPr>
            <w:r>
              <w:rPr>
                <w:rFonts w:ascii="Arial" w:cs="Arial" w:eastAsia="Arial" w:hAnsi="Arial"/>
                <w:sz w:val="22"/>
                <w:szCs w:val="22"/>
                <w:color w:val="auto"/>
              </w:rPr>
              <w:t>(See Item 5)</w:t>
            </w:r>
          </w:p>
        </w:tc>
        <w:tc>
          <w:tcPr>
            <w:tcW w:w="6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80" w:type="dxa"/>
            <w:vAlign w:val="bottom"/>
          </w:tcPr>
          <w:p>
            <w:pPr>
              <w:ind w:left="260"/>
              <w:spacing w:after="0"/>
              <w:rPr>
                <w:sz w:val="20"/>
                <w:szCs w:val="20"/>
                <w:color w:val="auto"/>
              </w:rPr>
            </w:pPr>
            <w:r>
              <w:rPr>
                <w:rFonts w:ascii="Arial" w:cs="Arial" w:eastAsia="Arial" w:hAnsi="Arial"/>
                <w:sz w:val="18"/>
                <w:szCs w:val="18"/>
                <w:b w:val="1"/>
                <w:bCs w:val="1"/>
                <w:color w:val="auto"/>
                <w:w w:val="99"/>
              </w:rPr>
              <w:t>14</w:t>
            </w:r>
          </w:p>
        </w:tc>
        <w:tc>
          <w:tcPr>
            <w:tcW w:w="3240" w:type="dxa"/>
            <w:vAlign w:val="bottom"/>
            <w:gridSpan w:val="4"/>
          </w:tcPr>
          <w:p>
            <w:pPr>
              <w:ind w:left="440"/>
              <w:spacing w:after="0"/>
              <w:rPr>
                <w:sz w:val="20"/>
                <w:szCs w:val="20"/>
                <w:color w:val="auto"/>
              </w:rPr>
            </w:pPr>
            <w:r>
              <w:rPr>
                <w:rFonts w:ascii="Arial" w:cs="Arial" w:eastAsia="Arial" w:hAnsi="Arial"/>
                <w:sz w:val="18"/>
                <w:szCs w:val="18"/>
                <w:b w:val="1"/>
                <w:bCs w:val="1"/>
                <w:color w:val="auto"/>
              </w:rPr>
              <w:t>TYPE OF REPORTING PERSON*</w:t>
            </w:r>
          </w:p>
        </w:tc>
        <w:tc>
          <w:tcPr>
            <w:tcW w:w="52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3" w:lineRule="exact"/>
        <w:rPr>
          <w:sz w:val="20"/>
          <w:szCs w:val="20"/>
          <w:color w:val="auto"/>
        </w:rPr>
      </w:pPr>
    </w:p>
    <w:p>
      <w:pPr>
        <w:ind w:left="920"/>
        <w:spacing w:after="0"/>
        <w:rPr>
          <w:sz w:val="20"/>
          <w:szCs w:val="20"/>
          <w:color w:val="auto"/>
        </w:rPr>
      </w:pPr>
      <w:r>
        <w:rPr>
          <w:rFonts w:ascii="Arial" w:cs="Arial" w:eastAsia="Arial" w:hAnsi="Arial"/>
          <w:sz w:val="22"/>
          <w:szCs w:val="22"/>
          <w:color w:val="auto"/>
        </w:rPr>
        <w:t>IN – Individual</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  See Instructions</w:t>
      </w:r>
    </w:p>
    <w:p>
      <w:pPr>
        <w:sectPr>
          <w:pgSz w:w="11900" w:h="16838" w:orient="portrait"/>
          <w:cols w:equalWidth="0" w:num="1">
            <w:col w:w="11440"/>
          </w:cols>
          <w:pgMar w:left="240" w:top="274" w:right="219" w:bottom="1440" w:gutter="0" w:footer="0" w:header="0"/>
        </w:sectPr>
      </w:pPr>
    </w:p>
    <w:bookmarkStart w:id="6" w:name="page7"/>
    <w:bookmarkEnd w:id="6"/>
    <w:p>
      <w:pPr>
        <w:spacing w:after="0"/>
        <w:tabs>
          <w:tab w:leader="none" w:pos="502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7 OF 10 PAGES</w:t>
      </w:r>
    </w:p>
    <w:p>
      <w:pPr>
        <w:spacing w:after="0" w:line="22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This Amendment No. 3 amends and supplements the Schedule 13D filed with the Securities and Exchange Commission (the “SEC”) on March 25, 2013, as amended by Amendment No. 1 thereto, filed with the SEC on October 10, 2013, and Amendment No. 2 thereto, filed with the SEC on December 16, 2013, in each case by (i) Red Mountain Capital Partners LLC, a Delaware limited liability company (“RMCP LLC”), (ii) Red Mountain Partners, L.P., a Delaware limited partnership (“RMP”), (iii) RMCP GP LLC, a Delaware limited liability company (“RMCP GP”), (iv) Red Mountain Capital Management, Inc., a Delaware corporation (“RMCM”), and (v) Willem Mesdag, a natural person and citizen of the United States of America, with respect to the common stock, par value $0.01 per share (the “Common Stock”), of Destination XL Group, Inc., a Delaware corporation (“Destination XL”). The filing of any amendment to this Schedule 13D (including the filing of this Amendment No. 3) shall not be construed to be an admission by the Reporting Persons (as defined below) that a material change has occurred in the facts set forth in this Schedule 13D or that such amendment is required under Rule 13d-2 of the Securities Exchange Act of 1934, as amended.</w:t>
      </w:r>
    </w:p>
    <w:p>
      <w:pPr>
        <w:spacing w:after="0" w:line="182" w:lineRule="exact"/>
        <w:rPr>
          <w:sz w:val="20"/>
          <w:szCs w:val="20"/>
          <w:color w:val="auto"/>
        </w:rPr>
      </w:pPr>
    </w:p>
    <w:p>
      <w:pPr>
        <w:ind w:right="500" w:firstLine="456"/>
        <w:spacing w:after="0" w:line="277" w:lineRule="auto"/>
        <w:rPr>
          <w:sz w:val="20"/>
          <w:szCs w:val="20"/>
          <w:color w:val="auto"/>
        </w:rPr>
      </w:pPr>
      <w:r>
        <w:rPr>
          <w:rFonts w:ascii="Arial" w:cs="Arial" w:eastAsia="Arial" w:hAnsi="Arial"/>
          <w:sz w:val="18"/>
          <w:szCs w:val="18"/>
          <w:color w:val="auto"/>
        </w:rPr>
        <w:t>RMCP LLC, RMP, and RMCP GP are sometimes collectively referred to herein as “Red Mountain.” Red Mountain, RMCM and Mr. Mesdag are sometimes collectively referred to herein as the “Reporting Persons.”</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this Schedule 13D is hereby amended to include the following information:</w:t>
      </w:r>
    </w:p>
    <w:p>
      <w:pPr>
        <w:spacing w:after="0" w:line="117" w:lineRule="exact"/>
        <w:rPr>
          <w:sz w:val="20"/>
          <w:szCs w:val="20"/>
          <w:color w:val="auto"/>
        </w:rPr>
      </w:pPr>
    </w:p>
    <w:p>
      <w:pPr>
        <w:ind w:left="460" w:right="40"/>
        <w:spacing w:after="0" w:line="277" w:lineRule="auto"/>
        <w:rPr>
          <w:sz w:val="20"/>
          <w:szCs w:val="20"/>
          <w:color w:val="auto"/>
        </w:rPr>
      </w:pPr>
      <w:r>
        <w:rPr>
          <w:rFonts w:ascii="Arial" w:cs="Arial" w:eastAsia="Arial" w:hAnsi="Arial"/>
          <w:sz w:val="18"/>
          <w:szCs w:val="18"/>
          <w:color w:val="auto"/>
        </w:rPr>
        <w:t>On January 29, 2014, Willem Mesdag was elected to DXLG’s board of directors. As previously disclosed, Mr. Mesdag (and his principal occupation) is Managing Partner of Red Mountain.</w:t>
      </w:r>
    </w:p>
    <w:p>
      <w:pPr>
        <w:spacing w:after="0" w:line="315" w:lineRule="exact"/>
        <w:rPr>
          <w:sz w:val="20"/>
          <w:szCs w:val="20"/>
          <w:color w:val="auto"/>
        </w:rPr>
      </w:pPr>
    </w:p>
    <w:p>
      <w:pPr>
        <w:ind w:left="920" w:right="560" w:hanging="904"/>
        <w:spacing w:after="0" w:line="282" w:lineRule="auto"/>
        <w:tabs>
          <w:tab w:leader="none" w:pos="900" w:val="left"/>
        </w:tabs>
        <w:rPr>
          <w:sz w:val="20"/>
          <w:szCs w:val="20"/>
          <w:color w:val="auto"/>
        </w:rPr>
      </w:pPr>
      <w:r>
        <w:rPr>
          <w:rFonts w:ascii="Arial" w:cs="Arial" w:eastAsia="Arial" w:hAnsi="Arial"/>
          <w:sz w:val="18"/>
          <w:szCs w:val="18"/>
          <w:b w:val="1"/>
          <w:bCs w:val="1"/>
          <w:color w:val="auto"/>
        </w:rPr>
        <w:t>ITEM 6.</w:t>
        <w:tab/>
        <w:t>CONTRACTS, ARRANGEMENTS, UNDERSTANDINGS OR RELATIONSHIPS WITH RESPECT TO SECURITIES OF THE ISSUER.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color w:val="auto"/>
        </w:rPr>
        <w:t>Item 6 of this Schedule 13D is hereby amended to include the following information:</w:t>
      </w:r>
    </w:p>
    <w:p>
      <w:pPr>
        <w:spacing w:after="0" w:line="117" w:lineRule="exact"/>
        <w:rPr>
          <w:sz w:val="20"/>
          <w:szCs w:val="20"/>
          <w:color w:val="auto"/>
        </w:rPr>
      </w:pPr>
    </w:p>
    <w:p>
      <w:pPr>
        <w:ind w:left="460" w:right="60"/>
        <w:spacing w:after="0" w:line="284" w:lineRule="auto"/>
        <w:rPr>
          <w:sz w:val="20"/>
          <w:szCs w:val="20"/>
          <w:color w:val="auto"/>
        </w:rPr>
      </w:pPr>
      <w:r>
        <w:rPr>
          <w:rFonts w:ascii="Arial" w:cs="Arial" w:eastAsia="Arial" w:hAnsi="Arial"/>
          <w:sz w:val="16"/>
          <w:szCs w:val="16"/>
          <w:color w:val="auto"/>
        </w:rPr>
        <w:t>RMCP LLC and DXLG entered into a confidentiality and standstill agreement (the “Confidentiality and Standstill Agreement”) on January 29, 2014, pursuant to which DXLG has agreed to provide RMCP LLC with certain information about DXLG on a confidential basis, and RMCP LLC has agreed to certain standstill provisions. The standstill provisions include limitations on the ability of Red Mountain to (i) acquire more than 15% of the issued and outstanding Common Stock, (ii) solicit proxies to vote any Common Stock, (iii) submit a proposal to DXLG for any extraordinary transaction involving DXLG or any of its securities or assets, or (iv) seek to control or influence the board of directors or management or policies of DXLG. Unless terminated earlier pursuant to the provisions of the Standstill Agreement, the standstill provisions expire on the later to occur of</w:t>
      </w:r>
    </w:p>
    <w:p>
      <w:pPr>
        <w:spacing w:after="0" w:line="5" w:lineRule="exact"/>
        <w:rPr>
          <w:sz w:val="20"/>
          <w:szCs w:val="20"/>
          <w:color w:val="auto"/>
        </w:rPr>
      </w:pPr>
    </w:p>
    <w:p>
      <w:pPr>
        <w:ind w:left="460" w:right="60" w:firstLine="4"/>
        <w:spacing w:after="0" w:line="254" w:lineRule="auto"/>
        <w:tabs>
          <w:tab w:leader="none" w:pos="7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December 31, 2014 or (y) three months after the date upon which no persons affiliated with Red Mountain is serving on the DXLG board of directors; provided that the limitations on Red Mountain’s ability to acquire more than 15% of the issued and outstanding Common Stock expire on the later to occur of (X) December 31, 2014 or (Y) the date upon which no persons affiliated with Red Mountain is serving on the DXLG board of directors.</w:t>
      </w:r>
    </w:p>
    <w:p>
      <w:pPr>
        <w:spacing w:after="0" w:line="82" w:lineRule="exact"/>
        <w:rPr>
          <w:sz w:val="20"/>
          <w:szCs w:val="20"/>
          <w:color w:val="auto"/>
        </w:rPr>
      </w:pPr>
    </w:p>
    <w:p>
      <w:pPr>
        <w:ind w:left="460" w:right="100"/>
        <w:spacing w:after="0" w:line="342" w:lineRule="auto"/>
        <w:rPr>
          <w:sz w:val="20"/>
          <w:szCs w:val="20"/>
          <w:color w:val="auto"/>
        </w:rPr>
      </w:pPr>
      <w:r>
        <w:rPr>
          <w:rFonts w:ascii="Arial" w:cs="Arial" w:eastAsia="Arial" w:hAnsi="Arial"/>
          <w:sz w:val="16"/>
          <w:szCs w:val="16"/>
          <w:color w:val="auto"/>
        </w:rPr>
        <w:t>The foregoing description of the Confidentiality and Standstill Agreement is a summary only and is qualified in its entirety by reference to the full text of the Confidentiality and Standstill Agreement, which is filed as Exhibit 2 to this Schedule 13D and is hereby incorporated herein by reference.</w:t>
      </w:r>
    </w:p>
    <w:p>
      <w:pPr>
        <w:sectPr>
          <w:pgSz w:w="11900" w:h="16838" w:orient="portrait"/>
          <w:cols w:equalWidth="0" w:num="1">
            <w:col w:w="11420"/>
          </w:cols>
          <w:pgMar w:left="240" w:top="274" w:right="239" w:bottom="1440" w:gutter="0" w:footer="0" w:header="0"/>
        </w:sectPr>
      </w:pPr>
    </w:p>
    <w:bookmarkStart w:id="7" w:name="page8"/>
    <w:bookmarkEnd w:id="7"/>
    <w:p>
      <w:pPr>
        <w:spacing w:after="0"/>
        <w:tabs>
          <w:tab w:leader="none" w:pos="502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8 OF 10 PAGES</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7.</w:t>
        <w:tab/>
        <w:t>MATERIAL TO BE FILED AS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7 of this Schedule 13D is hereby amended to include the following information:</w:t>
      </w:r>
    </w:p>
    <w:p>
      <w:pPr>
        <w:spacing w:after="0" w:line="248" w:lineRule="exact"/>
        <w:rPr>
          <w:sz w:val="20"/>
          <w:szCs w:val="20"/>
          <w:color w:val="auto"/>
        </w:rPr>
      </w:pPr>
    </w:p>
    <w:p>
      <w:pPr>
        <w:spacing w:after="0"/>
        <w:tabs>
          <w:tab w:leader="none" w:pos="5620" w:val="left"/>
        </w:tabs>
        <w:rPr>
          <w:sz w:val="20"/>
          <w:szCs w:val="20"/>
          <w:color w:val="auto"/>
        </w:rPr>
      </w:pPr>
      <w:r>
        <w:rPr>
          <w:rFonts w:ascii="Arial" w:cs="Arial" w:eastAsia="Arial" w:hAnsi="Arial"/>
          <w:sz w:val="14"/>
          <w:szCs w:val="14"/>
          <w:u w:val="single" w:color="auto"/>
          <w:color w:val="auto"/>
        </w:rPr>
        <w:t>Exhibit No.</w:t>
      </w:r>
      <w:r>
        <w:rPr>
          <w:sz w:val="20"/>
          <w:szCs w:val="20"/>
          <w:color w:val="auto"/>
        </w:rPr>
        <w:tab/>
      </w:r>
      <w:r>
        <w:rPr>
          <w:rFonts w:ascii="Arial" w:cs="Arial" w:eastAsia="Arial" w:hAnsi="Arial"/>
          <w:sz w:val="13"/>
          <w:szCs w:val="13"/>
          <w:u w:val="single" w:color="auto"/>
          <w:color w:val="auto"/>
        </w:rPr>
        <w:t>Description of Exhibit</w:t>
      </w:r>
    </w:p>
    <w:p>
      <w:pPr>
        <w:spacing w:after="0" w:line="113" w:lineRule="exact"/>
        <w:rPr>
          <w:sz w:val="20"/>
          <w:szCs w:val="20"/>
          <w:color w:val="auto"/>
        </w:rPr>
      </w:pPr>
    </w:p>
    <w:p>
      <w:pPr>
        <w:ind w:left="1160" w:hanging="853"/>
        <w:spacing w:after="0"/>
        <w:tabs>
          <w:tab w:leader="none" w:pos="11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Confidentiality and Standstill Agreement, dated as of January 29, 2014, by and between DXLG and RMCP LLC (filed herewith).</w:t>
      </w:r>
    </w:p>
    <w:p>
      <w:pPr>
        <w:sectPr>
          <w:pgSz w:w="11900" w:h="16838" w:orient="portrait"/>
          <w:cols w:equalWidth="0" w:num="1">
            <w:col w:w="11420"/>
          </w:cols>
          <w:pgMar w:left="240" w:top="274" w:right="239" w:bottom="1440" w:gutter="0" w:footer="0" w:header="0"/>
        </w:sectPr>
      </w:pPr>
    </w:p>
    <w:bookmarkStart w:id="8" w:name="page9"/>
    <w:bookmarkEnd w:id="8"/>
    <w:p>
      <w:pPr>
        <w:spacing w:after="0"/>
        <w:tabs>
          <w:tab w:leader="none" w:pos="5020" w:val="left"/>
          <w:tab w:leader="none" w:pos="97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 25065K104</w:t>
      </w:r>
      <w:r>
        <w:rPr>
          <w:sz w:val="20"/>
          <w:szCs w:val="20"/>
          <w:color w:val="auto"/>
        </w:rPr>
        <w:tab/>
      </w:r>
      <w:r>
        <w:rPr>
          <w:rFonts w:ascii="Arial" w:cs="Arial" w:eastAsia="Arial" w:hAnsi="Arial"/>
          <w:sz w:val="18"/>
          <w:szCs w:val="18"/>
          <w:color w:val="auto"/>
        </w:rPr>
        <w:t>SCHEDULE 13D/A</w:t>
      </w:r>
      <w:r>
        <w:rPr>
          <w:sz w:val="20"/>
          <w:szCs w:val="20"/>
          <w:color w:val="auto"/>
        </w:rPr>
        <w:tab/>
      </w:r>
      <w:r>
        <w:rPr>
          <w:rFonts w:ascii="Arial" w:cs="Arial" w:eastAsia="Arial" w:hAnsi="Arial"/>
          <w:sz w:val="16"/>
          <w:szCs w:val="16"/>
          <w:color w:val="auto"/>
        </w:rPr>
        <w:t>PAGE 9 OF 10 PAGES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January 31, 2014</w:t>
      </w:r>
    </w:p>
    <w:p>
      <w:pPr>
        <w:spacing w:after="0" w:line="248"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RED MOUNTAIN CAPITAL PARTNERS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Willem Mesdag</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Authorized Signatory</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RED MOUNTAIN PARTNERS, L.P.</w:t>
      </w:r>
    </w:p>
    <w:p>
      <w:pPr>
        <w:spacing w:after="0" w:line="229" w:lineRule="exact"/>
        <w:rPr>
          <w:sz w:val="20"/>
          <w:szCs w:val="20"/>
          <w:color w:val="auto"/>
        </w:rPr>
      </w:pPr>
    </w:p>
    <w:p>
      <w:pPr>
        <w:ind w:left="686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RMCP GP LLC, its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Willem Mesdag</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Authorized Signatory</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RMCP GP LLC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Willem Mesdag</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Authorized Signatory</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RED MOUNTAIN CAPITAL MANAGEMENT, INC.</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Willem Mesdag</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-130810</wp:posOffset>
            </wp:positionV>
            <wp:extent cx="271843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 President</w:t>
      </w:r>
    </w:p>
    <w:p>
      <w:pPr>
        <w:spacing w:after="0" w:line="23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WILLEM MESDAG</w:t>
      </w:r>
    </w:p>
    <w:p>
      <w:pPr>
        <w:spacing w:after="0" w:line="229" w:lineRule="exact"/>
        <w:rPr>
          <w:sz w:val="20"/>
          <w:szCs w:val="20"/>
          <w:color w:val="auto"/>
        </w:rPr>
      </w:pPr>
    </w:p>
    <w:p>
      <w:pPr>
        <w:ind w:left="6900"/>
        <w:spacing w:after="0"/>
        <w:rPr>
          <w:sz w:val="20"/>
          <w:szCs w:val="20"/>
          <w:color w:val="auto"/>
        </w:rPr>
      </w:pPr>
      <w:r>
        <w:rPr>
          <w:rFonts w:ascii="Arial" w:cs="Arial" w:eastAsia="Arial" w:hAnsi="Arial"/>
          <w:sz w:val="18"/>
          <w:szCs w:val="18"/>
          <w:color w:val="auto"/>
        </w:rPr>
        <w:t>/s/ Willem Mesdag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14605</wp:posOffset>
            </wp:positionV>
            <wp:extent cx="288988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889885" cy="88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30"/>
        </w:trPr>
        <w:tc>
          <w:tcPr>
            <w:tcW w:w="3360" w:type="dxa"/>
            <w:vAlign w:val="bottom"/>
            <w:gridSpan w:val="2"/>
          </w:tcPr>
          <w:p>
            <w:pPr>
              <w:spacing w:after="0"/>
              <w:rPr>
                <w:sz w:val="20"/>
                <w:szCs w:val="20"/>
                <w:color w:val="auto"/>
              </w:rPr>
            </w:pPr>
            <w:r>
              <w:rPr>
                <w:rFonts w:ascii="Arial" w:cs="Arial" w:eastAsia="Arial" w:hAnsi="Arial"/>
                <w:sz w:val="18"/>
                <w:szCs w:val="18"/>
                <w:color w:val="auto"/>
              </w:rPr>
              <w:t>CUSIP No. 25065K104</w:t>
            </w:r>
          </w:p>
        </w:tc>
        <w:tc>
          <w:tcPr>
            <w:tcW w:w="3580" w:type="dxa"/>
            <w:vAlign w:val="bottom"/>
            <w:gridSpan w:val="2"/>
          </w:tcPr>
          <w:p>
            <w:pPr>
              <w:ind w:left="1680"/>
              <w:spacing w:after="0"/>
              <w:rPr>
                <w:sz w:val="20"/>
                <w:szCs w:val="20"/>
                <w:color w:val="auto"/>
              </w:rPr>
            </w:pPr>
            <w:r>
              <w:rPr>
                <w:rFonts w:ascii="Arial" w:cs="Arial" w:eastAsia="Arial" w:hAnsi="Arial"/>
                <w:sz w:val="18"/>
                <w:szCs w:val="18"/>
                <w:color w:val="auto"/>
              </w:rPr>
              <w:t>SCHEDULE 13D/A</w:t>
            </w:r>
          </w:p>
        </w:tc>
        <w:tc>
          <w:tcPr>
            <w:tcW w:w="4480" w:type="dxa"/>
            <w:vAlign w:val="bottom"/>
          </w:tcPr>
          <w:p>
            <w:pPr>
              <w:ind w:left="2700"/>
              <w:spacing w:after="0"/>
              <w:rPr>
                <w:sz w:val="20"/>
                <w:szCs w:val="20"/>
                <w:color w:val="auto"/>
              </w:rPr>
            </w:pPr>
            <w:r>
              <w:rPr>
                <w:rFonts w:ascii="Arial" w:cs="Arial" w:eastAsia="Arial" w:hAnsi="Arial"/>
                <w:sz w:val="18"/>
                <w:szCs w:val="18"/>
                <w:color w:val="auto"/>
                <w:w w:val="89"/>
              </w:rPr>
              <w:t>PAGE 10 OF 10 PAGES</w:t>
            </w:r>
          </w:p>
        </w:tc>
      </w:tr>
      <w:tr>
        <w:trPr>
          <w:trHeight w:val="432"/>
        </w:trPr>
        <w:tc>
          <w:tcPr>
            <w:tcW w:w="68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580" w:type="dxa"/>
            <w:vAlign w:val="bottom"/>
            <w:gridSpan w:val="2"/>
          </w:tcPr>
          <w:p>
            <w:pPr>
              <w:ind w:left="1660"/>
              <w:spacing w:after="0"/>
              <w:rPr>
                <w:sz w:val="20"/>
                <w:szCs w:val="20"/>
                <w:color w:val="auto"/>
              </w:rPr>
            </w:pPr>
            <w:r>
              <w:rPr>
                <w:rFonts w:ascii="Arial" w:cs="Arial" w:eastAsia="Arial" w:hAnsi="Arial"/>
                <w:sz w:val="18"/>
                <w:szCs w:val="18"/>
                <w:b w:val="1"/>
                <w:bCs w:val="1"/>
                <w:color w:val="auto"/>
              </w:rPr>
              <w:t>EXHIBIT INDEX</w:t>
            </w:r>
          </w:p>
        </w:tc>
        <w:tc>
          <w:tcPr>
            <w:tcW w:w="4480" w:type="dxa"/>
            <w:vAlign w:val="bottom"/>
          </w:tcPr>
          <w:p>
            <w:pPr>
              <w:spacing w:after="0"/>
              <w:rPr>
                <w:sz w:val="24"/>
                <w:szCs w:val="24"/>
                <w:color w:val="auto"/>
              </w:rPr>
            </w:pPr>
          </w:p>
        </w:tc>
      </w:tr>
      <w:tr>
        <w:trPr>
          <w:trHeight w:val="392"/>
        </w:trPr>
        <w:tc>
          <w:tcPr>
            <w:tcW w:w="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Exhibit No.</w:t>
            </w:r>
          </w:p>
        </w:tc>
        <w:tc>
          <w:tcPr>
            <w:tcW w:w="26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7"/>
              </w:rPr>
              <w:t>Description of Exhibit</w:t>
            </w:r>
          </w:p>
        </w:tc>
        <w:tc>
          <w:tcPr>
            <w:tcW w:w="4480" w:type="dxa"/>
            <w:vAlign w:val="bottom"/>
          </w:tcPr>
          <w:p>
            <w:pPr>
              <w:spacing w:after="0"/>
              <w:rPr>
                <w:sz w:val="24"/>
                <w:szCs w:val="24"/>
                <w:color w:val="auto"/>
              </w:rPr>
            </w:pPr>
          </w:p>
        </w:tc>
      </w:tr>
    </w:tbl>
    <w:p>
      <w:pPr>
        <w:spacing w:after="0" w:line="9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1160" w:right="500" w:hanging="853"/>
        <w:spacing w:after="0" w:line="277" w:lineRule="auto"/>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Joint Filing Agreement, dated as of March 25, 2013, by and among the Reporting Persons (incorporated by reference to Exhibit 1 to the Schedule 13D filed by the Reporting Persons with the SEC on March 25, 2013).</w:t>
      </w:r>
    </w:p>
    <w:p>
      <w:pPr>
        <w:spacing w:after="0" w:line="62" w:lineRule="exact"/>
        <w:rPr>
          <w:sz w:val="20"/>
          <w:szCs w:val="20"/>
          <w:color w:val="auto"/>
        </w:rPr>
      </w:pPr>
    </w:p>
    <w:p>
      <w:pPr>
        <w:ind w:left="1160" w:hanging="853"/>
        <w:spacing w:after="0"/>
        <w:tabs>
          <w:tab w:leader="none" w:pos="11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Confidentiality and Standstill Agreement, dated as of January 29, 2014, by and between DXLG and RMCP LLC (filed herewith).</w:t>
      </w:r>
    </w:p>
    <w:p>
      <w:pPr>
        <w:sectPr>
          <w:pgSz w:w="11900" w:h="16838" w:orient="portrait"/>
          <w:cols w:equalWidth="0" w:num="1">
            <w:col w:w="11420"/>
          </w:cols>
          <w:pgMar w:left="240" w:top="274"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2</w:t>
      </w:r>
    </w:p>
    <w:p>
      <w:pPr>
        <w:spacing w:after="0" w:line="12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EXECUTION VERSION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January 29,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 Mountain Capital Partners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10100 Santa Monica Boulevard, Suite 925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Angeles, California 90067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640" w:hanging="176"/>
        <w:spacing w:after="0"/>
        <w:tabs>
          <w:tab w:leader="none" w:pos="6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Red Mountain Capital Partners LLC, a Delaware limited liability company (“</w:t>
      </w:r>
      <w:r>
        <w:rPr>
          <w:rFonts w:ascii="Arial" w:cs="Arial" w:eastAsia="Arial" w:hAnsi="Arial"/>
          <w:sz w:val="18"/>
          <w:szCs w:val="18"/>
          <w:u w:val="single" w:color="auto"/>
          <w:color w:val="auto"/>
        </w:rPr>
        <w:t>Red Mountain</w:t>
      </w:r>
      <w:r>
        <w:rPr>
          <w:rFonts w:ascii="Arial" w:cs="Arial" w:eastAsia="Arial" w:hAnsi="Arial"/>
          <w:sz w:val="18"/>
          <w:szCs w:val="18"/>
          <w:color w:val="auto"/>
        </w:rPr>
        <w:t>”), and Destination XL Group, Inc., a Delaware</w:t>
      </w:r>
    </w:p>
    <w:p>
      <w:pPr>
        <w:spacing w:after="0" w:line="23" w:lineRule="exact"/>
        <w:rPr>
          <w:rFonts w:ascii="Arial" w:cs="Arial" w:eastAsia="Arial" w:hAnsi="Arial"/>
          <w:sz w:val="18"/>
          <w:szCs w:val="18"/>
          <w:color w:val="auto"/>
        </w:rPr>
      </w:pPr>
    </w:p>
    <w:p>
      <w:pPr>
        <w:ind w:right="20"/>
        <w:spacing w:after="0" w:line="252" w:lineRule="auto"/>
        <w:rPr>
          <w:rFonts w:ascii="Arial" w:cs="Arial" w:eastAsia="Arial" w:hAnsi="Arial"/>
          <w:sz w:val="18"/>
          <w:szCs w:val="18"/>
          <w:color w:val="auto"/>
        </w:rPr>
      </w:pPr>
      <w:r>
        <w:rPr>
          <w:rFonts w:ascii="Arial" w:cs="Arial" w:eastAsia="Arial" w:hAnsi="Arial"/>
          <w:sz w:val="18"/>
          <w:szCs w:val="18"/>
          <w:color w:val="auto"/>
        </w:rPr>
        <w:t>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and, together with Red Mountain, the “</w:t>
      </w:r>
      <w:r>
        <w:rPr>
          <w:rFonts w:ascii="Arial" w:cs="Arial" w:eastAsia="Arial" w:hAnsi="Arial"/>
          <w:sz w:val="18"/>
          <w:szCs w:val="18"/>
          <w:u w:val="single" w:color="auto"/>
          <w:color w:val="auto"/>
        </w:rPr>
        <w:t>Parties</w:t>
      </w:r>
      <w:r>
        <w:rPr>
          <w:rFonts w:ascii="Arial" w:cs="Arial" w:eastAsia="Arial" w:hAnsi="Arial"/>
          <w:sz w:val="18"/>
          <w:szCs w:val="18"/>
          <w:color w:val="auto"/>
        </w:rPr>
        <w:t>”), understand and agree that, subject to the terms of, and in accordance with, this letter agreement, the Company has agreed and expects to provide Red Mountain with certain information about its properties, employees, finances, businesses and operations (including monthly financial information and the information and materials provided or made available to the board of directors of the Company (the “</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during the time when any person affiliated with Red Mountain serves on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nothing in this letter agreement obligates the Company to disclose any information if such disclosure would be unlawful or result in a breach by the Company or one of its subsidiaries of a confidentiality agreement with a third party. Any such information provided by the Company shall be used by Red Mountain and its Affiliates (as defined below) solely to enable Red Mountain and its Affiliates to make non-publicly disclosed suggestions to the Board regarding the Company’s ongoing business and corporate strategies and policies.</w:t>
      </w:r>
    </w:p>
    <w:p>
      <w:pPr>
        <w:spacing w:after="0" w:line="191" w:lineRule="exact"/>
        <w:rPr>
          <w:rFonts w:ascii="Arial" w:cs="Arial" w:eastAsia="Arial" w:hAnsi="Arial"/>
          <w:sz w:val="18"/>
          <w:szCs w:val="18"/>
          <w:color w:val="auto"/>
        </w:rPr>
      </w:pPr>
    </w:p>
    <w:p>
      <w:pPr>
        <w:ind w:right="40" w:firstLine="464"/>
        <w:spacing w:after="0" w:line="269" w:lineRule="auto"/>
        <w:tabs>
          <w:tab w:leader="none" w:pos="636"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information about the Company or any third party that is furnished by the Company or its Representatives (as defined below) to Red Mountain before the date hereof, now or in the future, and regardless of the manner in which it is furnished, is referred to in this letter agreement as “</w:t>
      </w:r>
      <w:r>
        <w:rPr>
          <w:rFonts w:ascii="Arial" w:cs="Arial" w:eastAsia="Arial" w:hAnsi="Arial"/>
          <w:sz w:val="17"/>
          <w:szCs w:val="17"/>
          <w:u w:val="single" w:color="auto"/>
          <w:color w:val="auto"/>
        </w:rPr>
        <w:t>Proprietary</w:t>
      </w:r>
      <w:r>
        <w:rPr>
          <w:rFonts w:ascii="Arial" w:cs="Arial" w:eastAsia="Arial" w:hAnsi="Arial"/>
          <w:sz w:val="17"/>
          <w:szCs w:val="17"/>
          <w:color w:val="auto"/>
        </w:rPr>
        <w:t xml:space="preserve"> </w:t>
      </w:r>
      <w:r>
        <w:rPr>
          <w:rFonts w:ascii="Arial" w:cs="Arial" w:eastAsia="Arial" w:hAnsi="Arial"/>
          <w:sz w:val="17"/>
          <w:szCs w:val="17"/>
          <w:u w:val="single" w:color="auto"/>
          <w:color w:val="auto"/>
        </w:rPr>
        <w:t>Information</w:t>
      </w:r>
      <w:r>
        <w:rPr>
          <w:rFonts w:ascii="Arial" w:cs="Arial" w:eastAsia="Arial" w:hAnsi="Arial"/>
          <w:sz w:val="17"/>
          <w:szCs w:val="17"/>
          <w:color w:val="auto"/>
        </w:rPr>
        <w:t>”. Proprietary Information does not include, however, any information that (i) is or becomes generally available to the public other than as a result of a disclosure by Red Mountain, any of its Affiliates or any of their respective Representatives in violation of this letter agreement; (ii) was available to Red Mountain, any of its Affiliates or any of their respective Representatives on a non-confidential basis prior to its disclosure by the Company or its Representatives; (iii) becomes available to Red Mountain, any of its Affiliates or any of their respective Representatives from a person other than the Company or its Representatives who is not subject to any legally binding obligation to keep such information confidential; or (iv) was independently developed by Red Mountain, any of its Affiliates or any of their respective Representatives without reference to or use of the Proprietary Information. For purposes of this letter agreement, (x) “</w:t>
      </w:r>
      <w:r>
        <w:rPr>
          <w:rFonts w:ascii="Arial" w:cs="Arial" w:eastAsia="Arial" w:hAnsi="Arial"/>
          <w:sz w:val="17"/>
          <w:szCs w:val="17"/>
          <w:u w:val="single" w:color="auto"/>
          <w:color w:val="auto"/>
        </w:rPr>
        <w:t>Affiliates</w:t>
      </w:r>
      <w:r>
        <w:rPr>
          <w:rFonts w:ascii="Arial" w:cs="Arial" w:eastAsia="Arial" w:hAnsi="Arial"/>
          <w:sz w:val="17"/>
          <w:szCs w:val="17"/>
          <w:color w:val="auto"/>
        </w:rPr>
        <w:t>” of Red Mountain shall mean (A) Red Mountain Partners, L.P., a Delaware limited partnership, (B) RMCP GP LLC, a Delaware limited liability company, (C) Red Mountain Capital Management, Inc., and (D) Willem Mesdag, a natural person, (y) “</w:t>
      </w:r>
      <w:r>
        <w:rPr>
          <w:rFonts w:ascii="Arial" w:cs="Arial" w:eastAsia="Arial" w:hAnsi="Arial"/>
          <w:sz w:val="17"/>
          <w:szCs w:val="17"/>
          <w:u w:val="single" w:color="auto"/>
          <w:color w:val="auto"/>
        </w:rPr>
        <w:t>Representative</w:t>
      </w:r>
      <w:r>
        <w:rPr>
          <w:rFonts w:ascii="Arial" w:cs="Arial" w:eastAsia="Arial" w:hAnsi="Arial"/>
          <w:sz w:val="17"/>
          <w:szCs w:val="17"/>
          <w:color w:val="auto"/>
        </w:rPr>
        <w:t>” shall mean, as to any person, its directors, officers, employees, agents and attorneys; and (z) “</w:t>
      </w:r>
      <w:r>
        <w:rPr>
          <w:rFonts w:ascii="Arial" w:cs="Arial" w:eastAsia="Arial" w:hAnsi="Arial"/>
          <w:sz w:val="17"/>
          <w:szCs w:val="17"/>
          <w:u w:val="single" w:color="auto"/>
          <w:color w:val="auto"/>
        </w:rPr>
        <w:t>person</w:t>
      </w:r>
      <w:r>
        <w:rPr>
          <w:rFonts w:ascii="Arial" w:cs="Arial" w:eastAsia="Arial" w:hAnsi="Arial"/>
          <w:sz w:val="17"/>
          <w:szCs w:val="17"/>
          <w:color w:val="auto"/>
        </w:rPr>
        <w:t>” shall be broadly interpreted to include, without limitation, any corporation, company, partnership, other entity or individual.</w:t>
      </w:r>
    </w:p>
    <w:p>
      <w:pPr>
        <w:sectPr>
          <w:pgSz w:w="11900" w:h="16838" w:orient="portrait"/>
          <w:cols w:equalWidth="0" w:num="1">
            <w:col w:w="11420"/>
          </w:cols>
          <w:pgMar w:left="240" w:top="121" w:right="239" w:bottom="1440" w:gutter="0" w:footer="0" w:header="0"/>
        </w:sectPr>
      </w:pPr>
    </w:p>
    <w:bookmarkStart w:id="11" w:name="page12"/>
    <w:bookmarkEnd w:id="11"/>
    <w:p>
      <w:pPr>
        <w:ind w:left="-40" w:firstLine="464"/>
        <w:spacing w:after="0" w:line="287" w:lineRule="auto"/>
        <w:tabs>
          <w:tab w:leader="none" w:pos="596" w:val="left"/>
        </w:tabs>
        <w:numPr>
          <w:ilvl w:val="0"/>
          <w:numId w:val="4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Subject to paragraph 4 below, unless otherwise agreed to in writing by the Company, Red Mountain shall, (i) except as required by law, keep all Proprietary Information confidential and not disclose or reveal any Proprietary Information to any person (other than to its Affiliates, its Representatives and Representatives of its Affiliates who have a need to know such information for purposes of assisting in Red Mountain’s evaluation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each such Affiliate and Representative shall keep confidential all Proprietary Information that is so disclosed or revealed to him or her in accordance with Red Mountain’s confidentiality obligations hereunder with respect to such Proprietary Information); (ii) not use Proprietary Information for any purpose other than enabling Red Mountain to make non-publicly disclosed suggestions to the Board regarding the Company’s ongoing business and corporate strategies and policies; and (iii) except as required by law or legal process, not disclose to any person the fact that Proprietary Information has been disclosed to Red Mountain,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the disclosure of the existence of this letter agreement and the filing of this letter agreement as an exhibit to any Schedule 13D or amendment thereto shall not be deemed to be a breach of the foregoing clause (iii). Red Mountain will be responsible for any violation of the confidentiality provisions of this letter agreement by its Affiliates, its Representatives and the Representatives of its Affiliates as if they were parties hereto. The obligations of Red Mountain contained in this paragraph 3 to keep Proprietary Information confidential shall survive any termination or expiration of this letter agreement solely for a period of one year from and after such termination or expiration.</w:t>
      </w:r>
    </w:p>
    <w:p>
      <w:pPr>
        <w:spacing w:after="0" w:line="168" w:lineRule="exact"/>
        <w:rPr>
          <w:rFonts w:ascii="Arial" w:cs="Arial" w:eastAsia="Arial" w:hAnsi="Arial"/>
          <w:sz w:val="16"/>
          <w:szCs w:val="16"/>
          <w:color w:val="auto"/>
        </w:rPr>
      </w:pPr>
    </w:p>
    <w:p>
      <w:pPr>
        <w:ind w:left="-40" w:firstLine="464"/>
        <w:spacing w:after="0" w:line="287" w:lineRule="auto"/>
        <w:tabs>
          <w:tab w:leader="none" w:pos="596"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 the event that Red Mountain, any of its Affiliates or any of their respective Representatives is requested pursuant to, or required by, applicable law or regulation (including, without limitation, any rule, regulation or policy statement of any national securities exchange, market or automated quotation system applicable to Red Mountain or any of its Affiliates) or by legal process to disclose any Proprietary Information, Red Mountain shall provide the Company with prompt notice of such request or requirement in order to enable the Company (i) to seek an appropriate protective order or other remedy, (ii) to consult with Red Mountain with respect to the Company’s taking steps to resist or narrow the scope of such request or legal process or (iii) to waive compliance, in whole or in part, with the terms of this letter agreement. In the event that such protective order or other remedy is not timely sought or obtained, or the Company waives compliance, in whole or in part, with the terms of this letter agreement, Red Mountain shall (x) use commercially reasonable efforts to disclose only that portion of the Proprietary Information which is legally required to be disclosed and to ensure that all Proprietary Information that is so disclosed will be accorded confidential treatment and (y) provide the Company with the text of such required disclosure as far in advance of its disclosure as reasonably practicable and consider in good faith the Company’s suggestions concerning the nature and scope of the information to be contained therein. In the event that Red Mountain shall have complied, in all material respects, with the provisions of this paragraph 4, such disclosure may be made by Red Mountain, such Affiliate or such Representative, as applicable, without any liability hereunder.</w:t>
      </w:r>
    </w:p>
    <w:p>
      <w:pPr>
        <w:spacing w:after="0" w:line="1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80" w:top="274" w:right="259" w:bottom="1440" w:gutter="0" w:footer="0" w:header="0"/>
        </w:sectPr>
      </w:pPr>
    </w:p>
    <w:bookmarkStart w:id="12" w:name="page13"/>
    <w:bookmarkEnd w:id="12"/>
    <w:p>
      <w:pPr>
        <w:ind w:left="-40" w:right="140" w:firstLine="464"/>
        <w:spacing w:after="0" w:line="259" w:lineRule="auto"/>
        <w:tabs>
          <w:tab w:leader="none" w:pos="596" w:val="left"/>
        </w:tabs>
        <w:numPr>
          <w:ilvl w:val="0"/>
          <w:numId w:val="4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a period commencing on the date of this letter agreement and ending on the later to occur of (i) December 31, 2014 or (ii) (A) the date upon which no persons affiliated with Red Mountain are serving on the Board (in the case of subparagraph (a) below) and (B) three months after such date (in the case of subparagraphs (b) through (h) below), none of Red Mountain or any person affiliated with Red Mountain shall, without the prior written consent of the Company or the Board, directly or indirectly:</w:t>
      </w:r>
    </w:p>
    <w:p>
      <w:pPr>
        <w:spacing w:after="0" w:line="92" w:lineRule="exact"/>
        <w:rPr>
          <w:sz w:val="20"/>
          <w:szCs w:val="20"/>
          <w:color w:val="auto"/>
        </w:rPr>
      </w:pPr>
    </w:p>
    <w:p>
      <w:pPr>
        <w:ind w:left="860" w:right="60" w:hanging="446"/>
        <w:spacing w:after="0" w:line="290" w:lineRule="auto"/>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acquire, offer to acquire, or agree to acquire, directly or indirectly, by purchase or otherwise, (i) any additional common stock of the Company or direct or indirect rights to acquire common stock of the Company, such that Red Mountain, its Affiliates and any other person affiliated with Red Mountain collectively would beneficially own, directly or indirectly, for purposes of Section 13(d) of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xml:space="preserve">”), and Rule 13d-3 thereunder (or any comparable or successor law or regulation), after giving effect to such acquisition, in excess of 15% of the amount of the issued and outstanding common stock of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for the avoidance of doubt, any increase in percentage beneficial ownership of common stock of the Company beyond 15% that is caused by a reduction in the number of issued and outstanding common stock of the Company from time to time shall not be deemed to be a violation of this subparagraph (a), or (ii) any assets of the Company or any subsidiary thereof or any successor to or person in control of the Company;</w:t>
      </w:r>
    </w:p>
    <w:p>
      <w:pPr>
        <w:spacing w:after="0" w:line="71" w:lineRule="exact"/>
        <w:rPr>
          <w:rFonts w:ascii="Arial" w:cs="Arial" w:eastAsia="Arial" w:hAnsi="Arial"/>
          <w:sz w:val="16"/>
          <w:szCs w:val="16"/>
          <w:color w:val="auto"/>
        </w:rPr>
      </w:pPr>
    </w:p>
    <w:p>
      <w:pPr>
        <w:ind w:left="860" w:right="240" w:hanging="446"/>
        <w:spacing w:after="0" w:line="264" w:lineRule="auto"/>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make, or in any way participate, directly or indirectly, in any “solicitation” of “proxies” to vote (as such terms are used in the rules of the Securities and Exchange Commission), or seek to advise or influence any person or entity with respect to the voting of any voting securities of the Company;</w:t>
      </w:r>
    </w:p>
    <w:p>
      <w:pPr>
        <w:spacing w:after="0" w:line="86" w:lineRule="exact"/>
        <w:rPr>
          <w:rFonts w:ascii="Arial" w:cs="Arial" w:eastAsia="Arial" w:hAnsi="Arial"/>
          <w:sz w:val="18"/>
          <w:szCs w:val="18"/>
          <w:color w:val="auto"/>
        </w:rPr>
      </w:pPr>
    </w:p>
    <w:p>
      <w:pPr>
        <w:ind w:left="860" w:hanging="446"/>
        <w:spacing w:after="0"/>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nominate, or seek to nominate, directly or indirectly, any person to the Board;</w:t>
      </w:r>
    </w:p>
    <w:p>
      <w:pPr>
        <w:spacing w:after="0" w:line="130" w:lineRule="exact"/>
        <w:rPr>
          <w:rFonts w:ascii="Arial" w:cs="Arial" w:eastAsia="Arial" w:hAnsi="Arial"/>
          <w:sz w:val="18"/>
          <w:szCs w:val="18"/>
          <w:color w:val="auto"/>
        </w:rPr>
      </w:pPr>
    </w:p>
    <w:p>
      <w:pPr>
        <w:ind w:left="860" w:right="240" w:hanging="446"/>
        <w:spacing w:after="0" w:line="342" w:lineRule="auto"/>
        <w:tabs>
          <w:tab w:leader="none" w:pos="860" w:val="left"/>
        </w:tabs>
        <w:numPr>
          <w:ilvl w:val="0"/>
          <w:numId w:val="43"/>
        </w:numPr>
        <w:rPr>
          <w:rFonts w:ascii="Arial" w:cs="Arial" w:eastAsia="Arial" w:hAnsi="Arial"/>
          <w:sz w:val="16"/>
          <w:szCs w:val="16"/>
          <w:color w:val="auto"/>
        </w:rPr>
      </w:pPr>
      <w:r>
        <w:rPr>
          <w:rFonts w:ascii="Arial" w:cs="Arial" w:eastAsia="Arial" w:hAnsi="Arial"/>
          <w:sz w:val="16"/>
          <w:szCs w:val="16"/>
          <w:color w:val="auto"/>
        </w:rPr>
        <w:t>make any public announcement with respect to, or submit a proposal for, or offer of (with or without conditions) any extraordinary transaction involving the Company or any of its securities or assets (including, for the avoidance of doubt and without limitation, a tender offer);</w:t>
      </w:r>
    </w:p>
    <w:p>
      <w:pPr>
        <w:spacing w:after="0" w:line="29" w:lineRule="exact"/>
        <w:rPr>
          <w:rFonts w:ascii="Arial" w:cs="Arial" w:eastAsia="Arial" w:hAnsi="Arial"/>
          <w:sz w:val="16"/>
          <w:szCs w:val="16"/>
          <w:color w:val="auto"/>
        </w:rPr>
      </w:pPr>
    </w:p>
    <w:p>
      <w:pPr>
        <w:ind w:left="860" w:hanging="446"/>
        <w:spacing w:after="0" w:line="264" w:lineRule="auto"/>
        <w:tabs>
          <w:tab w:leader="none" w:pos="8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 xml:space="preserve">form, join or in any way participate in a “group” as defined in Section 13(d)(3) of the Exchange Act in connection with any of the foregoing;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the existence of a group consisting of Red Mountain, its Affiliates and other persons affiliated with Red Mountain shall not be deemed to be a violation of this subparagraph (e);</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80" w:top="274" w:right="259" w:bottom="1440" w:gutter="0" w:footer="0" w:header="0"/>
        </w:sectPr>
      </w:pPr>
    </w:p>
    <w:bookmarkStart w:id="13" w:name="page14"/>
    <w:bookmarkEnd w:id="13"/>
    <w:p>
      <w:pPr>
        <w:jc w:val="both"/>
        <w:ind w:left="900" w:right="300" w:hanging="446"/>
        <w:spacing w:after="0" w:line="264" w:lineRule="auto"/>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otherwise act or seek to control or influence the Board or the management or policies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taking of any action described in subparagraph (a) after the expiration of the restrictions thereunder shall not, by itself, be deemed a violation of this subparagraph (f));</w:t>
      </w:r>
    </w:p>
    <w:p>
      <w:pPr>
        <w:spacing w:after="0" w:line="86" w:lineRule="exact"/>
        <w:rPr>
          <w:rFonts w:ascii="Arial" w:cs="Arial" w:eastAsia="Arial" w:hAnsi="Arial"/>
          <w:sz w:val="18"/>
          <w:szCs w:val="18"/>
          <w:color w:val="auto"/>
        </w:rPr>
      </w:pPr>
    </w:p>
    <w:p>
      <w:pPr>
        <w:jc w:val="both"/>
        <w:ind w:left="900" w:right="60" w:hanging="446"/>
        <w:spacing w:after="0" w:line="286" w:lineRule="auto"/>
        <w:tabs>
          <w:tab w:leader="none" w:pos="9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take any action that could reasonably be expected to require the Company to make a public announcement regarding the possibility of any of the events described in subparagraphs (a) through (e)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taking of any action described in subparagraph (a) after the expiration of the restrictions thereunder shall not, by itself, be deemed a violation of this subparagraph (g)); or</w:t>
      </w:r>
    </w:p>
    <w:p>
      <w:pPr>
        <w:spacing w:after="0" w:line="70" w:lineRule="exact"/>
        <w:rPr>
          <w:rFonts w:ascii="Arial" w:cs="Arial" w:eastAsia="Arial" w:hAnsi="Arial"/>
          <w:sz w:val="17"/>
          <w:szCs w:val="17"/>
          <w:color w:val="auto"/>
        </w:rPr>
      </w:pPr>
    </w:p>
    <w:p>
      <w:pPr>
        <w:ind w:left="900" w:hanging="446"/>
        <w:spacing w:after="0"/>
        <w:tabs>
          <w:tab w:leader="none" w:pos="9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request that the Company or any of its Representatives, directly or indirectly, to amend or waive any provision of this paragraph 5.</w:t>
      </w:r>
    </w:p>
    <w:p>
      <w:pPr>
        <w:spacing w:after="0" w:line="225"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For the avoidance of doubt, if Mr. Mesdag or any other person affiliated with Red Mountain serves on the Board, the provisions of this paragraph 5 are not intended to be construed to limit Mr. Mesdag or such person’s confidential communications with the Company or the Board in his capacity as a member of the Board.</w:t>
      </w:r>
    </w:p>
    <w:p>
      <w:pPr>
        <w:spacing w:after="0" w:line="181" w:lineRule="exact"/>
        <w:rPr>
          <w:sz w:val="20"/>
          <w:szCs w:val="20"/>
          <w:color w:val="auto"/>
        </w:rPr>
      </w:pPr>
    </w:p>
    <w:p>
      <w:pPr>
        <w:ind w:right="260" w:firstLine="464"/>
        <w:spacing w:after="0" w:line="312" w:lineRule="auto"/>
        <w:tabs>
          <w:tab w:leader="none" w:pos="636" w:val="left"/>
        </w:tabs>
        <w:numPr>
          <w:ilvl w:val="0"/>
          <w:numId w:val="45"/>
        </w:numPr>
        <w:rPr>
          <w:rFonts w:ascii="Arial" w:cs="Arial" w:eastAsia="Arial" w:hAnsi="Arial"/>
          <w:sz w:val="16"/>
          <w:szCs w:val="16"/>
          <w:color w:val="auto"/>
        </w:rPr>
      </w:pPr>
      <w:r>
        <w:rPr>
          <w:rFonts w:ascii="Arial" w:cs="Arial" w:eastAsia="Arial" w:hAnsi="Arial"/>
          <w:sz w:val="16"/>
          <w:szCs w:val="16"/>
          <w:color w:val="auto"/>
        </w:rPr>
        <w:t>Notwithstanding anything to the contrary herein, Red Mountain may, in its sole discretion, terminate the provisions of paragraph 5 of this letter agreement (including all restrictions thereunder on the activities in which Red Mountain, its Affiliates and other persons affiliated with Red Mountain may engage with respect to the Company) by delivering written notice of such termination to the Company at any time after the approval by the Board of:</w:t>
      </w:r>
    </w:p>
    <w:p>
      <w:pPr>
        <w:spacing w:after="0" w:line="52" w:lineRule="exact"/>
        <w:rPr>
          <w:sz w:val="20"/>
          <w:szCs w:val="20"/>
          <w:color w:val="auto"/>
        </w:rPr>
      </w:pPr>
    </w:p>
    <w:p>
      <w:pPr>
        <w:ind w:left="900" w:hanging="446"/>
        <w:spacing w:after="0"/>
        <w:tabs>
          <w:tab w:leader="none" w:pos="9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any sale of more than 20% of the assets of the Company and its subsidiaries, taken as a whole;</w:t>
      </w:r>
    </w:p>
    <w:p>
      <w:pPr>
        <w:spacing w:after="0" w:line="130" w:lineRule="exact"/>
        <w:rPr>
          <w:rFonts w:ascii="Arial" w:cs="Arial" w:eastAsia="Arial" w:hAnsi="Arial"/>
          <w:sz w:val="18"/>
          <w:szCs w:val="18"/>
          <w:color w:val="auto"/>
        </w:rPr>
      </w:pPr>
    </w:p>
    <w:p>
      <w:pPr>
        <w:ind w:left="900" w:right="120" w:hanging="446"/>
        <w:spacing w:after="0" w:line="312" w:lineRule="auto"/>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beneficial ownership (as defined by Rule 13d-3 under the Exchange Act) by any person of more than 20% of any class of outstanding equity securities of the Company, including any equity issuance, tender offer, exchange offer or other transaction or series of transactions that, if consummated, would result in any person beneficially owning more than 20% of any class of outstanding equity securities of the Company; or</w:t>
      </w:r>
    </w:p>
    <w:p>
      <w:pPr>
        <w:spacing w:after="0" w:line="52" w:lineRule="exact"/>
        <w:rPr>
          <w:rFonts w:ascii="Arial" w:cs="Arial" w:eastAsia="Arial" w:hAnsi="Arial"/>
          <w:sz w:val="16"/>
          <w:szCs w:val="16"/>
          <w:color w:val="auto"/>
        </w:rPr>
      </w:pPr>
    </w:p>
    <w:p>
      <w:pPr>
        <w:ind w:left="900" w:hanging="446"/>
        <w:spacing w:after="0"/>
        <w:tabs>
          <w:tab w:leader="none" w:pos="9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any merger, consolidation or other business combination involving the Company or any of its subsidiaries and a third party, other than any such</w:t>
      </w:r>
    </w:p>
    <w:p>
      <w:pPr>
        <w:spacing w:after="0" w:line="46" w:lineRule="exact"/>
        <w:rPr>
          <w:sz w:val="20"/>
          <w:szCs w:val="20"/>
          <w:color w:val="auto"/>
        </w:rPr>
      </w:pPr>
    </w:p>
    <w:p>
      <w:pPr>
        <w:ind w:left="900"/>
        <w:spacing w:after="0" w:line="281" w:lineRule="auto"/>
        <w:rPr>
          <w:sz w:val="20"/>
          <w:szCs w:val="20"/>
          <w:color w:val="auto"/>
        </w:rPr>
      </w:pPr>
      <w:r>
        <w:rPr>
          <w:rFonts w:ascii="Arial" w:cs="Arial" w:eastAsia="Arial" w:hAnsi="Arial"/>
          <w:sz w:val="16"/>
          <w:szCs w:val="16"/>
          <w:color w:val="auto"/>
        </w:rPr>
        <w:t>transaction where (i) the holders of equity securities of the Company outstanding immediately prior to such transaction continue to hold a majority of the equity securities of the surviving or resulting company or its ultimate parent immediately after giving effect to the transaction, and (ii) does not otherwise involve either (A) any sale of more than 20% of the assets of the Company and its subsidiaries, taken as a whole or</w:t>
      </w:r>
    </w:p>
    <w:p>
      <w:pPr>
        <w:spacing w:after="0" w:line="2" w:lineRule="exact"/>
        <w:rPr>
          <w:sz w:val="20"/>
          <w:szCs w:val="20"/>
          <w:color w:val="auto"/>
        </w:rPr>
      </w:pPr>
    </w:p>
    <w:p>
      <w:pPr>
        <w:ind w:left="900" w:right="140" w:hanging="1"/>
        <w:spacing w:after="0" w:line="261" w:lineRule="auto"/>
        <w:tabs>
          <w:tab w:leader="none" w:pos="1185" w:val="left"/>
        </w:tabs>
        <w:numPr>
          <w:ilvl w:val="0"/>
          <w:numId w:val="47"/>
        </w:numPr>
        <w:rPr>
          <w:rFonts w:ascii="Arial" w:cs="Arial" w:eastAsia="Arial" w:hAnsi="Arial"/>
          <w:sz w:val="18"/>
          <w:szCs w:val="18"/>
          <w:color w:val="auto"/>
        </w:rPr>
      </w:pPr>
      <w:r>
        <w:rPr>
          <w:rFonts w:ascii="Arial" w:cs="Arial" w:eastAsia="Arial" w:hAnsi="Arial"/>
          <w:sz w:val="18"/>
          <w:szCs w:val="18"/>
          <w:color w:val="auto"/>
        </w:rPr>
        <w:t>where no person after such transaction will beneficially own (within the meaning of Rule 13d-3 under the Exchange Act) more than 20% of any class of outstanding equity securities of the Company.</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14" w:name="page15"/>
    <w:bookmarkEnd w:id="14"/>
    <w:p>
      <w:pPr>
        <w:ind w:right="6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addition, if the Board undertakes a formal process to solicit proposals with respect to any of the foregoing or, with respect to unsolicited proposals, determines that any proposal relating to any of the foregoing is reasonably likely to be approved, the Company shall notify Red Mountain that paragraph 5(h) has been waived by the Company.</w:t>
      </w:r>
    </w:p>
    <w:p>
      <w:pPr>
        <w:spacing w:after="0" w:line="181" w:lineRule="exact"/>
        <w:rPr>
          <w:sz w:val="20"/>
          <w:szCs w:val="20"/>
          <w:color w:val="auto"/>
        </w:rPr>
      </w:pPr>
    </w:p>
    <w:p>
      <w:pPr>
        <w:ind w:right="60" w:firstLine="464"/>
        <w:spacing w:after="0" w:line="253" w:lineRule="auto"/>
        <w:tabs>
          <w:tab w:leader="none" w:pos="636"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the extent that any Proprietary Information may include material subject to the attorney-client privilege, work product doctrine or any other applicable privilege concerning pending or threatened legal proceedings or governmental investigations, the Parties understand and agree that they have a commonality of interest with respect to such matters and it is their desire, intention and mutual understanding that the sharing of such material is not intended to, and shall not, waive or diminish in any way the confidentiality of such material or its continued protection under the attorney-client privilege, work product doctrine or other applicable privilege. All Proprietary Information provided by the Company that is entitled to protection under the attorney-client privilege, work product doctrine or other applicable privilege shall remain entitled to such protection under these privileges, this letter agreement, and under the joint defense doctrine. Nothing in this letter agreement obligates the Company to reveal material subject to the attorney-client privilege, work product doctrine or any other applicable privilege. For the avoidance of doubt, if Mr. Mesdag or any other person affiliated with Red Mountain serves on the Board, Mr. Mesdag or such person shall not share any legally privileged information received in Mesdag or such person’s capacity as a member of the Board with Red Mountain.</w:t>
      </w:r>
    </w:p>
    <w:p>
      <w:pPr>
        <w:spacing w:after="0" w:line="194" w:lineRule="exact"/>
        <w:rPr>
          <w:rFonts w:ascii="Arial" w:cs="Arial" w:eastAsia="Arial" w:hAnsi="Arial"/>
          <w:sz w:val="18"/>
          <w:szCs w:val="18"/>
          <w:color w:val="auto"/>
        </w:rPr>
      </w:pPr>
    </w:p>
    <w:p>
      <w:pPr>
        <w:ind w:right="120" w:firstLine="464"/>
        <w:spacing w:after="0" w:line="312" w:lineRule="auto"/>
        <w:tabs>
          <w:tab w:leader="none" w:pos="636" w:val="left"/>
        </w:tabs>
        <w:numPr>
          <w:ilvl w:val="0"/>
          <w:numId w:val="48"/>
        </w:numPr>
        <w:rPr>
          <w:rFonts w:ascii="Arial" w:cs="Arial" w:eastAsia="Arial" w:hAnsi="Arial"/>
          <w:sz w:val="16"/>
          <w:szCs w:val="16"/>
          <w:color w:val="auto"/>
        </w:rPr>
      </w:pPr>
      <w:r>
        <w:rPr>
          <w:rFonts w:ascii="Arial" w:cs="Arial" w:eastAsia="Arial" w:hAnsi="Arial"/>
          <w:sz w:val="16"/>
          <w:szCs w:val="16"/>
          <w:color w:val="auto"/>
        </w:rPr>
        <w:t>Red Mountain acknowledges that neither the Company nor any of its Representatives makes any express or implied representation or warranty as to the accuracy or completeness of any Proprietary Information, and Red Mountain agrees that none of such persons shall have any liability to any of Red Mountain, any of its Affiliates or any of their respective Representatives relating to or arising from the use of any Proprietary Information.</w:t>
      </w:r>
    </w:p>
    <w:p>
      <w:pPr>
        <w:spacing w:after="0" w:line="146" w:lineRule="exact"/>
        <w:rPr>
          <w:rFonts w:ascii="Arial" w:cs="Arial" w:eastAsia="Arial" w:hAnsi="Arial"/>
          <w:sz w:val="16"/>
          <w:szCs w:val="16"/>
          <w:color w:val="auto"/>
        </w:rPr>
      </w:pPr>
    </w:p>
    <w:p>
      <w:pPr>
        <w:ind w:firstLine="464"/>
        <w:spacing w:after="0" w:line="291" w:lineRule="auto"/>
        <w:tabs>
          <w:tab w:leader="none" w:pos="636" w:val="left"/>
        </w:tabs>
        <w:numPr>
          <w:ilvl w:val="0"/>
          <w:numId w:val="48"/>
        </w:numPr>
        <w:rPr>
          <w:rFonts w:ascii="Arial" w:cs="Arial" w:eastAsia="Arial" w:hAnsi="Arial"/>
          <w:sz w:val="16"/>
          <w:szCs w:val="16"/>
          <w:color w:val="auto"/>
        </w:rPr>
      </w:pPr>
      <w:r>
        <w:rPr>
          <w:rFonts w:ascii="Arial" w:cs="Arial" w:eastAsia="Arial" w:hAnsi="Arial"/>
          <w:sz w:val="16"/>
          <w:szCs w:val="16"/>
          <w:color w:val="auto"/>
        </w:rPr>
        <w:t>At any time upon the request of the Company, Red Mountain shall promptly deliver to the Company or destroy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such destruction shall be certified by Red Mountain) all Proprietary Information and all copies, reproductions, summaries, analyses or extracts thereof or based thereon (whether in hard-copy form or on intangible media, such as electronic mail or computer files) in the possession of Red Mountain, any of its Affiliates or any of their respective Representatives;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Red Mountain, its Affiliates and their respective Representatives shall be permitted to retain a copy of such Proprietary Information to the extent such person believes in good faith that the retention of such copy is required under applicable law (including the recordkeeping requirements under the Investment Advisers Act of 1940, as amended). Red Mountain acknowledges that the Company reserves the right, in its sole discretion and without giving any reason therefor, to request the return or destruction of Proprietary Information pursuant to this paragraph 9.</w:t>
      </w:r>
    </w:p>
    <w:p>
      <w:pPr>
        <w:spacing w:after="0" w:line="1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74" w:right="239" w:bottom="1440" w:gutter="0" w:footer="0" w:header="0"/>
        </w:sectPr>
      </w:pPr>
    </w:p>
    <w:bookmarkStart w:id="15" w:name="page16"/>
    <w:bookmarkEnd w:id="15"/>
    <w:p>
      <w:pPr>
        <w:ind w:left="-464" w:right="120" w:firstLine="464"/>
        <w:spacing w:after="0" w:line="286" w:lineRule="auto"/>
        <w:tabs>
          <w:tab w:leader="none" w:pos="262" w:val="left"/>
        </w:tabs>
        <w:numPr>
          <w:ilvl w:val="0"/>
          <w:numId w:val="4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Red Mountain is aware of the restrictions imposed by the United States securities laws on the purchase or sale of securities by any person who has received material, non-public information from the issuer of such securities and on the communication of such information to any other person when it is reasonably foreseeable that such other person is likely to purchase or sell such securities in reliance upon such information.</w:t>
      </w:r>
    </w:p>
    <w:p>
      <w:pPr>
        <w:spacing w:after="0" w:line="165" w:lineRule="exact"/>
        <w:rPr>
          <w:rFonts w:ascii="Arial" w:cs="Arial" w:eastAsia="Arial" w:hAnsi="Arial"/>
          <w:sz w:val="17"/>
          <w:szCs w:val="17"/>
          <w:color w:val="auto"/>
        </w:rPr>
      </w:pPr>
    </w:p>
    <w:p>
      <w:pPr>
        <w:jc w:val="both"/>
        <w:ind w:left="-464" w:right="140" w:firstLine="464"/>
        <w:spacing w:after="0" w:line="264" w:lineRule="auto"/>
        <w:tabs>
          <w:tab w:leader="none" w:pos="2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Without prejudice to the rights and remedies otherwise available to either party hereto, the Company shall be entitled to equitable relief by way of injunction or otherwise if Red Mountain, any of its Affiliates or any of their respective Representatives breaches or threatens to breach any of the provisions of this letter agreement.</w:t>
      </w:r>
    </w:p>
    <w:p>
      <w:pPr>
        <w:spacing w:after="0" w:line="181" w:lineRule="exact"/>
        <w:rPr>
          <w:rFonts w:ascii="Arial" w:cs="Arial" w:eastAsia="Arial" w:hAnsi="Arial"/>
          <w:sz w:val="18"/>
          <w:szCs w:val="18"/>
          <w:color w:val="auto"/>
        </w:rPr>
      </w:pPr>
    </w:p>
    <w:p>
      <w:pPr>
        <w:ind w:left="-464" w:right="440" w:firstLine="464"/>
        <w:spacing w:after="0" w:line="308" w:lineRule="auto"/>
        <w:tabs>
          <w:tab w:leader="none" w:pos="262" w:val="left"/>
        </w:tabs>
        <w:numPr>
          <w:ilvl w:val="0"/>
          <w:numId w:val="49"/>
        </w:numPr>
        <w:rPr>
          <w:rFonts w:ascii="Arial" w:cs="Arial" w:eastAsia="Arial" w:hAnsi="Arial"/>
          <w:sz w:val="17"/>
          <w:szCs w:val="17"/>
          <w:color w:val="auto"/>
        </w:rPr>
      </w:pPr>
      <w:r>
        <w:rPr>
          <w:rFonts w:ascii="Arial" w:cs="Arial" w:eastAsia="Arial" w:hAnsi="Arial"/>
          <w:sz w:val="17"/>
          <w:szCs w:val="17"/>
          <w:color w:val="auto"/>
        </w:rPr>
        <w:t>No failure or delay by any Party in exercising any right, power or privilege hereunder shall operate as a waiver thereof, nor shall any single or partial exercise thereof preclude any other or further exercise thereof or the exercise of any right, power or privilege hereunder.</w:t>
      </w:r>
    </w:p>
    <w:p>
      <w:pPr>
        <w:spacing w:after="0" w:line="146" w:lineRule="exact"/>
        <w:rPr>
          <w:rFonts w:ascii="Arial" w:cs="Arial" w:eastAsia="Arial" w:hAnsi="Arial"/>
          <w:sz w:val="17"/>
          <w:szCs w:val="17"/>
          <w:color w:val="auto"/>
        </w:rPr>
      </w:pPr>
    </w:p>
    <w:p>
      <w:pPr>
        <w:ind w:left="-464" w:right="40" w:firstLine="464"/>
        <w:spacing w:after="0" w:line="272" w:lineRule="auto"/>
        <w:tabs>
          <w:tab w:leader="none" w:pos="262"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This letter agreement shall be governed by and construed in accordance with the laws of the State of Delaware. Each Party hereby irrevocably and unconditionally consents to the exclusive institution and resolution of any action, suit or proceeding of any kind or nature with respect to or arising out of this letter agreement brought by any Party in the Chancery Court of the State of Delaware and the appellate courts thereof. Each Party hereby irrevocably and unconditionally waives any objection to the laying of venue of any action, suit or proceeding arising out of this letter agreement in such court, and further irrevocably and unconditionally waives and agrees not to plead or claim in any such court that any such action, suit or proceeding brought in any such court has been brought in an inconvenient forum. The Parties agree that a final judgment in any such dispute shall be conclusive and may be enforced in other jurisdictions by suits on the judgment or in any other manner provided by law.</w:t>
      </w:r>
    </w:p>
    <w:p>
      <w:pPr>
        <w:spacing w:after="0" w:line="177" w:lineRule="exact"/>
        <w:rPr>
          <w:rFonts w:ascii="Arial" w:cs="Arial" w:eastAsia="Arial" w:hAnsi="Arial"/>
          <w:sz w:val="17"/>
          <w:szCs w:val="17"/>
          <w:color w:val="auto"/>
        </w:rPr>
      </w:pPr>
    </w:p>
    <w:p>
      <w:pPr>
        <w:ind w:left="-464" w:right="400" w:firstLine="464"/>
        <w:spacing w:after="0" w:line="308" w:lineRule="auto"/>
        <w:tabs>
          <w:tab w:leader="none" w:pos="262"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This letter agreement contains the entire agreement between the Parties concerning the subject matter hereof, and no modification of this letter agreement or waiver of the terms and conditions hereof shall be binding unless approved in writing by the Parties.</w:t>
      </w:r>
    </w:p>
    <w:p>
      <w:pPr>
        <w:spacing w:after="0" w:line="146" w:lineRule="exact"/>
        <w:rPr>
          <w:rFonts w:ascii="Arial" w:cs="Arial" w:eastAsia="Arial" w:hAnsi="Arial"/>
          <w:sz w:val="17"/>
          <w:szCs w:val="17"/>
          <w:color w:val="auto"/>
        </w:rPr>
      </w:pPr>
    </w:p>
    <w:p>
      <w:pPr>
        <w:ind w:left="-464" w:firstLine="464"/>
        <w:spacing w:after="0" w:line="264" w:lineRule="auto"/>
        <w:tabs>
          <w:tab w:leader="none" w:pos="262"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This letter agreement shall terminate automatically upon the later to occur of (i) December 31, 2014 or (ii) the date upon which no persons affiliated with Red Mountain are serving on the Board;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Red Mountain’s obligations under paragraphs 3 and 5 shall terminate as provided for therein and in paragraph 6.</w:t>
      </w:r>
    </w:p>
    <w:p>
      <w:pPr>
        <w:spacing w:after="0" w:line="181" w:lineRule="exact"/>
        <w:rPr>
          <w:rFonts w:ascii="Arial" w:cs="Arial" w:eastAsia="Arial" w:hAnsi="Arial"/>
          <w:sz w:val="18"/>
          <w:szCs w:val="18"/>
          <w:color w:val="auto"/>
        </w:rPr>
      </w:pPr>
    </w:p>
    <w:p>
      <w:pPr>
        <w:ind w:left="5196" w:right="120" w:hanging="5196"/>
        <w:spacing w:after="0" w:line="449" w:lineRule="auto"/>
        <w:tabs>
          <w:tab w:leader="none" w:pos="261"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This letter agreement may be executed in two or more counterparts (including by fax and .pdf), which together shall constitute a single agreement. 6</w:t>
      </w:r>
    </w:p>
    <w:p>
      <w:pPr>
        <w:sectPr>
          <w:pgSz w:w="11900" w:h="16838" w:orient="portrait"/>
          <w:cols w:equalWidth="0" w:num="1">
            <w:col w:w="10936"/>
          </w:cols>
          <w:pgMar w:left="704" w:top="274" w:right="259" w:bottom="1440" w:gutter="0" w:footer="0" w:header="0"/>
        </w:sectPr>
      </w:pPr>
    </w:p>
    <w:bookmarkStart w:id="16" w:name="page17"/>
    <w:bookmarkEnd w:id="16"/>
    <w:p>
      <w:pPr>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Please confirm your agreement with the foregoing by signing and returning this letter agreement to the undersigned, whereupon this letter agreement shall become a binding agreement.</w:t>
      </w:r>
    </w:p>
    <w:p>
      <w:pPr>
        <w:spacing w:after="0" w:line="19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DESTINATION XL GROUP, INC.</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A. Levin</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Name: David A. Levin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-130810</wp:posOffset>
            </wp:positionV>
            <wp:extent cx="269303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Title: President and CEO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as of the date first written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RED MOUNTAIN CAPITAL PARTNERS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Willem Mesdag</w:t>
            </w:r>
          </w:p>
        </w:tc>
      </w:tr>
      <w:tr>
        <w:trPr>
          <w:trHeight w:val="195"/>
        </w:trPr>
        <w:tc>
          <w:tcPr>
            <w:tcW w:w="60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3980" w:type="dxa"/>
            <w:vAlign w:val="bottom"/>
          </w:tcPr>
          <w:p>
            <w:pPr>
              <w:ind w:left="60"/>
              <w:spacing w:after="0" w:line="195" w:lineRule="exact"/>
              <w:rPr>
                <w:sz w:val="20"/>
                <w:szCs w:val="20"/>
                <w:color w:val="auto"/>
              </w:rPr>
            </w:pPr>
            <w:r>
              <w:rPr>
                <w:rFonts w:ascii="Arial" w:cs="Arial" w:eastAsia="Arial" w:hAnsi="Arial"/>
                <w:sz w:val="18"/>
                <w:szCs w:val="18"/>
                <w:color w:val="auto"/>
              </w:rPr>
              <w:t>Willem Mesdag</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ind w:left="60"/>
              <w:spacing w:after="0"/>
              <w:rPr>
                <w:sz w:val="20"/>
                <w:szCs w:val="20"/>
                <w:color w:val="auto"/>
              </w:rPr>
            </w:pPr>
            <w:r>
              <w:rPr>
                <w:rFonts w:ascii="Arial" w:cs="Arial" w:eastAsia="Arial" w:hAnsi="Arial"/>
                <w:sz w:val="18"/>
                <w:szCs w:val="18"/>
                <w:color w:val="auto"/>
              </w:rPr>
              <w:t>Managing Partner</w:t>
            </w:r>
          </w:p>
        </w:tc>
      </w:tr>
    </w:tbl>
    <w:p>
      <w:pPr>
        <w:spacing w:after="0" w:line="200" w:lineRule="exact"/>
        <w:rPr>
          <w:sz w:val="20"/>
          <w:szCs w:val="20"/>
          <w:color w:val="auto"/>
        </w:rPr>
      </w:pPr>
    </w:p>
    <w:p>
      <w:pPr>
        <w:spacing w:after="0" w:line="218"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Letter Agreement]</w:t>
      </w:r>
    </w:p>
    <w:sectPr>
      <w:pgSz w:w="11900" w:h="16838" w:orient="portrait"/>
      <w:cols w:equalWidth="0" w:num="1">
        <w:col w:w="11120"/>
      </w:cols>
      <w:pgMar w:left="240" w:top="274"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1"/>
      <w:numFmt w:val="bullet"/>
      <w:start w:val="1"/>
    </w:lvl>
  </w:abstractNum>
  <w:abstractNum w:abstractNumId="2">
    <w:nsid w:val="B03E0C6"/>
    <w:multiLevelType w:val="hybridMultilevel"/>
    <w:lvl w:ilvl="0">
      <w:lvlJc w:val="left"/>
      <w:lvlText w:val="2"/>
      <w:numFmt w:val="bullet"/>
      <w:start w:val="1"/>
    </w:lvl>
  </w:abstractNum>
  <w:abstractNum w:abstractNumId="3">
    <w:nsid w:val="189A769B"/>
    <w:multiLevelType w:val="hybridMultilevel"/>
    <w:lvl w:ilvl="0">
      <w:lvlJc w:val="left"/>
      <w:lvlText w:val="3"/>
      <w:numFmt w:val="bullet"/>
      <w:start w:val="1"/>
    </w:lvl>
  </w:abstractNum>
  <w:abstractNum w:abstractNumId="4">
    <w:nsid w:val="54E49EB4"/>
    <w:multiLevelType w:val="hybridMultilevel"/>
    <w:lvl w:ilvl="0">
      <w:lvlJc w:val="left"/>
      <w:lvlText w:val="4"/>
      <w:numFmt w:val="bullet"/>
      <w:start w:val="1"/>
    </w:lvl>
  </w:abstractNum>
  <w:abstractNum w:abstractNumId="5">
    <w:nsid w:val="71F32454"/>
    <w:multiLevelType w:val="hybridMultilevel"/>
    <w:lvl w:ilvl="0">
      <w:lvlJc w:val="left"/>
      <w:lvlText w:val="5"/>
      <w:numFmt w:val="bullet"/>
      <w:start w:val="1"/>
    </w:lvl>
  </w:abstractNum>
  <w:abstractNum w:abstractNumId="6">
    <w:nsid w:val="2CA88611"/>
    <w:multiLevelType w:val="hybridMultilevel"/>
    <w:lvl w:ilvl="0">
      <w:lvlJc w:val="left"/>
      <w:lvlText w:val="6"/>
      <w:numFmt w:val="bullet"/>
      <w:start w:val="1"/>
    </w:lvl>
  </w:abstractNum>
  <w:abstractNum w:abstractNumId="7">
    <w:nsid w:val="836C40E"/>
    <w:multiLevelType w:val="hybridMultilevel"/>
    <w:lvl w:ilvl="0">
      <w:lvlJc w:val="left"/>
      <w:lvlText w:val="7"/>
      <w:numFmt w:val="bullet"/>
      <w:start w:val="1"/>
    </w:lvl>
  </w:abstractNum>
  <w:abstractNum w:abstractNumId="8">
    <w:nsid w:val="2901D82"/>
    <w:multiLevelType w:val="hybridMultilevel"/>
    <w:lvl w:ilvl="0">
      <w:lvlJc w:val="left"/>
      <w:lvlText w:val="*"/>
      <w:numFmt w:val="bullet"/>
      <w:start w:val="1"/>
    </w:lvl>
    <w:lvl w:ilvl="1">
      <w:lvlJc w:val="left"/>
      <w:lvlText w:val="%2"/>
      <w:numFmt w:val="decimal"/>
      <w:start w:val="14"/>
    </w:lvl>
  </w:abstractNum>
  <w:abstractNum w:abstractNumId="9">
    <w:nsid w:val="3A95F874"/>
    <w:multiLevelType w:val="hybridMultilevel"/>
    <w:lvl w:ilvl="0">
      <w:lvlJc w:val="left"/>
      <w:lvlText w:val="1"/>
      <w:numFmt w:val="bullet"/>
      <w:start w:val="1"/>
    </w:lvl>
  </w:abstractNum>
  <w:abstractNum w:abstractNumId="10">
    <w:nsid w:val="8138641"/>
    <w:multiLevelType w:val="hybridMultilevel"/>
    <w:lvl w:ilvl="0">
      <w:lvlJc w:val="left"/>
      <w:lvlText w:val="2"/>
      <w:numFmt w:val="bullet"/>
      <w:start w:val="1"/>
    </w:lvl>
  </w:abstractNum>
  <w:abstractNum w:abstractNumId="11">
    <w:nsid w:val="1E7FF521"/>
    <w:multiLevelType w:val="hybridMultilevel"/>
    <w:lvl w:ilvl="0">
      <w:lvlJc w:val="left"/>
      <w:lvlText w:val="3"/>
      <w:numFmt w:val="bullet"/>
      <w:start w:val="1"/>
    </w:lvl>
  </w:abstractNum>
  <w:abstractNum w:abstractNumId="12">
    <w:nsid w:val="7C3DBD3D"/>
    <w:multiLevelType w:val="hybridMultilevel"/>
    <w:lvl w:ilvl="0">
      <w:lvlJc w:val="left"/>
      <w:lvlText w:val="4"/>
      <w:numFmt w:val="bullet"/>
      <w:start w:val="1"/>
    </w:lvl>
  </w:abstractNum>
  <w:abstractNum w:abstractNumId="13">
    <w:nsid w:val="737B8DDC"/>
    <w:multiLevelType w:val="hybridMultilevel"/>
    <w:lvl w:ilvl="0">
      <w:lvlJc w:val="left"/>
      <w:lvlText w:val="5"/>
      <w:numFmt w:val="bullet"/>
      <w:start w:val="1"/>
    </w:lvl>
  </w:abstractNum>
  <w:abstractNum w:abstractNumId="14">
    <w:nsid w:val="6CEAF087"/>
    <w:multiLevelType w:val="hybridMultilevel"/>
    <w:lvl w:ilvl="0">
      <w:lvlJc w:val="left"/>
      <w:lvlText w:val="6"/>
      <w:numFmt w:val="bullet"/>
      <w:start w:val="1"/>
    </w:lvl>
  </w:abstractNum>
  <w:abstractNum w:abstractNumId="15">
    <w:nsid w:val="22221A70"/>
    <w:multiLevelType w:val="hybridMultilevel"/>
    <w:lvl w:ilvl="0">
      <w:lvlJc w:val="left"/>
      <w:lvlText w:val="1"/>
      <w:numFmt w:val="bullet"/>
      <w:start w:val="1"/>
    </w:lvl>
  </w:abstractNum>
  <w:abstractNum w:abstractNumId="16">
    <w:nsid w:val="4516DDE9"/>
    <w:multiLevelType w:val="hybridMultilevel"/>
    <w:lvl w:ilvl="0">
      <w:lvlJc w:val="left"/>
      <w:lvlText w:val="2"/>
      <w:numFmt w:val="bullet"/>
      <w:start w:val="1"/>
    </w:lvl>
  </w:abstractNum>
  <w:abstractNum w:abstractNumId="17">
    <w:nsid w:val="3006C83E"/>
    <w:multiLevelType w:val="hybridMultilevel"/>
    <w:lvl w:ilvl="0">
      <w:lvlJc w:val="left"/>
      <w:lvlText w:val="3"/>
      <w:numFmt w:val="bullet"/>
      <w:start w:val="1"/>
    </w:lvl>
  </w:abstractNum>
  <w:abstractNum w:abstractNumId="18">
    <w:nsid w:val="614FD4A1"/>
    <w:multiLevelType w:val="hybridMultilevel"/>
    <w:lvl w:ilvl="0">
      <w:lvlJc w:val="left"/>
      <w:lvlText w:val="4"/>
      <w:numFmt w:val="bullet"/>
      <w:start w:val="1"/>
    </w:lvl>
  </w:abstractNum>
  <w:abstractNum w:abstractNumId="19">
    <w:nsid w:val="419AC241"/>
    <w:multiLevelType w:val="hybridMultilevel"/>
    <w:lvl w:ilvl="0">
      <w:lvlJc w:val="left"/>
      <w:lvlText w:val="5"/>
      <w:numFmt w:val="bullet"/>
      <w:start w:val="1"/>
    </w:lvl>
  </w:abstractNum>
  <w:abstractNum w:abstractNumId="20">
    <w:nsid w:val="5577F8E1"/>
    <w:multiLevelType w:val="hybridMultilevel"/>
    <w:lvl w:ilvl="0">
      <w:lvlJc w:val="left"/>
      <w:lvlText w:val="6"/>
      <w:numFmt w:val="bullet"/>
      <w:start w:val="1"/>
    </w:lvl>
  </w:abstractNum>
  <w:abstractNum w:abstractNumId="21">
    <w:nsid w:val="440BADFC"/>
    <w:multiLevelType w:val="hybridMultilevel"/>
    <w:lvl w:ilvl="0">
      <w:lvlJc w:val="left"/>
      <w:lvlText w:val="7"/>
      <w:numFmt w:val="bullet"/>
      <w:start w:val="1"/>
    </w:lvl>
  </w:abstractNum>
  <w:abstractNum w:abstractNumId="22">
    <w:nsid w:val="5072367"/>
    <w:multiLevelType w:val="hybridMultilevel"/>
    <w:lvl w:ilvl="0">
      <w:lvlJc w:val="left"/>
      <w:lvlText w:val="*"/>
      <w:numFmt w:val="bullet"/>
      <w:start w:val="1"/>
    </w:lvl>
    <w:lvl w:ilvl="1">
      <w:lvlJc w:val="left"/>
      <w:lvlText w:val="%2"/>
      <w:numFmt w:val="decimal"/>
      <w:start w:val="14"/>
    </w:lvl>
  </w:abstractNum>
  <w:abstractNum w:abstractNumId="23">
    <w:nsid w:val="3804823E"/>
    <w:multiLevelType w:val="hybridMultilevel"/>
    <w:lvl w:ilvl="0">
      <w:lvlJc w:val="left"/>
      <w:lvlText w:val="1"/>
      <w:numFmt w:val="bullet"/>
      <w:start w:val="1"/>
    </w:lvl>
  </w:abstractNum>
  <w:abstractNum w:abstractNumId="24">
    <w:nsid w:val="77465F01"/>
    <w:multiLevelType w:val="hybridMultilevel"/>
    <w:lvl w:ilvl="0">
      <w:lvlJc w:val="left"/>
      <w:lvlText w:val="2"/>
      <w:numFmt w:val="bullet"/>
      <w:start w:val="1"/>
    </w:lvl>
  </w:abstractNum>
  <w:abstractNum w:abstractNumId="25">
    <w:nsid w:val="7724C67E"/>
    <w:multiLevelType w:val="hybridMultilevel"/>
    <w:lvl w:ilvl="0">
      <w:lvlJc w:val="left"/>
      <w:lvlText w:val="3"/>
      <w:numFmt w:val="bullet"/>
      <w:start w:val="1"/>
    </w:lvl>
  </w:abstractNum>
  <w:abstractNum w:abstractNumId="26">
    <w:nsid w:val="5C482A97"/>
    <w:multiLevelType w:val="hybridMultilevel"/>
    <w:lvl w:ilvl="0">
      <w:lvlJc w:val="left"/>
      <w:lvlText w:val="4"/>
      <w:numFmt w:val="bullet"/>
      <w:start w:val="1"/>
    </w:lvl>
  </w:abstractNum>
  <w:abstractNum w:abstractNumId="27">
    <w:nsid w:val="2463B9EA"/>
    <w:multiLevelType w:val="hybridMultilevel"/>
    <w:lvl w:ilvl="0">
      <w:lvlJc w:val="left"/>
      <w:lvlText w:val="5"/>
      <w:numFmt w:val="bullet"/>
      <w:start w:val="1"/>
    </w:lvl>
  </w:abstractNum>
  <w:abstractNum w:abstractNumId="28">
    <w:nsid w:val="5E884ADC"/>
    <w:multiLevelType w:val="hybridMultilevel"/>
    <w:lvl w:ilvl="0">
      <w:lvlJc w:val="left"/>
      <w:lvlText w:val="6"/>
      <w:numFmt w:val="bullet"/>
      <w:start w:val="1"/>
    </w:lvl>
  </w:abstractNum>
  <w:abstractNum w:abstractNumId="29">
    <w:nsid w:val="51EAD36B"/>
    <w:multiLevelType w:val="hybridMultilevel"/>
    <w:lvl w:ilvl="0">
      <w:lvlJc w:val="left"/>
      <w:lvlText w:val="1"/>
      <w:numFmt w:val="bullet"/>
      <w:start w:val="1"/>
    </w:lvl>
  </w:abstractNum>
  <w:abstractNum w:abstractNumId="30">
    <w:nsid w:val="2D517796"/>
    <w:multiLevelType w:val="hybridMultilevel"/>
    <w:lvl w:ilvl="0">
      <w:lvlJc w:val="left"/>
      <w:lvlText w:val="2"/>
      <w:numFmt w:val="bullet"/>
      <w:start w:val="1"/>
    </w:lvl>
  </w:abstractNum>
  <w:abstractNum w:abstractNumId="31">
    <w:nsid w:val="580BD78F"/>
    <w:multiLevelType w:val="hybridMultilevel"/>
    <w:lvl w:ilvl="0">
      <w:lvlJc w:val="left"/>
      <w:lvlText w:val="3"/>
      <w:numFmt w:val="bullet"/>
      <w:start w:val="1"/>
    </w:lvl>
  </w:abstractNum>
  <w:abstractNum w:abstractNumId="32">
    <w:nsid w:val="153EA438"/>
    <w:multiLevelType w:val="hybridMultilevel"/>
    <w:lvl w:ilvl="0">
      <w:lvlJc w:val="left"/>
      <w:lvlText w:val="4"/>
      <w:numFmt w:val="bullet"/>
      <w:start w:val="1"/>
    </w:lvl>
  </w:abstractNum>
  <w:abstractNum w:abstractNumId="33">
    <w:nsid w:val="3855585C"/>
    <w:multiLevelType w:val="hybridMultilevel"/>
    <w:lvl w:ilvl="0">
      <w:lvlJc w:val="left"/>
      <w:lvlText w:val="5"/>
      <w:numFmt w:val="bullet"/>
      <w:start w:val="1"/>
    </w:lvl>
  </w:abstractNum>
  <w:abstractNum w:abstractNumId="34">
    <w:nsid w:val="70A64E2A"/>
    <w:multiLevelType w:val="hybridMultilevel"/>
    <w:lvl w:ilvl="0">
      <w:lvlJc w:val="left"/>
      <w:lvlText w:val="6"/>
      <w:numFmt w:val="bullet"/>
      <w:start w:val="1"/>
    </w:lvl>
  </w:abstractNum>
  <w:abstractNum w:abstractNumId="35">
    <w:nsid w:val="6A2342EC"/>
    <w:multiLevelType w:val="hybridMultilevel"/>
    <w:lvl w:ilvl="0">
      <w:lvlJc w:val="left"/>
      <w:lvlText w:val="(%1)"/>
      <w:numFmt w:val="lowerRoman"/>
      <w:start w:val="10"/>
    </w:lvl>
  </w:abstractNum>
  <w:abstractNum w:abstractNumId="36">
    <w:nsid w:val="2A487CB0"/>
    <w:multiLevelType w:val="hybridMultilevel"/>
    <w:lvl w:ilvl="0">
      <w:lvlJc w:val="left"/>
      <w:lvlText w:val="2"/>
      <w:numFmt w:val="bullet"/>
      <w:start w:val="1"/>
    </w:lvl>
  </w:abstractNum>
  <w:abstractNum w:abstractNumId="37">
    <w:nsid w:val="1D4ED43B"/>
    <w:multiLevelType w:val="hybridMultilevel"/>
    <w:lvl w:ilvl="0">
      <w:lvlJc w:val="left"/>
      <w:lvlText w:val="1"/>
      <w:numFmt w:val="bullet"/>
      <w:start w:val="1"/>
    </w:lvl>
  </w:abstractNum>
  <w:abstractNum w:abstractNumId="38">
    <w:nsid w:val="725A06FB"/>
    <w:multiLevelType w:val="hybridMultilevel"/>
    <w:lvl w:ilvl="0">
      <w:lvlJc w:val="left"/>
      <w:lvlText w:val="2"/>
      <w:numFmt w:val="bullet"/>
      <w:start w:val="1"/>
    </w:lvl>
  </w:abstractNum>
  <w:abstractNum w:abstractNumId="39">
    <w:nsid w:val="2CD89A32"/>
    <w:multiLevelType w:val="hybridMultilevel"/>
    <w:lvl w:ilvl="0">
      <w:lvlJc w:val="left"/>
      <w:lvlText w:val="%1."/>
      <w:numFmt w:val="decimal"/>
      <w:start w:val="1"/>
    </w:lvl>
  </w:abstractNum>
  <w:abstractNum w:abstractNumId="40">
    <w:nsid w:val="57E4CCAF"/>
    <w:multiLevelType w:val="hybridMultilevel"/>
    <w:lvl w:ilvl="0">
      <w:lvlJc w:val="left"/>
      <w:lvlText w:val="%1."/>
      <w:numFmt w:val="decimal"/>
      <w:start w:val="3"/>
    </w:lvl>
  </w:abstractNum>
  <w:abstractNum w:abstractNumId="41">
    <w:nsid w:val="7A6D8D3C"/>
    <w:multiLevelType w:val="hybridMultilevel"/>
    <w:lvl w:ilvl="0">
      <w:lvlJc w:val="left"/>
      <w:lvlText w:val="%1."/>
      <w:numFmt w:val="decimal"/>
      <w:start w:val="5"/>
    </w:lvl>
  </w:abstractNum>
  <w:abstractNum w:abstractNumId="42">
    <w:nsid w:val="4B588F54"/>
    <w:multiLevelType w:val="hybridMultilevel"/>
    <w:lvl w:ilvl="0">
      <w:lvlJc w:val="left"/>
      <w:lvlText w:val="(%1)"/>
      <w:numFmt w:val="lowerLetter"/>
      <w:start w:val="1"/>
    </w:lvl>
  </w:abstractNum>
  <w:abstractNum w:abstractNumId="43">
    <w:nsid w:val="542289EC"/>
    <w:multiLevelType w:val="hybridMultilevel"/>
    <w:lvl w:ilvl="0">
      <w:lvlJc w:val="left"/>
      <w:lvlText w:val="(%1)"/>
      <w:numFmt w:val="lowerLetter"/>
      <w:start w:val="6"/>
    </w:lvl>
  </w:abstractNum>
  <w:abstractNum w:abstractNumId="44">
    <w:nsid w:val="6DE91B18"/>
    <w:multiLevelType w:val="hybridMultilevel"/>
    <w:lvl w:ilvl="0">
      <w:lvlJc w:val="left"/>
      <w:lvlText w:val="%1."/>
      <w:numFmt w:val="decimal"/>
      <w:start w:val="6"/>
    </w:lvl>
  </w:abstractNum>
  <w:abstractNum w:abstractNumId="45">
    <w:nsid w:val="38437FDB"/>
    <w:multiLevelType w:val="hybridMultilevel"/>
    <w:lvl w:ilvl="0">
      <w:lvlJc w:val="left"/>
      <w:lvlText w:val="(%1)"/>
      <w:numFmt w:val="lowerLetter"/>
      <w:start w:val="1"/>
    </w:lvl>
  </w:abstractNum>
  <w:abstractNum w:abstractNumId="46">
    <w:nsid w:val="7644A45C"/>
    <w:multiLevelType w:val="hybridMultilevel"/>
    <w:lvl w:ilvl="0">
      <w:lvlJc w:val="left"/>
      <w:lvlText w:val="(%1)"/>
      <w:numFmt w:val="upperLetter"/>
      <w:start w:val="2"/>
    </w:lvl>
  </w:abstractNum>
  <w:abstractNum w:abstractNumId="47">
    <w:nsid w:val="32FFF902"/>
    <w:multiLevelType w:val="hybridMultilevel"/>
    <w:lvl w:ilvl="0">
      <w:lvlJc w:val="left"/>
      <w:lvlText w:val="%1."/>
      <w:numFmt w:val="decimal"/>
      <w:start w:val="7"/>
    </w:lvl>
  </w:abstractNum>
  <w:abstractNum w:abstractNumId="48">
    <w:nsid w:val="684A481A"/>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2019-12-05T23:44:07Z</dcterms:created>
  <dcterms:modified xsi:type="dcterms:W3CDTF">2019-12-05T23:44:07Z</dcterms:modified>
</cp:coreProperties>
</file>