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January 29, 2005 (Fiscal 2004) 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160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5000" w:type="dxa"/>
            <w:vAlign w:val="bottom"/>
            <w:gridSpan w:val="3"/>
          </w:tcPr>
          <w:p>
            <w:pPr>
              <w:ind w:left="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232"/>
        </w:trPr>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r>
      <w:tr>
        <w:trPr>
          <w:trHeight w:val="455"/>
        </w:trPr>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0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2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00" w:type="dxa"/>
            <w:vAlign w:val="bottom"/>
          </w:tcPr>
          <w:p>
            <w:pPr>
              <w:jc w:val="center"/>
              <w:ind w:left="1392"/>
              <w:spacing w:after="0"/>
              <w:rPr>
                <w:sz w:val="20"/>
                <w:szCs w:val="20"/>
                <w:color w:val="auto"/>
              </w:rPr>
            </w:pPr>
            <w:r>
              <w:rPr>
                <w:rFonts w:ascii="Arial" w:cs="Arial" w:eastAsia="Arial" w:hAnsi="Arial"/>
                <w:sz w:val="14"/>
                <w:szCs w:val="14"/>
                <w:b w:val="1"/>
                <w:bCs w:val="1"/>
                <w:i w:val="1"/>
                <w:iCs w:val="1"/>
                <w:color w:val="auto"/>
                <w:w w:val="87"/>
              </w:rPr>
              <w:t>Identification No.)</w:t>
            </w:r>
          </w:p>
        </w:tc>
      </w:tr>
      <w:tr>
        <w:trPr>
          <w:trHeight w:val="422"/>
        </w:trPr>
        <w:tc>
          <w:tcPr>
            <w:tcW w:w="2600" w:type="dxa"/>
            <w:vAlign w:val="bottom"/>
          </w:tcPr>
          <w:p>
            <w:pPr>
              <w:jc w:val="center"/>
              <w:ind w:right="4"/>
              <w:spacing w:after="0"/>
              <w:rPr>
                <w:sz w:val="20"/>
                <w:szCs w:val="20"/>
                <w:color w:val="auto"/>
              </w:rPr>
            </w:pPr>
            <w:r>
              <w:rPr>
                <w:rFonts w:ascii="Arial" w:cs="Arial" w:eastAsia="Arial" w:hAnsi="Arial"/>
                <w:sz w:val="18"/>
                <w:szCs w:val="18"/>
                <w:b w:val="1"/>
                <w:bCs w:val="1"/>
                <w:color w:val="auto"/>
                <w:w w:val="90"/>
              </w:rPr>
              <w:t>555 Turnpike Street, Canton, MA</w:t>
            </w:r>
          </w:p>
        </w:tc>
        <w:tc>
          <w:tcPr>
            <w:tcW w:w="500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02021</w:t>
            </w:r>
          </w:p>
        </w:tc>
      </w:tr>
      <w:tr>
        <w:trPr>
          <w:trHeight w:val="172"/>
        </w:trPr>
        <w:tc>
          <w:tcPr>
            <w:tcW w:w="2600" w:type="dxa"/>
            <w:vAlign w:val="bottom"/>
          </w:tcPr>
          <w:p>
            <w:pPr>
              <w:jc w:val="center"/>
              <w:ind w:right="4"/>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00" w:type="dxa"/>
            <w:vAlign w:val="bottom"/>
          </w:tcPr>
          <w:p>
            <w:pPr>
              <w:jc w:val="center"/>
              <w:ind w:left="1392"/>
              <w:spacing w:after="0"/>
              <w:rPr>
                <w:sz w:val="20"/>
                <w:szCs w:val="20"/>
                <w:color w:val="auto"/>
              </w:rPr>
            </w:pPr>
            <w:r>
              <w:rPr>
                <w:rFonts w:ascii="Arial" w:cs="Arial" w:eastAsia="Arial" w:hAnsi="Arial"/>
                <w:sz w:val="14"/>
                <w:szCs w:val="14"/>
                <w:b w:val="1"/>
                <w:bCs w:val="1"/>
                <w:i w:val="1"/>
                <w:iCs w:val="1"/>
                <w:color w:val="auto"/>
                <w:w w:val="86"/>
              </w:rPr>
              <w:t>(Zip Code)</w:t>
            </w:r>
          </w:p>
        </w:tc>
      </w:tr>
    </w:tbl>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8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7580" w:val="left"/>
          <w:tab w:leader="none" w:pos="82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As of July 31, 2004, the aggregate market value of the Common Stock held by non-affiliates of the registrant was approximately $156.1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34,250,912 shares of Common Stock, $0.01 par value, outstanding as of May 1, 2005.</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 w:name="page2"/>
    <w:bookmarkEnd w:id="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registrant hereby amends its Annual Report on Form 10-K for the fiscal year ending January 29, 2005 by amending PART III thereof to read in its entirety as follows: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i w:val="1"/>
          <w:iCs w:val="1"/>
          <w:color w:val="auto"/>
        </w:rPr>
        <w:t>Directors and Executive Officers of the Registrant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the directors of the Company is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DIRECTOR</w:t>
            </w:r>
          </w:p>
        </w:tc>
      </w:tr>
      <w:tr>
        <w:trPr>
          <w:trHeight w:val="174"/>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840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SINCE</w:t>
            </w:r>
          </w:p>
        </w:tc>
      </w:tr>
      <w:tr>
        <w:trPr>
          <w:trHeight w:val="95"/>
        </w:trPr>
        <w:tc>
          <w:tcPr>
            <w:tcW w:w="8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316"/>
        </w:trPr>
        <w:tc>
          <w:tcPr>
            <w:tcW w:w="200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Chairman of the Board and Director (2)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 (3),(4)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 (3),(4),(5)</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James P. Frain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Joseph Pennacchio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 (2),(3),(5)</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 (5)</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324"/>
        </w:trPr>
        <w:tc>
          <w:tcPr>
            <w:tcW w:w="200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Director, Chief Executive Officer of the Rochester Big &amp; Tall division (6)</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Frank J. Husic, a director of the Company since June 23, 2003, resigned his position effective February 1,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Investors Relations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Sockolov was appointed a director of the Company on October 27, 2004.</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Seymour Holtzman </w:t>
      </w:r>
      <w:r>
        <w:rPr>
          <w:rFonts w:ascii="Arial" w:cs="Arial" w:eastAsia="Arial" w:hAnsi="Arial"/>
          <w:sz w:val="16"/>
          <w:szCs w:val="16"/>
          <w:color w:val="auto"/>
        </w:rPr>
        <w:t>has been a director of the Company since April 7, 2000 and Chairman of the Board since April 11, 2000. On May 25, 2001,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Chairman of the Board of MM Companies, Inc. (OTCBB: “MMCO”). Mr. Holtzman is a well-known shareholder activist who specializes in the banking industry and the retail industry.</w:t>
      </w:r>
    </w:p>
    <w:p>
      <w:pPr>
        <w:spacing w:after="0" w:line="10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ectPr>
          <w:pgSz w:w="11900" w:h="16838" w:orient="portrait"/>
          <w:cols w:equalWidth="0" w:num="1">
            <w:col w:w="11420"/>
          </w:cols>
          <w:pgMar w:left="240" w:top="280" w:right="239" w:bottom="1440" w:gutter="0" w:footer="0" w:header="0"/>
        </w:sectPr>
      </w:pPr>
    </w:p>
    <w:bookmarkStart w:id="2" w:name="page3"/>
    <w:bookmarkEnd w:id="2"/>
    <w:p>
      <w:pPr>
        <w:ind w:right="2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Alan S. Bernikow </w:t>
      </w:r>
      <w:r>
        <w:rPr>
          <w:rFonts w:ascii="Arial" w:cs="Arial" w:eastAsia="Arial" w:hAnsi="Arial"/>
          <w:sz w:val="16"/>
          <w:szCs w:val="16"/>
          <w:color w:val="auto"/>
        </w:rPr>
        <w:t>has been a director of the Company since June 29,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of the Audit Committee of Revlon, Inc.; a member of the Board of Directors and Chairman of the Audit Committee of Mack-Cali; a member of the Board of Directors and Chairman of the Audit Committee of the FOJP Service Corporation; a member of the Board of Directors, Treasurer and Chairman of the Audit Committee for the Jewish Communal Fund; Chairman of the Board of The Heart Institute of Staten Island; and a member of the Board of Directors and Chairman of the Audit Committee of Saint Vincent Catholic Medical Centers.</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of the Company since October 8, 1999. Mr. Choper is the Earl Warren Professor of Public Law at the University of California at</w:t>
      </w:r>
      <w:r>
        <w:rPr>
          <w:rFonts w:ascii="Arial" w:cs="Arial" w:eastAsia="Arial" w:hAnsi="Arial"/>
          <w:sz w:val="18"/>
          <w:szCs w:val="18"/>
          <w:i w:val="1"/>
          <w:iCs w:val="1"/>
          <w:color w:val="auto"/>
        </w:rPr>
        <w:t xml:space="preserve"> </w:t>
      </w:r>
      <w:r>
        <w:rPr>
          <w:rFonts w:ascii="Arial" w:cs="Arial" w:eastAsia="Arial" w:hAnsi="Arial"/>
          <w:sz w:val="18"/>
          <w:szCs w:val="18"/>
          <w:color w:val="auto"/>
        </w:rPr>
        <w:t>Berkeley School of Law, where he has taught since 1965. From 1960 to 1961, Professor Choper was a law clerk for Supreme Court Chief Justice Earl Warren. Mr. Choper is also on the Board of Directors of MM Companies, Inc.</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James P. Frain </w:t>
      </w:r>
      <w:r>
        <w:rPr>
          <w:rFonts w:ascii="Arial" w:cs="Arial" w:eastAsia="Arial" w:hAnsi="Arial"/>
          <w:sz w:val="18"/>
          <w:szCs w:val="18"/>
          <w:color w:val="auto"/>
        </w:rPr>
        <w:t>has been a director of the Company since April 2, 2004. Since June 1999, Mr. Frain has been with Chico’s, a specialty retailer of women’s apparel.</w:t>
      </w:r>
      <w:r>
        <w:rPr>
          <w:rFonts w:ascii="Arial" w:cs="Arial" w:eastAsia="Arial" w:hAnsi="Arial"/>
          <w:sz w:val="18"/>
          <w:szCs w:val="18"/>
          <w:i w:val="1"/>
          <w:iCs w:val="1"/>
          <w:color w:val="auto"/>
        </w:rPr>
        <w:t xml:space="preserve"> </w:t>
      </w:r>
      <w:r>
        <w:rPr>
          <w:rFonts w:ascii="Arial" w:cs="Arial" w:eastAsia="Arial" w:hAnsi="Arial"/>
          <w:sz w:val="18"/>
          <w:szCs w:val="18"/>
          <w:color w:val="auto"/>
        </w:rPr>
        <w:t>Mr. Frain started with Chico’s as the Marketing Director and most recently Mr. Frain was promoted to Executive Vice President and Chief Marketing Officer for Chico’s.</w:t>
      </w:r>
    </w:p>
    <w:p>
      <w:pPr>
        <w:spacing w:after="0" w:line="1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Joseph Pennacchio </w:t>
      </w:r>
      <w:r>
        <w:rPr>
          <w:rFonts w:ascii="Arial" w:cs="Arial" w:eastAsia="Arial" w:hAnsi="Arial"/>
          <w:sz w:val="18"/>
          <w:szCs w:val="18"/>
          <w:color w:val="auto"/>
        </w:rPr>
        <w:t>has been a director of the Company since October 8, 1999. From 1997 until his retirement in January 2005, Mr. Pennacchio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Aurafin LLC, a privately held jewelry manufacturer and wholesaler. From 1994 to 1996, Mr. Pennacchio was President of Jan Bell Marketing, a $250 million jewelry retailer, which is listed on the American Stock Exchange. Mr. Pennacchio was also President of Jordan Marsh Department Stores from 1992 to 1994.</w:t>
      </w:r>
    </w:p>
    <w:p>
      <w:pPr>
        <w:spacing w:after="0" w:line="13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 Mr. Porter is a member of the Board of Directors of Luna Vineyards and a member of the Board of Directors of Haas Industries.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was appointed a director of the Company on October 27, 2004 in connection with the Company’s acquisition of Rochester Big &amp; Tall</w:t>
      </w:r>
      <w:r>
        <w:rPr>
          <w:rFonts w:ascii="Arial" w:cs="Arial" w:eastAsia="Arial" w:hAnsi="Arial"/>
          <w:sz w:val="16"/>
          <w:szCs w:val="16"/>
          <w:i w:val="1"/>
          <w:iCs w:val="1"/>
          <w:color w:val="auto"/>
        </w:rPr>
        <w:t xml:space="preserve"> </w:t>
      </w:r>
      <w:r>
        <w:rPr>
          <w:rFonts w:ascii="Arial" w:cs="Arial" w:eastAsia="Arial" w:hAnsi="Arial"/>
          <w:sz w:val="16"/>
          <w:szCs w:val="16"/>
          <w:color w:val="auto"/>
        </w:rPr>
        <w:t>Clothing (“Rochester”). At that time, Mr. Sockolov was also appointed Chief Executive Officer of the Company’s newly acquired Rochester division. Prior to joining the Company, Mr. Sockolov had been with Rochester since 1951 and, since 1967, was Rochester’s President and Chief Executive Officer.</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Non-Director Executive Officers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48, has been Executive Vice President, Chief Operating Officer and Chief Financial Officer of the Company since September 2002.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Linda B. Carlo</w:t>
      </w:r>
      <w:r>
        <w:rPr>
          <w:rFonts w:ascii="Arial" w:cs="Arial" w:eastAsia="Arial" w:hAnsi="Arial"/>
          <w:sz w:val="16"/>
          <w:szCs w:val="16"/>
          <w:color w:val="auto"/>
        </w:rPr>
        <w:t>, 58, has been the Executive Vice President, General Merchandise Manager of the Casual Male division since August 2003. Prior to joining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ectPr>
          <w:pgSz w:w="11900" w:h="16838" w:orient="portrait"/>
          <w:cols w:equalWidth="0" w:num="1">
            <w:col w:w="11420"/>
          </w:cols>
          <w:pgMar w:left="240" w:top="280" w:right="239" w:bottom="1440" w:gutter="0" w:footer="0" w:header="0"/>
        </w:sectPr>
      </w:pPr>
    </w:p>
    <w:bookmarkStart w:id="3" w:name="page4"/>
    <w:bookmarkEnd w:id="3"/>
    <w:p>
      <w:pPr>
        <w:ind w:right="2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H. Cornely III</w:t>
      </w:r>
      <w:r>
        <w:rPr>
          <w:rFonts w:ascii="Arial" w:cs="Arial" w:eastAsia="Arial" w:hAnsi="Arial"/>
          <w:sz w:val="18"/>
          <w:szCs w:val="18"/>
          <w:color w:val="auto"/>
        </w:rPr>
        <w:t>, 53, is currently the Company’s Executive Vice President of Store Development. Mr. Cornely began his career with Casual Male Corp. in</w:t>
      </w:r>
      <w:r>
        <w:rPr>
          <w:rFonts w:ascii="Arial" w:cs="Arial" w:eastAsia="Arial" w:hAnsi="Arial"/>
          <w:sz w:val="18"/>
          <w:szCs w:val="18"/>
          <w:i w:val="1"/>
          <w:iCs w:val="1"/>
          <w:color w:val="auto"/>
        </w:rPr>
        <w:t xml:space="preserve"> </w:t>
      </w:r>
      <w:r>
        <w:rPr>
          <w:rFonts w:ascii="Arial" w:cs="Arial" w:eastAsia="Arial" w:hAnsi="Arial"/>
          <w:sz w:val="18"/>
          <w:szCs w:val="18"/>
          <w:color w:val="auto"/>
        </w:rPr>
        <w:t>1972 and joined the Company in May 2002 as part of the Company’s acquisition of Casual Male.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7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Company has a separately-designated standing Audit Committee established in accordance with section 3(a)(58)(A) of the Securities Exchange Act of 1934, as amended (the “Exchange Act”). The Audit Committee is currently comprised of Messrs. Choper, Bernikow and Pennacchio. Each of the members of the Audit Committee is independent, as independence for audit committee members is defined under the rules of the Nasdaq National Market. In addition, the Board of Directors has determined that Mr. Bernikow is an “audit committee financial expert” under the rules of the Securities and Exchange Commission (the “SEC”).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16(a) Beneficial Ownership Reporting Compliance</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 The Reporting Persons are required to furnish the Company with copies of all Section 16(a) reports they file. Based solely upon a review of Forms 3, 4 and 5 and amendments thereto furnished to the Company during fiscal 2004, the Company believes that the current Reporting Persons complied with all applicable Section 16(a) reporting requirements and that all required reports were filed in a timely manner, with the exception of the following filings:</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Carlo filed a Form 4 late with respect to the acquisition in November 2004 of 2,000 shares of the Company’s Common Stock. Mr. Husic filed late Form 4’s in September 2004 and July 2004 modifying his indirect ownership of the Company’s Common Stock. Messrs. Choper, Pennacchio and Porter each filed a late Form 4 for stock compensation received for a compensation committee meeting held in July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7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The Company has adopted a Code of Ethics which applies to the Company’s directors, Chief Executive Officer and Chief Financial Officer, as well as the Company’s other senior financial officers. The full text of the Code of Ethics can be found under Corporate Governance on the Investor Relations page of the Company’s corporate web site, which is at </w:t>
      </w:r>
      <w:r>
        <w:rPr>
          <w:rFonts w:ascii="Arial" w:cs="Arial" w:eastAsia="Arial" w:hAnsi="Arial"/>
          <w:sz w:val="18"/>
          <w:szCs w:val="18"/>
          <w:u w:val="single" w:color="auto"/>
          <w:color w:val="auto"/>
        </w:rPr>
        <w:t>www.cmrginc.com.</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11. </w:t>
      </w:r>
      <w:r>
        <w:rPr>
          <w:rFonts w:ascii="Arial" w:cs="Arial" w:eastAsia="Arial" w:hAnsi="Arial"/>
          <w:sz w:val="18"/>
          <w:szCs w:val="18"/>
          <w:i w:val="1"/>
          <w:iCs w:val="1"/>
          <w:color w:val="auto"/>
        </w:rPr>
        <w:t>Executive Compensation</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Summary Compensation Table</w:t>
      </w:r>
      <w:r>
        <w:rPr>
          <w:rFonts w:ascii="Arial" w:cs="Arial" w:eastAsia="Arial" w:hAnsi="Arial"/>
          <w:sz w:val="16"/>
          <w:szCs w:val="16"/>
          <w:color w:val="auto"/>
        </w:rPr>
        <w:t>. The following Summary Compensation Table sets forth certain information regarding compensation paid or accrued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 respect to the Chairman of the Board, the Chief Executive Officer, the Chief Financial Officer, the General Merchandise Manager of the Company’s Casual Male division, and the Executive Vice President of Store Development (collectively, the “Named Executive Officers”), for fiscal 2004 and for the fiscal years ended January 31, 2004 (“fiscal 2003”) and February 1, 2003 (“fiscal 2002”).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Summary Compensation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Annual</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1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84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Name and Principal Position</w:t>
            </w:r>
          </w:p>
        </w:tc>
        <w:tc>
          <w:tcPr>
            <w:tcW w:w="1740" w:type="dxa"/>
            <w:vAlign w:val="bottom"/>
          </w:tcPr>
          <w:p>
            <w:pPr>
              <w:spacing w:after="0"/>
              <w:rPr>
                <w:sz w:val="3"/>
                <w:szCs w:val="3"/>
                <w:color w:val="auto"/>
              </w:rPr>
            </w:pPr>
          </w:p>
        </w:tc>
        <w:tc>
          <w:tcPr>
            <w:tcW w:w="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0"/>
              </w:rPr>
              <w:t>Fiscal</w:t>
            </w: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3"/>
                <w:szCs w:val="3"/>
                <w:color w:val="auto"/>
              </w:rPr>
            </w:pPr>
          </w:p>
        </w:tc>
        <w:tc>
          <w:tcPr>
            <w:tcW w:w="94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89"/>
        </w:trPr>
        <w:tc>
          <w:tcPr>
            <w:tcW w:w="4840" w:type="dxa"/>
            <w:vAlign w:val="bottom"/>
            <w:gridSpan w:val="4"/>
            <w:vMerge w:val="continue"/>
          </w:tcPr>
          <w:p>
            <w:pPr>
              <w:spacing w:after="0"/>
              <w:rPr>
                <w:sz w:val="7"/>
                <w:szCs w:val="7"/>
                <w:color w:val="auto"/>
              </w:rPr>
            </w:pPr>
          </w:p>
        </w:tc>
        <w:tc>
          <w:tcPr>
            <w:tcW w:w="17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(at January 29, 2005)</w:t>
            </w:r>
          </w:p>
        </w:tc>
        <w:tc>
          <w:tcPr>
            <w:tcW w:w="17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Salary</w:t>
            </w:r>
          </w:p>
        </w:tc>
        <w:tc>
          <w:tcPr>
            <w:tcW w:w="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Bonus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(1)</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316"/>
        </w:trPr>
        <w:tc>
          <w:tcPr>
            <w:tcW w:w="4840" w:type="dxa"/>
            <w:vAlign w:val="bottom"/>
            <w:gridSpan w:val="4"/>
          </w:tcPr>
          <w:p>
            <w:pPr>
              <w:spacing w:after="0"/>
              <w:rPr>
                <w:sz w:val="20"/>
                <w:szCs w:val="20"/>
                <w:color w:val="auto"/>
              </w:rPr>
            </w:pPr>
            <w:r>
              <w:rPr>
                <w:rFonts w:ascii="Arial" w:cs="Arial" w:eastAsia="Arial" w:hAnsi="Arial"/>
                <w:sz w:val="18"/>
                <w:szCs w:val="18"/>
                <w:color w:val="auto"/>
              </w:rPr>
              <w:t>David A. Levin</w:t>
            </w:r>
          </w:p>
        </w:tc>
        <w:tc>
          <w:tcPr>
            <w:tcW w:w="210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2004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560,577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w:t>
            </w:r>
          </w:p>
        </w:tc>
        <w:tc>
          <w:tcPr>
            <w:tcW w:w="210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513,846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125,500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18,171(3)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210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2002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468,596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16,031(4)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426,659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385,385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93,750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 Chief Operating</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323,885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230,000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Officer and Treasurer</w:t>
            </w: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840" w:type="dxa"/>
            <w:vAlign w:val="bottom"/>
            <w:gridSpan w:val="4"/>
          </w:tcPr>
          <w:p>
            <w:pPr>
              <w:spacing w:after="0"/>
              <w:rPr>
                <w:sz w:val="20"/>
                <w:szCs w:val="20"/>
                <w:color w:val="auto"/>
              </w:rPr>
            </w:pPr>
            <w:r>
              <w:rPr>
                <w:rFonts w:ascii="Arial" w:cs="Arial" w:eastAsia="Arial" w:hAnsi="Arial"/>
                <w:sz w:val="18"/>
                <w:szCs w:val="18"/>
                <w:color w:val="auto"/>
              </w:rPr>
              <w:t>Linda B. Carlo (5)</w:t>
            </w:r>
          </w:p>
        </w:tc>
        <w:tc>
          <w:tcPr>
            <w:tcW w:w="210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2004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299,286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w:t>
            </w:r>
          </w:p>
        </w:tc>
        <w:tc>
          <w:tcPr>
            <w:tcW w:w="210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133,846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General Merchandise Manager of the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Casual Male division</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H. Cornely III (6)</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292,789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Store Development</w:t>
            </w:r>
          </w:p>
        </w:tc>
        <w:tc>
          <w:tcPr>
            <w:tcW w:w="210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89"/>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200,230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May 2001, Mr. Holtzman, who was serving as the Company’s non-employee Chairman of the Board, was hired by the Company as an executive officer of the Company. The principal portion of Mr. Holtzman’s compensation as an officer of the Company is in the form of Company options. See “Employment Agreements” below for more discussion.</w:t>
      </w:r>
    </w:p>
    <w:p>
      <w:pPr>
        <w:jc w:val="both"/>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Compensation with respect to fiscal 2004 represents: (i) payments by the Company of insurance premiums for term life insurance for the benefit of the executive officers (Mr. Levin $2,570); (ii) matching contributions made by the Company for the benefit of each of the following executive officers to the Company’s retirement plan (the “401(k) Plan”) established pursuant to Section 401(k) of the Internal Revenue Code of 1986, as amended (Mr. Levin $6,098, Mr. Hernreich $6,098, Ms. Carlo $6,150 and Mr. Cornely $6,150); and (iii) car allowances (Mr. Levin $9,600, Mr. Hernreich $8,400, Ms. Carlo $8,400 and Mr. Cornely $3,618).</w:t>
      </w:r>
    </w:p>
    <w:p>
      <w:pPr>
        <w:spacing w:after="0" w:line="2"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401(k) Plan (Mr. Levin $6,000, Mr. Hernreich $6,000 and Mr. Cornely $6,000); and (iii) car allowances (Mr. Levin $9,600, Mr.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Hernreich $8,400 and Ms. Carlo $2,077).</w:t>
      </w:r>
    </w:p>
    <w:p>
      <w:pPr>
        <w:sectPr>
          <w:pgSz w:w="11900" w:h="16838" w:orient="portrait"/>
          <w:cols w:equalWidth="0" w:num="1">
            <w:col w:w="11420"/>
          </w:cols>
          <w:pgMar w:left="240" w:top="274" w:right="239" w:bottom="1440" w:gutter="0" w:footer="0" w:header="0"/>
        </w:sectPr>
      </w:pPr>
    </w:p>
    <w:bookmarkStart w:id="5" w:name="page6"/>
    <w:bookmarkEnd w:id="5"/>
    <w:p>
      <w:pPr>
        <w:ind w:left="460" w:right="6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Compensation with respect to fiscal 2002 represents: (i) payments by the Company of insurance premiums for term life insurance for the benefit of the executive officers (Mr. Holtzman $34, Mr. Levin $3,245 and Mr. Hernreich $466); (ii) matching contributions made by the Company for the benefit of each of the following executive officers to the 401(k) Plan (Mr. Levin $4,426, Mr. Hernreich $5,131 and Mr. Cornely $5,500); and (iii) car allowances (Mr. Levin $8,360 and Mr. Hernreich $2,423).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Ms. Carlo joined the Company is August 2003 as the Executive Vice President, General Merchandise Manager of the Company’s Casual Male division.</w:t>
      </w:r>
    </w:p>
    <w:p>
      <w:pPr>
        <w:spacing w:after="0" w:line="32" w:lineRule="exact"/>
        <w:rPr>
          <w:rFonts w:ascii="Arial" w:cs="Arial" w:eastAsia="Arial" w:hAnsi="Arial"/>
          <w:sz w:val="16"/>
          <w:szCs w:val="16"/>
          <w:color w:val="auto"/>
        </w:rPr>
      </w:pPr>
    </w:p>
    <w:p>
      <w:pPr>
        <w:ind w:left="460" w:right="14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Cornely was promoted to Executive Vice President, Store Development and accordingly became an executive officer of the Company on April 26, 2003. Mr. Cornely joined the Company on May 15, 2002 as a result of the Company’s Casual Male acquisition. Compensation paid by Casual Male Corp. to Mr. Cornely prior to May 15, 2002 is not included in this schedule.</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Option Grants Table</w:t>
      </w:r>
      <w:r>
        <w:rPr>
          <w:rFonts w:ascii="Arial" w:cs="Arial" w:eastAsia="Arial" w:hAnsi="Arial"/>
          <w:sz w:val="18"/>
          <w:szCs w:val="18"/>
          <w:color w:val="auto"/>
        </w:rPr>
        <w:t>. The following Option Grants Table sets forth certain information as of January 29, 2005 regarding stock options granted during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to the Named Executive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 Grants In Fiscal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Stock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Appreciation for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Individual Grants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Term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Granted</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Granted</w:t>
            </w: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Expiration</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5"/>
                <w:szCs w:val="15"/>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Share</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$788,634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1,998,553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$740,838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1,877,428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76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6.24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5/24/14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$294,323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745,871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7.28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6/16/14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$343,376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870,183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$235,458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$274,701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10.15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3/29/14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$159,582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404,412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10.15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$159,582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2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fourth quarter of fiscal 2004, the Company’s Board of Directors approved the vesting of all outstanding and unvested options held by directors, officers and employees under the Company’s 1992 Stock Incentive Plan. Accordingly, the above issuances became fully vested on January 27, 2005. See “Stock-Based Compensation” in Note A to the Notes of the Consolidated Financial Statements for the year ended January 29, 2005 for a complete discussion of the acceleration.</w:t>
      </w:r>
    </w:p>
    <w:p>
      <w:pPr>
        <w:spacing w:after="0" w:line="1" w:lineRule="exact"/>
        <w:rPr>
          <w:rFonts w:ascii="Arial" w:cs="Arial" w:eastAsia="Arial" w:hAnsi="Arial"/>
          <w:sz w:val="18"/>
          <w:szCs w:val="18"/>
          <w:color w:val="auto"/>
        </w:rPr>
      </w:pPr>
    </w:p>
    <w:p>
      <w:pPr>
        <w:ind w:left="460" w:right="200" w:hanging="452"/>
        <w:spacing w:after="0" w:line="29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ectPr>
          <w:pgSz w:w="11900" w:h="16838" w:orient="portrait"/>
          <w:cols w:equalWidth="0" w:num="1">
            <w:col w:w="11420"/>
          </w:cols>
          <w:pgMar w:left="240" w:top="280" w:right="239" w:bottom="1440" w:gutter="0" w:footer="0" w:header="0"/>
        </w:sectPr>
      </w:pPr>
    </w:p>
    <w:bookmarkStart w:id="6" w:name="page7"/>
    <w:bookmarkEnd w:id="6"/>
    <w:p>
      <w:pPr>
        <w:ind w:right="12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and Fiscal Year-End Option Value Table</w:t>
      </w:r>
      <w:r>
        <w:rPr>
          <w:rFonts w:ascii="Arial" w:cs="Arial" w:eastAsia="Arial" w:hAnsi="Arial"/>
          <w:sz w:val="16"/>
          <w:szCs w:val="16"/>
          <w:color w:val="auto"/>
        </w:rPr>
        <w:t>. The following table sets forth information for the Named Executive Officers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exercise of stock options during the fiscal year ended January 29, 2005 and the year-end value of unexercised options.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Aggregated Option Exercises in Fiscal 2004 and Fiscal Year-End Option Values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4"/>
                <w:szCs w:val="14"/>
                <w:color w:val="auto"/>
              </w:rPr>
            </w:pPr>
          </w:p>
        </w:tc>
        <w:tc>
          <w:tcPr>
            <w:tcW w:w="172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86"/>
              </w:rPr>
              <w:t>Value of Unexercised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00" w:type="dxa"/>
            <w:vAlign w:val="bottom"/>
          </w:tcPr>
          <w:p>
            <w:pPr>
              <w:spacing w:after="0"/>
              <w:rPr>
                <w:sz w:val="12"/>
                <w:szCs w:val="12"/>
                <w:color w:val="auto"/>
              </w:rPr>
            </w:pPr>
          </w:p>
        </w:tc>
        <w:tc>
          <w:tcPr>
            <w:tcW w:w="1720" w:type="dxa"/>
            <w:vAlign w:val="bottom"/>
            <w:gridSpan w:val="4"/>
          </w:tcPr>
          <w:p>
            <w:pPr>
              <w:jc w:val="center"/>
              <w:ind w:left="192"/>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Options at Year-End</w:t>
            </w:r>
          </w:p>
        </w:tc>
        <w:tc>
          <w:tcPr>
            <w:tcW w:w="200" w:type="dxa"/>
            <w:vAlign w:val="bottom"/>
          </w:tcPr>
          <w:p>
            <w:pPr>
              <w:spacing w:after="0"/>
              <w:rPr>
                <w:sz w:val="12"/>
                <w:szCs w:val="12"/>
                <w:color w:val="auto"/>
              </w:rPr>
            </w:pPr>
          </w:p>
        </w:tc>
        <w:tc>
          <w:tcPr>
            <w:tcW w:w="1720" w:type="dxa"/>
            <w:vAlign w:val="bottom"/>
            <w:gridSpan w:val="4"/>
          </w:tcPr>
          <w:p>
            <w:pPr>
              <w:jc w:val="center"/>
              <w:ind w:left="192"/>
              <w:spacing w:after="0" w:line="149" w:lineRule="exact"/>
              <w:rPr>
                <w:sz w:val="20"/>
                <w:szCs w:val="20"/>
                <w:color w:val="auto"/>
              </w:rPr>
            </w:pPr>
            <w:r>
              <w:rPr>
                <w:rFonts w:ascii="Arial" w:cs="Arial" w:eastAsia="Arial" w:hAnsi="Arial"/>
                <w:sz w:val="14"/>
                <w:szCs w:val="14"/>
                <w:b w:val="1"/>
                <w:bCs w:val="1"/>
                <w:color w:val="auto"/>
                <w:w w:val="90"/>
              </w:rPr>
              <w:t>at Year End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 of Shares (1)</w:t>
            </w:r>
          </w:p>
        </w:tc>
        <w:tc>
          <w:tcPr>
            <w:tcW w:w="200" w:type="dxa"/>
            <w:vAlign w:val="bottom"/>
          </w:tcPr>
          <w:p>
            <w:pPr>
              <w:spacing w:after="0"/>
              <w:rPr>
                <w:sz w:val="15"/>
                <w:szCs w:val="15"/>
                <w:color w:val="auto"/>
              </w:rPr>
            </w:pPr>
          </w:p>
        </w:tc>
        <w:tc>
          <w:tcPr>
            <w:tcW w:w="172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86"/>
              </w:rPr>
              <w:t>Value of Shares (1), (2)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1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680" w:type="dxa"/>
            <w:vAlign w:val="bottom"/>
            <w:vMerge w:val="restart"/>
          </w:tcPr>
          <w:p>
            <w:pPr>
              <w:jc w:val="right"/>
              <w:ind w:right="98"/>
              <w:spacing w:after="0" w:line="149" w:lineRule="exact"/>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Exercise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Realized ($)</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3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 (3)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1,530,000</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$1,722,500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725,000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1,544,500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518,625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Company accelerating all stock options outstanding at January 27, 2005, all outstanding options held by the Named Executive Officers at January 29, 2005 were exercisable.</w:t>
      </w:r>
    </w:p>
    <w:p>
      <w:pPr>
        <w:ind w:left="460" w:right="1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29, 2005 of $5.40 per share and the exercise price of the respective options.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including warrants held in the name of Jewelcor Management,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part of the Casual Male acquisition, the Company assumed Casual Male Corp.’s obligations under its Pension Plan (see Note I to the Notes to Consolidated Financial Statements)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4"/>
                <w:szCs w:val="14"/>
                <w:b w:val="1"/>
                <w:bCs w:val="1"/>
                <w:color w:val="auto"/>
                <w:w w:val="85"/>
              </w:rPr>
              <w:t>Representative Years of Service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of Highest Five</w:t>
            </w:r>
          </w:p>
        </w:tc>
        <w:tc>
          <w:tcPr>
            <w:tcW w:w="6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00" w:type="dxa"/>
            <w:vAlign w:val="bottom"/>
            <w:gridSpan w:val="4"/>
            <w:vMerge w:val="continue"/>
          </w:tcPr>
          <w:p>
            <w:pPr>
              <w:spacing w:after="0"/>
              <w:rPr>
                <w:sz w:val="7"/>
                <w:szCs w:val="7"/>
                <w:color w:val="auto"/>
              </w:rPr>
            </w:pPr>
          </w:p>
        </w:tc>
        <w:tc>
          <w:tcPr>
            <w:tcW w:w="6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Years of Compensation</w:t>
            </w:r>
          </w:p>
        </w:tc>
        <w:tc>
          <w:tcPr>
            <w:tcW w:w="6560" w:type="dxa"/>
            <w:vAlign w:val="bottom"/>
          </w:tcPr>
          <w:p>
            <w:pPr>
              <w:spacing w:after="0"/>
              <w:rPr>
                <w:sz w:val="15"/>
                <w:szCs w:val="15"/>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10 yrs</w:t>
            </w:r>
          </w:p>
        </w:tc>
        <w:tc>
          <w:tcPr>
            <w:tcW w:w="4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 yrs</w:t>
            </w:r>
          </w:p>
        </w:tc>
        <w:tc>
          <w:tcPr>
            <w:tcW w:w="2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9"/>
              </w:rPr>
              <w:t>30 yrs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$ 4,977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$ 9,953</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11,977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23,953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18,977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37,953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25,977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51,953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32,977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65,953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267,326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35,402</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70,805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39,977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79,953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w:t>
      </w:r>
    </w:p>
    <w:p>
      <w:pPr>
        <w:sectPr>
          <w:pgSz w:w="11900" w:h="16838" w:orient="portrait"/>
          <w:cols w:equalWidth="0" w:num="1">
            <w:col w:w="11420"/>
          </w:cols>
          <w:pgMar w:left="240" w:top="280" w:right="23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29, 2005, Mr. Cornely was the only Named Executive Officer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a 401(k) Plan for which all eligible employees of the Company may participate. The 401(k) Plan, which is a defined contribution plan, permits each participant to defer up to 15% of such participant’s annual salary up to a maximum annual amount ($13,000 in calendar 2004, $12,000 in calendar 2003 and $11,000 in calendar year 2002). The Board of Directors of the Company may determine, from fiscal year to fiscal year, whether and to what extent the Company will contribute to the 401(k) Plan by matching contributions made to such plan by eligible employees. During fiscal 2004, the matching contribution by the Company continued to be 50% of contributions by eligible employees up to a maximum of six percent of salary.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Man Insurance</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2000, the Company obtained a key man life insurance policy in the amount of $2,000,000 on the life of Mr. Levin. In fiscal 2001, the Company obtained a key man life insurance policy in the amount of $2,000,000 on the life of Mr. Hernreich.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 has employment agreements, which were most recently amended effective June 29, 2004 (collectively, the “Employment Agreements”), with David A. Levin and Dennis R. Hernreich. The Employment Agreements are for three-year terms, and automatically renew on each anniversary of the agreement’s commencement date for additional one-year periods, unless ninety-day notice by either party is otherwise given. The initial three-year term of Mr. Levin’s Employment Agreement was from April 10, 2000 until April 10, 2003. On each anniversary of the agreement’s commencement date, the term was extended for a one-year period. Accordingly, as of April 10, 2005, the most recent anniversary of Mr. Levin’s agreement’s commencement date, Mr. Levin’s employment with the Company was extended for an additional one-year period thereby extending the agreement to April 10, 2008. The initial three-year term of Mr. Hernreich’s Employment Agreement was from September 4, 2000 until September 4, 2003. On each anniversary of the agreement’s commencement date, the term was extended for a one-year period. Accordingly, as of September 4, 2004, the most recent anniversary of Mr. Hernreich’s agreement’s commencement date, Mr. Hernreich’s Employment Agreement with the Company was extended for an additional one-year period thereby extending the agreement to September 4, 2007.</w:t>
      </w:r>
    </w:p>
    <w:p>
      <w:pPr>
        <w:spacing w:after="0" w:line="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the business of the Company as necessary to fulfill his respective duties. The Employment Agreements, as amended, provide that Messrs. Levin and Hernreich would be paid base salaries at annual rates of $575,000 and $440,000, respectively. Effective May 9, 2005, Mr. Levin’s and Mr. Hernreich’s salaries were increased to $600,000 and $460,000, respectively. The Employment Agreements provide that the annual rate of base salary for the renewal term may be increased by the Compensation Committee of the Board of Directors in its sole discretion.</w:t>
      </w:r>
    </w:p>
    <w:p>
      <w:pPr>
        <w:spacing w:after="0" w:line="1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Employment Agreements also provide for the payment of bonuses in such amounts as may be determined by the Compensation Committee. While Messrs. Levin and Hernreich are employed by the</w:t>
      </w:r>
    </w:p>
    <w:p>
      <w:pPr>
        <w:sectPr>
          <w:pgSz w:w="11900" w:h="16838" w:orient="portrait"/>
          <w:cols w:equalWidth="0" w:num="1">
            <w:col w:w="11400"/>
          </w:cols>
          <w:pgMar w:left="240" w:top="280" w:right="259" w:bottom="1440" w:gutter="0" w:footer="0" w:header="0"/>
        </w:sectPr>
      </w:pPr>
    </w:p>
    <w:bookmarkStart w:id="8" w:name="page9"/>
    <w:bookmarkEnd w:id="8"/>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of his annual salary base if the Company meets its annual projections for its fiscal budget plan, as approved by the Board of Directors. In July 2003, the Compensation Committee approved a $125,000 bonus for Mr. Levin and a $93,750 bonus for Mr. Hernreich, of which 50% became payable immediately. The remaining 50% was contingent upon the Company’s Casual Male business achieving certain performance targets for the fourth quarter of fiscal 2003. The Company did achieve such performance targets and, accordingly, Mr. Levin and Mr. Hernreich received the remaining 50% portion of their respective bonuses on March 4, 2004.</w:t>
      </w:r>
    </w:p>
    <w:p>
      <w:pPr>
        <w:spacing w:after="0" w:line="10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May 9, 2005, the Company granted to Messrs. Levin and Hernreich were granted stock appreciation rights with respect to 200,000 and 160,000 shares of the Company’s common stock, respectively. These stock appreciation rights, which can only be settled in Common Stock, have an exercise price of $6.90 per share and will vest ratably over a three year period, with the first one-third vesting on May 9, 2006.</w:t>
      </w:r>
    </w:p>
    <w:p>
      <w:pPr>
        <w:spacing w:after="0" w:line="12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employment agreements with Mr. Cornely, Ms. Carlo and Mr. Sockolov.</w:t>
      </w:r>
    </w:p>
    <w:p>
      <w:pPr>
        <w:sectPr>
          <w:pgSz w:w="11900" w:h="16838" w:orient="portrait"/>
          <w:cols w:equalWidth="0" w:num="1">
            <w:col w:w="11400"/>
          </w:cols>
          <w:pgMar w:left="240" w:top="280" w:right="25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will pay to Mr. Cornely a severance payment of up to 14 months of his annual salary. The amount actually paid would be dependent on the reason for termination, decreased by the amount earned as the result of any subsequent employment obtained during the severance period.</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employment agreement with Ms. Carlo, which was most recently amended on June 29, 2004, is for a two-year term beginning on August 4, 2004. Pursuant to that agreement, Ms. Carlo receives an annual salary of $303,000 and is entitled to participate in the Company’s bonus program at a bonus incentive rate of 40% of her annual base salary, depending on the performance of the Company and at the sole discretion of the Compensation Committee. Ms. Carlo receives an automobile allowance in the amount of $600 per month and is entitled to vacation and to participate in and receive any other benefits customarily provided by the Company to its senior executives.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October 29, 2004, the Company entered into an employment agreement with Mr. Sockolov. Under the terms of that employment agreement, which will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terminate January 31, 2008, Mr. Sockolov will serve as the Chief Executive Officer of the Company’s Rochester division. The Company will pay Mr. Sockolov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annual base salary of $250,000, subject to annual increases as determined by the Board of Directors or a committee thereof. Mr. Sockolov will receive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automobile allowance of $700 per month and is entitled to six weeks of vacation and other benefits customarily provided by the Company to its senior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employment agreement, Mr. Sockolov received an option to purchase 100,000 shares of the Company’s Common Stock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$5.03 per share, the closing price of the Company’s Common Stock on October 29, 2004. This option became fully vested on January 27, 2005 in connection with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acceleration of all of its outstanding stock options.</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employment agreement provides that in the event Mr. Sockolov’s employment is terminated by the Company for any reason other than “cause” (as defined in the agreement) or death, Mr. Sockolov will be entitled to receive his full compensation and benefits under the employment agreement through January 31, 2008.</w:t>
      </w:r>
    </w:p>
    <w:p>
      <w:pPr>
        <w:spacing w:after="0" w:line="4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May 2001, Seymour Holtzman, who was serving as the Company’s non-employee Chairman of the Board, was hired by the Company as an executive officer of the Company. The principal portion of Mr. Holtzman’s compensation as an employee of the Company is in the form of Company options. Below is a summary of the grants issued to Mr. Holtzman by the Compensation Committee as compensation for his services during the last three fiscal years: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40" w:type="dxa"/>
            <w:vAlign w:val="bottom"/>
            <w:gridSpan w:val="3"/>
          </w:tcPr>
          <w:p>
            <w:pPr>
              <w:ind w:left="800"/>
              <w:spacing w:after="0"/>
              <w:rPr>
                <w:sz w:val="20"/>
                <w:szCs w:val="20"/>
                <w:color w:val="auto"/>
              </w:rPr>
            </w:pPr>
            <w:r>
              <w:rPr>
                <w:rFonts w:ascii="Arial" w:cs="Arial" w:eastAsia="Arial" w:hAnsi="Arial"/>
                <w:sz w:val="14"/>
                <w:szCs w:val="14"/>
                <w:b w:val="1"/>
                <w:bCs w:val="1"/>
                <w:color w:val="auto"/>
                <w:w w:val="86"/>
              </w:rPr>
              <w:t>Exercise Price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2002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200,000</w:t>
            </w:r>
          </w:p>
        </w:tc>
        <w:tc>
          <w:tcPr>
            <w:tcW w:w="1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October 16, 2002</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400,000</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200,000</w:t>
            </w:r>
          </w:p>
        </w:tc>
        <w:tc>
          <w:tcPr>
            <w:tcW w:w="1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July 15, 2004</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200,000</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2004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200,000</w:t>
            </w:r>
          </w:p>
        </w:tc>
        <w:tc>
          <w:tcPr>
            <w:tcW w:w="1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Mr. Holtzman also received $24,000 in cash compensation as an employee during fiscal 2004. Mr. Holtzman is otherwise subject to an employment arrangement on terms substantially similar to those of the Employment Agreements described above.</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9, 2005, the Company granted to Mr. Holtzman stock appreciation rights with respect to 160,000 shares of the Company’s Common Stock. The stock appreciation rights, which can only be settled in Common Stock, have an exercise price of $6.90 per share and will vest ratably over a three year period, with the first one-third vesting on May 9, 2006.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fiscal 2004, non-employee directors of the Company were paid $3,000 plus expenses for each meeting of the Board of Directors which they attended. During fiscal 2004, non-employee directors of the Company were also paid $3,000 plus expenses for each committee meeting they attended. Non-employee directors received $500 for certain telephonic board or committee meetings. In addition, the Chairman of the Audit Committee receives an additional $10,000 on an annual basis for serving in such capacity.</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fiscal 2004, non-employee directors of the Company were also eligible to participate in the Company’s 1992 Stock Incentive Plan, as amended (the “1992 Plan”). Pursuant to the 1992 Plan, each non-employee director of the Company is entitled to receive a stock option to purchase 15,000 shares of Common Stock upon such director’s election and a stock option to purchase 15,000 shares of Common Stock upon such director’s re-election. Such stock options were originally structured to become exercisable in three equal annual installments commencing with the date of grant. These options became fully vested on January 27, 2005 in connection with the Company’s acceleration of all of its outstanding stock options. All options are granted with a term of ten years.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2004, all non-employee directors elected to receive their directors’ fees in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fiscal 2004, the members of the Compensation Committee were Messrs. Pennacchio, Choper and Porter. Persons serving on the Compensation Committee had no relationships with the Company in fiscal 2004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ectPr>
          <w:pgSz w:w="11900" w:h="16838" w:orient="portrait"/>
          <w:cols w:equalWidth="0" w:num="1">
            <w:col w:w="11380"/>
          </w:cols>
          <w:pgMar w:left="240" w:top="280" w:right="279" w:bottom="1440" w:gutter="0" w:footer="0" w:header="0"/>
        </w:sectPr>
      </w:pPr>
    </w:p>
    <w:bookmarkStart w:id="11" w:name="page12"/>
    <w:bookmarkEnd w:id="11"/>
    <w:p>
      <w:pPr>
        <w:ind w:right="3620"/>
        <w:spacing w:after="0" w:line="33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12. </w:t>
      </w:r>
      <w:r>
        <w:rPr>
          <w:rFonts w:ascii="Arial" w:cs="Arial" w:eastAsia="Arial" w:hAnsi="Arial"/>
          <w:sz w:val="18"/>
          <w:szCs w:val="18"/>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spacing w:after="0" w:line="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May 1, 2005.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760" w:type="dxa"/>
            <w:vAlign w:val="bottom"/>
          </w:tcPr>
          <w:p>
            <w:pPr>
              <w:spacing w:after="0"/>
              <w:rPr>
                <w:sz w:val="15"/>
                <w:szCs w:val="15"/>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Beneficially Owned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of Class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Jewelcor Management, Inc.</w:t>
            </w:r>
          </w:p>
        </w:tc>
        <w:tc>
          <w:tcPr>
            <w:tcW w:w="7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4,170,273(2)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5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5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840" w:type="dxa"/>
            <w:vAlign w:val="bottom"/>
            <w:gridSpan w:val="2"/>
          </w:tcPr>
          <w:p>
            <w:pPr>
              <w:spacing w:after="0"/>
              <w:rPr>
                <w:sz w:val="20"/>
                <w:szCs w:val="20"/>
                <w:color w:val="auto"/>
              </w:rPr>
            </w:pPr>
            <w:r>
              <w:rPr>
                <w:rFonts w:ascii="Arial" w:cs="Arial" w:eastAsia="Arial" w:hAnsi="Arial"/>
                <w:sz w:val="18"/>
                <w:szCs w:val="18"/>
                <w:color w:val="auto"/>
              </w:rPr>
              <w:t>Krevlin Advisors, LLC</w:t>
            </w:r>
          </w:p>
        </w:tc>
        <w:tc>
          <w:tcPr>
            <w:tcW w:w="7780" w:type="dxa"/>
            <w:vAlign w:val="bottom"/>
            <w:gridSpan w:val="3"/>
          </w:tcPr>
          <w:p>
            <w:pPr>
              <w:jc w:val="right"/>
              <w:ind w:right="680"/>
              <w:spacing w:after="0"/>
              <w:rPr>
                <w:sz w:val="20"/>
                <w:szCs w:val="20"/>
                <w:color w:val="auto"/>
              </w:rPr>
            </w:pPr>
            <w:r>
              <w:rPr>
                <w:rFonts w:ascii="Arial" w:cs="Arial" w:eastAsia="Arial" w:hAnsi="Arial"/>
                <w:sz w:val="18"/>
                <w:szCs w:val="18"/>
                <w:color w:val="auto"/>
              </w:rPr>
              <w:t>3,180,692(3)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line="217" w:lineRule="exact"/>
              <w:rPr>
                <w:sz w:val="20"/>
                <w:szCs w:val="20"/>
                <w:color w:val="auto"/>
              </w:rPr>
            </w:pPr>
            <w:r>
              <w:rPr>
                <w:rFonts w:ascii="Arial" w:cs="Arial" w:eastAsia="Arial" w:hAnsi="Arial"/>
                <w:sz w:val="18"/>
                <w:szCs w:val="18"/>
                <w:color w:val="auto"/>
              </w:rPr>
              <w:t>598 Madison Avenue,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5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Wellington Management Group, LLP</w:t>
            </w:r>
          </w:p>
        </w:tc>
        <w:tc>
          <w:tcPr>
            <w:tcW w:w="7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3,094,700(4)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5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5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840" w:type="dxa"/>
            <w:vAlign w:val="bottom"/>
            <w:gridSpan w:val="2"/>
          </w:tcPr>
          <w:p>
            <w:pPr>
              <w:spacing w:after="0"/>
              <w:rPr>
                <w:sz w:val="20"/>
                <w:szCs w:val="20"/>
                <w:color w:val="auto"/>
              </w:rPr>
            </w:pPr>
            <w:r>
              <w:rPr>
                <w:rFonts w:ascii="Arial" w:cs="Arial" w:eastAsia="Arial" w:hAnsi="Arial"/>
                <w:sz w:val="18"/>
                <w:szCs w:val="18"/>
                <w:color w:val="auto"/>
              </w:rPr>
              <w:t>Baron Capital Group, Inc.</w:t>
            </w:r>
          </w:p>
        </w:tc>
        <w:tc>
          <w:tcPr>
            <w:tcW w:w="7780" w:type="dxa"/>
            <w:vAlign w:val="bottom"/>
            <w:gridSpan w:val="3"/>
          </w:tcPr>
          <w:p>
            <w:pPr>
              <w:jc w:val="right"/>
              <w:ind w:right="680"/>
              <w:spacing w:after="0"/>
              <w:rPr>
                <w:sz w:val="20"/>
                <w:szCs w:val="20"/>
                <w:color w:val="auto"/>
              </w:rPr>
            </w:pPr>
            <w:r>
              <w:rPr>
                <w:rFonts w:ascii="Arial" w:cs="Arial" w:eastAsia="Arial" w:hAnsi="Arial"/>
                <w:sz w:val="18"/>
                <w:szCs w:val="18"/>
                <w:color w:val="auto"/>
              </w:rPr>
              <w:t>2,664,856(5)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767 Fifth Avenue</w:t>
            </w:r>
          </w:p>
        </w:tc>
        <w:tc>
          <w:tcPr>
            <w:tcW w:w="5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New York, New York 10153</w:t>
            </w:r>
          </w:p>
        </w:tc>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The Clark Estates, Inc.</w:t>
            </w:r>
          </w:p>
        </w:tc>
        <w:tc>
          <w:tcPr>
            <w:tcW w:w="7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2,339,265(6)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One Rockefeller Plaza,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w:t>
            </w:r>
          </w:p>
        </w:tc>
        <w:tc>
          <w:tcPr>
            <w:tcW w:w="5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10020</w:t>
            </w:r>
          </w:p>
        </w:tc>
        <w:tc>
          <w:tcPr>
            <w:tcW w:w="5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840" w:type="dxa"/>
            <w:vAlign w:val="bottom"/>
            <w:gridSpan w:val="2"/>
          </w:tcPr>
          <w:p>
            <w:pPr>
              <w:spacing w:after="0"/>
              <w:rPr>
                <w:sz w:val="20"/>
                <w:szCs w:val="20"/>
                <w:color w:val="auto"/>
              </w:rPr>
            </w:pPr>
            <w:r>
              <w:rPr>
                <w:rFonts w:ascii="Arial" w:cs="Arial" w:eastAsia="Arial" w:hAnsi="Arial"/>
                <w:sz w:val="18"/>
                <w:szCs w:val="18"/>
                <w:color w:val="auto"/>
              </w:rPr>
              <w:t>Babson Capital Management LLC.</w:t>
            </w:r>
          </w:p>
        </w:tc>
        <w:tc>
          <w:tcPr>
            <w:tcW w:w="7780" w:type="dxa"/>
            <w:vAlign w:val="bottom"/>
            <w:gridSpan w:val="3"/>
          </w:tcPr>
          <w:p>
            <w:pPr>
              <w:jc w:val="right"/>
              <w:ind w:right="680"/>
              <w:spacing w:after="0"/>
              <w:rPr>
                <w:sz w:val="20"/>
                <w:szCs w:val="20"/>
                <w:color w:val="auto"/>
              </w:rPr>
            </w:pPr>
            <w:r>
              <w:rPr>
                <w:rFonts w:ascii="Arial" w:cs="Arial" w:eastAsia="Arial" w:hAnsi="Arial"/>
                <w:sz w:val="18"/>
                <w:szCs w:val="18"/>
                <w:color w:val="auto"/>
              </w:rPr>
              <w:t>2,079,040(7)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One Memorial Drive</w:t>
            </w:r>
          </w:p>
        </w:tc>
        <w:tc>
          <w:tcPr>
            <w:tcW w:w="5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Boston, Massachusetts</w:t>
            </w:r>
          </w:p>
        </w:tc>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right="100" w:hanging="452"/>
        <w:spacing w:after="0" w:line="303"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spacing w:after="0" w:line="1"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Such shares, however, are not deemed outstanding for the purpose of computing the percentage ownership of any other person. Percentage ownership is based on 34,250,912 shares of Common Stock outstanding as of May 1, 2005, plus securities deemed to be outstanding with respect to individual stockholders pursuant to Rule 13d-3(d)(1) under the Exchange Act.</w:t>
      </w:r>
    </w:p>
    <w:p>
      <w:pPr>
        <w:sectPr>
          <w:pgSz w:w="11900" w:h="16838" w:orient="portrait"/>
          <w:cols w:equalWidth="0" w:num="1">
            <w:col w:w="11420"/>
          </w:cols>
          <w:pgMar w:left="240" w:top="274" w:right="239" w:bottom="1440" w:gutter="0" w:footer="0" w:header="0"/>
        </w:sectPr>
      </w:pPr>
    </w:p>
    <w:bookmarkStart w:id="12" w:name="page13"/>
    <w:bookmarkEnd w:id="12"/>
    <w:p>
      <w:pPr>
        <w:ind w:left="452" w:hanging="452"/>
        <w:spacing w:after="0" w:line="283"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received Amendment No. 50 to Schedule 13D dated March 3, 2005, stating that Jewelcor Management, Inc. (“JMI”) is the beneficial owner of 4,170,273 shares of the Company’s Common Stock. Includes 227,059 shares subject to warrants exercisable within 60 days. Excludes 1,542,765 shares (which includes 1,530,000 shares subject to options exercisable within 60 days) owned individually by Mr. Holtzman. Mr. Holtzman is the chairman, president and chief executive officer and, indirectly with his wife, the primary shareholder of JMI.</w:t>
      </w:r>
    </w:p>
    <w:p>
      <w:pPr>
        <w:spacing w:after="0" w:line="2" w:lineRule="exact"/>
        <w:rPr>
          <w:rFonts w:ascii="Arial" w:cs="Arial" w:eastAsia="Arial" w:hAnsi="Arial"/>
          <w:sz w:val="16"/>
          <w:szCs w:val="16"/>
          <w:color w:val="auto"/>
        </w:rPr>
      </w:pPr>
    </w:p>
    <w:p>
      <w:pPr>
        <w:ind w:left="452" w:right="2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Krevlin Advisors, LLC has indicated to the Company that, as of May 1, 2005, it was the beneficial owner of the number of shares of Common Stock set forth opposite its name in the table.</w:t>
      </w:r>
    </w:p>
    <w:p>
      <w:pPr>
        <w:ind w:left="452" w:right="6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Wellington Management Group, LLP has indicated to the Company that, as of May 1, 2005, it was the beneficial owner of the number of shares of Common Stock set forth opposite its name in the table.</w:t>
      </w:r>
    </w:p>
    <w:p>
      <w:pPr>
        <w:ind w:left="452" w:hanging="452"/>
        <w:spacing w:after="0" w:line="300" w:lineRule="auto"/>
        <w:tabs>
          <w:tab w:leader="none" w:pos="45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Company has received Amendment No. 2 to Schedule 13G dated February 14, 2005, stating that Baron Capital Group, Inc. was the beneficial owner of the number of shares of Common Stock set forth opposite its name in the table. Includes 1,507,353 shares subject to warrants exercisable within 60 days.</w:t>
      </w:r>
    </w:p>
    <w:p>
      <w:pPr>
        <w:ind w:left="452" w:right="140" w:hanging="452"/>
        <w:spacing w:after="0" w:line="281"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received Amendment No. 1 to Schedule 13G dated December 31, 2004, stating that The Clark Estates, Inc. was the beneficial owner of he number of shares of Common Stock set forth opposite its name in the table, all of which are held of record by Clark Partners I, L.P Includes 247,059 shares of Common Stock subject to warrants exercisable within 60 days. Stephen Duff, a director of the Company until February 26, 2004, is Treasurer of Ninth Floor Corporation, the general partner of Clark Partners I, L.P. and he is also Senior Investment Manager at The Clark Estates, Inc.</w:t>
      </w:r>
    </w:p>
    <w:p>
      <w:pPr>
        <w:spacing w:after="0" w:line="2" w:lineRule="exact"/>
        <w:rPr>
          <w:rFonts w:ascii="Arial" w:cs="Arial" w:eastAsia="Arial" w:hAnsi="Arial"/>
          <w:sz w:val="16"/>
          <w:szCs w:val="16"/>
          <w:color w:val="auto"/>
        </w:rPr>
      </w:pPr>
    </w:p>
    <w:p>
      <w:pPr>
        <w:ind w:left="452" w:right="180" w:hanging="452"/>
        <w:spacing w:after="0" w:line="261"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Babson Capital Management LLC has indicated to the Company that, as of May 1, 2005, it was the beneficial owner of the number of shares of Common Stock set forth opposite its name in the table.</w:t>
      </w:r>
    </w:p>
    <w:p>
      <w:pPr>
        <w:sectPr>
          <w:pgSz w:w="11900" w:h="16838" w:orient="portrait"/>
          <w:cols w:equalWidth="0" w:num="1">
            <w:col w:w="11412"/>
          </w:cols>
          <w:pgMar w:left="248"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 2005,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850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21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7"/>
              </w:rPr>
              <w:t>Beneficially Owned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of Class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5,713,038(2)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50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932,806(3)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532,200(4)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50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77,000(5)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Merchandise Manager</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of Casual Male division</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107,000(6)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Store Development</w:t>
            </w: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500" w:type="dxa"/>
            <w:vAlign w:val="bottom"/>
            <w:gridSpan w:val="3"/>
          </w:tcPr>
          <w:p>
            <w:pPr>
              <w:spacing w:after="0"/>
              <w:rPr>
                <w:sz w:val="20"/>
                <w:szCs w:val="20"/>
                <w:color w:val="auto"/>
              </w:rPr>
            </w:pPr>
            <w:r>
              <w:rPr>
                <w:rFonts w:ascii="Arial" w:cs="Arial" w:eastAsia="Arial" w:hAnsi="Arial"/>
                <w:sz w:val="18"/>
                <w:szCs w:val="18"/>
                <w:color w:val="auto"/>
              </w:rPr>
              <w:t>Robert L. Sockolov</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140,000(7)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Rochester division and Director</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58,467(8)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50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146,115(9)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Frain, Director</w:t>
            </w:r>
          </w:p>
        </w:tc>
        <w:tc>
          <w:tcPr>
            <w:tcW w:w="2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31,036(10)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500" w:type="dxa"/>
            <w:vAlign w:val="bottom"/>
            <w:gridSpan w:val="3"/>
          </w:tcPr>
          <w:p>
            <w:pPr>
              <w:spacing w:after="0"/>
              <w:rPr>
                <w:sz w:val="20"/>
                <w:szCs w:val="20"/>
                <w:color w:val="auto"/>
              </w:rPr>
            </w:pPr>
            <w:r>
              <w:rPr>
                <w:rFonts w:ascii="Arial" w:cs="Arial" w:eastAsia="Arial" w:hAnsi="Arial"/>
                <w:sz w:val="18"/>
                <w:szCs w:val="18"/>
                <w:color w:val="auto"/>
              </w:rPr>
              <w:t>Joseph Pennacchio, Director</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156,537(9)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2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181,461(11)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500" w:type="dxa"/>
            <w:vAlign w:val="bottom"/>
            <w:gridSpan w:val="3"/>
          </w:tcPr>
          <w:p>
            <w:pPr>
              <w:spacing w:after="0"/>
              <w:rPr>
                <w:sz w:val="20"/>
                <w:szCs w:val="20"/>
                <w:color w:val="auto"/>
              </w:rPr>
            </w:pPr>
            <w:r>
              <w:rPr>
                <w:rFonts w:ascii="Arial" w:cs="Arial" w:eastAsia="Arial" w:hAnsi="Arial"/>
                <w:sz w:val="18"/>
                <w:szCs w:val="18"/>
                <w:color w:val="auto"/>
              </w:rPr>
              <w:t>Directors and Executive Officers as a group (11 persons)</w:t>
            </w:r>
          </w:p>
        </w:tc>
        <w:tc>
          <w:tcPr>
            <w:tcW w:w="2120" w:type="dxa"/>
            <w:vAlign w:val="bottom"/>
            <w:gridSpan w:val="2"/>
          </w:tcPr>
          <w:p>
            <w:pPr>
              <w:jc w:val="right"/>
              <w:ind w:right="700"/>
              <w:spacing w:after="0"/>
              <w:rPr>
                <w:sz w:val="20"/>
                <w:szCs w:val="20"/>
                <w:color w:val="auto"/>
              </w:rPr>
            </w:pPr>
            <w:r>
              <w:rPr>
                <w:rFonts w:ascii="Arial" w:cs="Arial" w:eastAsia="Arial" w:hAnsi="Arial"/>
                <w:sz w:val="18"/>
                <w:szCs w:val="18"/>
                <w:color w:val="auto"/>
              </w:rPr>
              <w:t>8,075,660(12)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34,250,912 shares of Common Stock outstanding as of May 1, 2005, plus securities deemed to be outstanding with respect to individual stockholders pursuant to Rule 13d-3(d)</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under the Exchange Act.</w:t>
      </w:r>
    </w:p>
    <w:p>
      <w:pPr>
        <w:sectPr>
          <w:pgSz w:w="11900" w:h="16838" w:orient="portrait"/>
          <w:cols w:equalWidth="0" w:num="1">
            <w:col w:w="11420"/>
          </w:cols>
          <w:pgMar w:left="240" w:top="274" w:right="239" w:bottom="1440" w:gutter="0" w:footer="0" w:header="0"/>
        </w:sectPr>
      </w:pPr>
    </w:p>
    <w:bookmarkStart w:id="14" w:name="page15"/>
    <w:bookmarkEnd w:id="14"/>
    <w:p>
      <w:pPr>
        <w:ind w:left="452" w:hanging="452"/>
        <w:spacing w:after="0" w:line="252"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Holtzman may be deemed to have shared voting and investment power over 5,713,038 shares of Common Stock, which include 4,170,273 shares beneficially owned by JMI, of which Mr. Holtzman is the chairman, president and chief executive officer and indirectly, with his wife, the primary shareholder, and include 227,059 shares subject to warrants exercisable within 60 days, as well as 1,542,765 shares owned individually, which include 1,530,000 shares subject to stock options exercisable within 60 days.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725,000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455,000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107,000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49,000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120,000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3,371,000 shares subject to stock options and 231,059 shares subject to warrants exercisable within 60 days.</w:t>
      </w:r>
    </w:p>
    <w:p>
      <w:pPr>
        <w:sectPr>
          <w:pgSz w:w="11900" w:h="16838" w:orient="portrait"/>
          <w:cols w:equalWidth="0" w:num="1">
            <w:col w:w="11012"/>
          </w:cols>
          <w:pgMar w:left="248" w:top="280" w:right="639" w:bottom="1440" w:gutter="0" w:footer="0" w:header="0"/>
        </w:sectPr>
      </w:pPr>
    </w:p>
    <w:bookmarkStart w:id="15" w:name="page16"/>
    <w:bookmarkEnd w:id="15"/>
    <w:p>
      <w:pPr>
        <w:ind w:left="432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the Company’s equity compensation plans as of January 29,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8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8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4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840" w:type="dxa"/>
            <w:vAlign w:val="bottom"/>
          </w:tcPr>
          <w:p>
            <w:pPr>
              <w:spacing w:after="0"/>
              <w:rPr>
                <w:sz w:val="15"/>
                <w:szCs w:val="15"/>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2"/>
                <w:szCs w:val="22"/>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3,493,007</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22"/>
                <w:szCs w:val="22"/>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1,140,000</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84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4,633,007</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-172720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-172720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3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January 29, 2005, the Company’s only approved equity compensation plan is its 1992 Stock Incentive Plan which provides for the issuance of up to 6,250,000 shares of the Company’s Common Stock.</w:t>
      </w:r>
    </w:p>
    <w:p>
      <w:pPr>
        <w:ind w:left="460" w:right="2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have the reasonable discretion to issue shares outside of the 1992 Plan, subject to the rules of the Nasdaq National Market. Accordingly, at January 29, 2005 there were outstanding options to purchase up to 1,140,000 shares of Common Stock which were issued outside of the 1992 Plan, with exercise prices ranging from $1.14 to $5.35 per share. These options represent grants to consultants of the Company and also options granted to its executives in excess of the 1992 Plan’s annual maximum. At January 29, 2005, all of these options were exercisable.</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13. </w:t>
      </w:r>
      <w:r>
        <w:rPr>
          <w:rFonts w:ascii="Arial" w:cs="Arial" w:eastAsia="Arial" w:hAnsi="Arial"/>
          <w:sz w:val="18"/>
          <w:szCs w:val="18"/>
          <w:i w:val="1"/>
          <w:i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Jewelcor Management, Inc.</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15.87% of the outstanding Common Stock of the Company (principally held by JMI). He is also the president and chief executive officer, and indirectly, with his wife, the primary shareholder of JMI.</w:t>
      </w:r>
    </w:p>
    <w:p>
      <w:pPr>
        <w:spacing w:after="0" w:line="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On August 26, 2004, the Compensation Committee of the Board of Directors approved an increase in the annual compensation to JMI pursuant to the consulting agreement, effective May 1, 2004, to $392,000 from $326,000. JMI will continue to receive an additional $24,000 per annum for expense reimbursements. On May 9, 2005, the Compensation Committee approved an increase in JMI annual compensation to $412,000 from $392,000.</w:t>
      </w:r>
    </w:p>
    <w:p>
      <w:pPr>
        <w:spacing w:after="0" w:line="9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consulting agreement dated April 29, 2003, and most recently amended on August 26, 2004,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 12% Senior Subordinated Notes due 2010</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During fiscal 2003, the Company issued approximately $29.6 million of 12% senior subordinated notes due 2010 (the “2010 Notes”), of which approximately $21.8 million of such notes were redeemed, subject to prepayment penalties, in the fourth quarter of fiscal 2003. The remaining $7.8 million of such notes were redeemed in the second quarter of fiscal 2004. Together with the 2010 Notes, the Company also issued detachable warrants to purchase 1,182,400 million shares of the Company’s Common Stock. The following is a listing of the participation by related parties in both the issuance and early redemption of the 2010 Notes.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Original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2010 Notes</w:t>
            </w:r>
          </w:p>
        </w:tc>
        <w:tc>
          <w:tcPr>
            <w:tcW w:w="220" w:type="dxa"/>
            <w:vAlign w:val="bottom"/>
          </w:tcPr>
          <w:p>
            <w:pPr>
              <w:spacing w:after="0"/>
              <w:rPr>
                <w:sz w:val="12"/>
                <w:szCs w:val="12"/>
                <w:color w:val="auto"/>
              </w:rPr>
            </w:pPr>
          </w:p>
        </w:tc>
        <w:tc>
          <w:tcPr>
            <w:tcW w:w="78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1"/>
              </w:rPr>
              <w:t>2010 Notes</w:t>
            </w:r>
          </w:p>
        </w:tc>
        <w:tc>
          <w:tcPr>
            <w:tcW w:w="2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Prepayment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4"/>
              </w:rPr>
              <w:t>2010 Notes</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w w:val="88"/>
              </w:rPr>
              <w:t>Warrants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Price of</w:t>
            </w:r>
          </w:p>
        </w:tc>
        <w:tc>
          <w:tcPr>
            <w:tcW w:w="80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auto"/>
                <w:w w:val="95"/>
              </w:rPr>
              <w:t>Redeemed</w:t>
            </w:r>
          </w:p>
        </w:tc>
        <w:tc>
          <w:tcPr>
            <w:tcW w:w="220" w:type="dxa"/>
            <w:vAlign w:val="bottom"/>
          </w:tcPr>
          <w:p>
            <w:pPr>
              <w:spacing w:after="0"/>
              <w:rPr>
                <w:sz w:val="11"/>
                <w:szCs w:val="11"/>
                <w:color w:val="auto"/>
              </w:rPr>
            </w:pPr>
          </w:p>
        </w:tc>
        <w:tc>
          <w:tcPr>
            <w:tcW w:w="780" w:type="dxa"/>
            <w:vAlign w:val="bottom"/>
          </w:tcPr>
          <w:p>
            <w:pPr>
              <w:jc w:val="right"/>
              <w:ind w:right="21"/>
              <w:spacing w:after="0" w:line="135" w:lineRule="exact"/>
              <w:rPr>
                <w:sz w:val="20"/>
                <w:szCs w:val="20"/>
                <w:color w:val="auto"/>
              </w:rPr>
            </w:pPr>
            <w:r>
              <w:rPr>
                <w:rFonts w:ascii="Arial" w:cs="Arial" w:eastAsia="Arial" w:hAnsi="Arial"/>
                <w:sz w:val="14"/>
                <w:szCs w:val="14"/>
                <w:b w:val="1"/>
                <w:bCs w:val="1"/>
                <w:color w:val="auto"/>
                <w:w w:val="93"/>
              </w:rPr>
              <w:t>Redeemed</w:t>
            </w: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Related Party-Note holders</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Purchased</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Warrants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Fiscal 2003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3"/>
              </w:rPr>
              <w:t>Fiscal 2004</w:t>
            </w:r>
          </w:p>
        </w:tc>
        <w:tc>
          <w:tcPr>
            <w:tcW w:w="22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 xml:space="preserve">Penalty </w:t>
            </w:r>
            <w:r>
              <w:rPr>
                <w:rFonts w:ascii="Arial" w:cs="Arial" w:eastAsia="Arial" w:hAnsi="Arial"/>
                <w:sz w:val="22"/>
                <w:szCs w:val="22"/>
                <w:b w:val="1"/>
                <w:bCs w:val="1"/>
                <w:color w:val="auto"/>
                <w:w w:val="83"/>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JMI </w:t>
            </w:r>
            <w:r>
              <w:rPr>
                <w:rFonts w:ascii="Arial" w:cs="Arial" w:eastAsia="Arial" w:hAnsi="Arial"/>
                <w:sz w:val="22"/>
                <w:szCs w:val="22"/>
                <w:color w:val="auto"/>
                <w:vertAlign w:val="superscript"/>
              </w:rPr>
              <w:t>(2)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$2,000,000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$4.76-6.83</w:t>
            </w:r>
            <w:r>
              <w:rPr>
                <w:rFonts w:ascii="Arial" w:cs="Arial" w:eastAsia="Arial" w:hAnsi="Arial"/>
                <w:sz w:val="11"/>
                <w:szCs w:val="11"/>
                <w:color w:val="auto"/>
              </w:rPr>
              <w:t>(9)</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Clark Partners I, L.P. </w:t>
            </w:r>
            <w:r>
              <w:rPr>
                <w:rFonts w:ascii="Arial" w:cs="Arial" w:eastAsia="Arial" w:hAnsi="Arial"/>
                <w:sz w:val="22"/>
                <w:szCs w:val="22"/>
                <w:color w:val="auto"/>
                <w:vertAlign w:val="superscript"/>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2,500,000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4.76</w:t>
            </w:r>
            <w:r>
              <w:rPr>
                <w:rFonts w:ascii="Arial" w:cs="Arial" w:eastAsia="Arial" w:hAnsi="Arial"/>
                <w:sz w:val="11"/>
                <w:szCs w:val="11"/>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$2,500,000</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Baron Asset Fund</w:t>
            </w:r>
            <w:r>
              <w:rPr>
                <w:rFonts w:ascii="Arial" w:cs="Arial" w:eastAsia="Arial" w:hAnsi="Arial"/>
                <w:sz w:val="22"/>
                <w:szCs w:val="22"/>
                <w:color w:val="auto"/>
                <w:vertAlign w:val="superscript"/>
              </w:rPr>
              <w:t>(4)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7" w:lineRule="exact"/>
              <w:rPr>
                <w:sz w:val="20"/>
                <w:szCs w:val="20"/>
                <w:color w:val="auto"/>
              </w:rPr>
            </w:pPr>
            <w:r>
              <w:rPr>
                <w:rFonts w:ascii="Arial" w:cs="Arial" w:eastAsia="Arial" w:hAnsi="Arial"/>
                <w:sz w:val="18"/>
                <w:szCs w:val="18"/>
                <w:color w:val="auto"/>
              </w:rPr>
              <w:t>Marc Holtzman</w:t>
            </w:r>
            <w:r>
              <w:rPr>
                <w:rFonts w:ascii="Arial" w:cs="Arial" w:eastAsia="Arial" w:hAnsi="Arial"/>
                <w:sz w:val="22"/>
                <w:szCs w:val="22"/>
                <w:color w:val="auto"/>
                <w:vertAlign w:val="superscript"/>
              </w:rPr>
              <w:t>(5)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4.76-6.83</w:t>
            </w:r>
          </w:p>
        </w:tc>
        <w:tc>
          <w:tcPr>
            <w:tcW w:w="36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Alan Bernikow</w:t>
            </w:r>
            <w:r>
              <w:rPr>
                <w:rFonts w:ascii="Arial" w:cs="Arial" w:eastAsia="Arial" w:hAnsi="Arial"/>
                <w:sz w:val="22"/>
                <w:szCs w:val="22"/>
                <w:color w:val="auto"/>
                <w:vertAlign w:val="superscript"/>
              </w:rPr>
              <w:t>(6)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5.67</w:t>
            </w:r>
            <w:r>
              <w:rPr>
                <w:rFonts w:ascii="Arial" w:cs="Arial" w:eastAsia="Arial" w:hAnsi="Arial"/>
                <w:sz w:val="11"/>
                <w:szCs w:val="11"/>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7" w:lineRule="exact"/>
              <w:rPr>
                <w:sz w:val="20"/>
                <w:szCs w:val="20"/>
                <w:color w:val="auto"/>
              </w:rPr>
            </w:pPr>
            <w:r>
              <w:rPr>
                <w:rFonts w:ascii="Arial" w:cs="Arial" w:eastAsia="Arial" w:hAnsi="Arial"/>
                <w:sz w:val="18"/>
                <w:szCs w:val="18"/>
                <w:color w:val="auto"/>
              </w:rPr>
              <w:t>Frank J. Husic Rollover IRA</w:t>
            </w:r>
            <w:r>
              <w:rPr>
                <w:rFonts w:ascii="Arial" w:cs="Arial" w:eastAsia="Arial" w:hAnsi="Arial"/>
                <w:sz w:val="22"/>
                <w:szCs w:val="22"/>
                <w:color w:val="auto"/>
                <w:vertAlign w:val="superscript"/>
              </w:rPr>
              <w:t>(7)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5.88</w:t>
            </w:r>
            <w:r>
              <w:rPr>
                <w:rFonts w:ascii="Arial" w:cs="Arial" w:eastAsia="Arial" w:hAnsi="Arial"/>
                <w:sz w:val="11"/>
                <w:szCs w:val="11"/>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Ecko </w:t>
            </w:r>
            <w:r>
              <w:rPr>
                <w:rFonts w:ascii="Arial" w:cs="Arial" w:eastAsia="Arial" w:hAnsi="Arial"/>
                <w:sz w:val="22"/>
                <w:szCs w:val="22"/>
                <w:color w:val="auto"/>
                <w:vertAlign w:val="superscript"/>
              </w:rPr>
              <w:t>(8)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5.10-6.83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was obligated to pay a prepayment penalty on all early redemptions of its 2010 Notes equal to 6.5% of the principal amount of the respective notes redeemed in November 2003 and December 2003, 5.75% of the principal amount of the respective notes redeemed in January 2004 and 4.0% of the principal amount of the respective notes redeemed in July 2004.</w:t>
      </w:r>
    </w:p>
    <w:p>
      <w:pPr>
        <w:ind w:left="460" w:right="4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Seymour Holtzman, the Chairman of the Board of Directors of the Company, is president and chief executive officer, and indirectly, with his wife, the primary shareholder of JMI.</w:t>
      </w:r>
    </w:p>
    <w:p>
      <w:pPr>
        <w:sectPr>
          <w:pgSz w:w="11900" w:h="16838" w:orient="portrait"/>
          <w:cols w:equalWidth="0" w:num="1">
            <w:col w:w="11420"/>
          </w:cols>
          <w:pgMar w:left="240" w:top="274" w:right="239" w:bottom="1440" w:gutter="0" w:footer="0" w:header="0"/>
        </w:sectPr>
      </w:pPr>
    </w:p>
    <w:bookmarkStart w:id="17" w:name="page18"/>
    <w:bookmarkEnd w:id="17"/>
    <w:p>
      <w:pPr>
        <w:ind w:left="452" w:hanging="452"/>
        <w:spacing w:after="0" w:line="254"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Stephen Duff, a director of the Company until February 26, 2004, is Treasurer of Ninth Floor Corporation, the general partner of Clark Partners I, L.P. and he is also Senior Investment Manager at The Clark Estates, Inc.</w:t>
      </w:r>
    </w:p>
    <w:p>
      <w:pPr>
        <w:ind w:left="452" w:right="100"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Baron Asset Fund is an affiliate of Baron Capital Group, Inc., which is the beneficial holder of approximately 7.5% of the outstanding Common Stock of the Company.</w:t>
      </w: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Marc Holtzman is the son of Seymour Holtzman, the Chairman of the Company’s Board of Directors.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Alan Bernikow is a director of the Company.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Frank J. Husic was a director of the Company until February 1, 2005.</w:t>
      </w:r>
    </w:p>
    <w:p>
      <w:pPr>
        <w:spacing w:after="0" w:line="9" w:lineRule="exact"/>
        <w:rPr>
          <w:rFonts w:ascii="Arial" w:cs="Arial" w:eastAsia="Arial" w:hAnsi="Arial"/>
          <w:sz w:val="18"/>
          <w:szCs w:val="18"/>
          <w:color w:val="auto"/>
        </w:rPr>
      </w:pPr>
    </w:p>
    <w:p>
      <w:pPr>
        <w:ind w:left="452" w:right="220" w:hanging="452"/>
        <w:spacing w:after="0" w:line="281"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certain principal officers of Ecko.Complex, LLC and certain of their family members. The Company operated its Ecko Unltd.® stores under a joint venture with Ecko.Complex, LLC until the second quarter of fiscal 2004, when the Company sold its interest in the joint venture to Ecko.</w:t>
      </w:r>
    </w:p>
    <w:p>
      <w:pPr>
        <w:spacing w:after="0" w:line="1" w:lineRule="exact"/>
        <w:rPr>
          <w:rFonts w:ascii="Arial" w:cs="Arial" w:eastAsia="Arial" w:hAnsi="Arial"/>
          <w:sz w:val="16"/>
          <w:szCs w:val="16"/>
          <w:color w:val="auto"/>
        </w:rPr>
      </w:pPr>
    </w:p>
    <w:p>
      <w:pPr>
        <w:ind w:left="452" w:hanging="452"/>
        <w:spacing w:after="0" w:line="295"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December 7, 2004, in order to ensure compliance with Nasdaq requirements, the exercise prices of these warrants were increased as follows: JMI’s warrant to purchase 60,000 shares was increased to $5.26 per share; JMI’s warrant to purchase 20,000 shares was increased to $7.36 per share; Clark Partners I, L.P.’s warrant to purchase 100,000 shares was increased to $5.26 per share; Alan Bernikow’s warrant to purchase 4,000 shares was increased to $6.01 per share; and Frank J. Husic Rollover IRA’s warrant to purchase 20,000 shares was increased to $6.79 per share.</w:t>
      </w:r>
    </w:p>
    <w:p>
      <w:pPr>
        <w:sectPr>
          <w:pgSz w:w="11900" w:h="16838" w:orient="portrait"/>
          <w:cols w:equalWidth="0" w:num="1">
            <w:col w:w="11292"/>
          </w:cols>
          <w:pgMar w:left="248" w:top="28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14. </w:t>
      </w:r>
      <w:r>
        <w:rPr>
          <w:rFonts w:ascii="Arial" w:cs="Arial" w:eastAsia="Arial" w:hAnsi="Arial"/>
          <w:sz w:val="18"/>
          <w:szCs w:val="18"/>
          <w:i w:val="1"/>
          <w:iCs w:val="1"/>
          <w:color w:val="auto"/>
        </w:rPr>
        <w:t>Principal Accounting Fees and Services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Ernst &amp; Young LLP has served as the Company’s principal accountant and independent auditor since October 2000. Below is a summary of the fees for each of the least two fiscal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Ernst &amp; Young LLP billed the Company an aggregate of $944,797 and $792,105 in fees for fiscal years 2004 and 2003, respectively, for professional services rendered in connection with the audits of the Company’s financial statements for the fiscal years ended January 29, 2005 and January 31, 2004 included in the Company’s Annual Reports on Form 10-K, the reviews of the financial statements included in each of the Company’s Quarterly Reports on Form 10-Q. The cost of complying with Section 404 of the Sarbanes-Oxley Act of 2002 contributed significantly to the increase in audit fees in fiscal 2004. Fees for fiscal year 2004 included approximately $321,429 of fees for services incurred in connection with the Company’s acquisition of Rochester Big &amp; Tall Clothing and certain S-3 registration filings.</w:t>
      </w:r>
    </w:p>
    <w:p>
      <w:pPr>
        <w:spacing w:after="0" w:line="131" w:lineRule="exact"/>
        <w:rPr>
          <w:sz w:val="20"/>
          <w:szCs w:val="20"/>
          <w:color w:val="auto"/>
        </w:rPr>
      </w:pPr>
    </w:p>
    <w:p>
      <w:pPr>
        <w:ind w:right="120"/>
        <w:spacing w:after="0" w:line="375" w:lineRule="auto"/>
        <w:rPr>
          <w:sz w:val="20"/>
          <w:szCs w:val="20"/>
          <w:color w:val="auto"/>
        </w:rPr>
      </w:pPr>
      <w:r>
        <w:rPr>
          <w:rFonts w:ascii="Arial" w:cs="Arial" w:eastAsia="Arial" w:hAnsi="Arial"/>
          <w:sz w:val="18"/>
          <w:szCs w:val="18"/>
          <w:color w:val="auto"/>
        </w:rPr>
        <w:t xml:space="preserve">Also included in such fees for fiscal year 2003 was $226,000 of fees for the stand-alone audit of the Company’s majority-owned subsidiary LP Innovations, Inc. </w:t>
      </w:r>
      <w:r>
        <w:rPr>
          <w:rFonts w:ascii="Arial" w:cs="Arial" w:eastAsia="Arial" w:hAnsi="Arial"/>
          <w:sz w:val="18"/>
          <w:szCs w:val="18"/>
          <w:b w:val="1"/>
          <w:bCs w:val="1"/>
          <w:color w:val="auto"/>
        </w:rPr>
        <w:t>Audit - Related Fees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Ernst &amp; Young LLP billed the Company an aggregate of $57,900 and $110,500 in fees in fiscal years 2004 and 2003, respectively, for assurance and related services, including services related to benefit plan audits. Fees for fiscal year 2003 include approximately $67,000 of fees for services incurred in connection with the Company’s issuance of $100 million of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Ernst &amp; Young LLP billed the Company an aggregate of $144,544 and $412,000 in fees in fiscal years 2004 and 2003, respectively,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did not bill the Company in fiscal 2004 or 2003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the Company’s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registered public accounting firm.</w:t>
      </w:r>
    </w:p>
    <w:p>
      <w:pPr>
        <w:sectPr>
          <w:pgSz w:w="11900" w:h="16838" w:orient="portrait"/>
          <w:cols w:equalWidth="0" w:num="1">
            <w:col w:w="11380"/>
          </w:cols>
          <w:pgMar w:left="240" w:top="27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services provided under Audit-Related Fees, Tax Fees and All Other Fees were approved by the Audit Committee.</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31, 2005</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May 30, 2005.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Signatures</w:t>
            </w:r>
          </w:p>
        </w:tc>
        <w:tc>
          <w:tcPr>
            <w:tcW w:w="6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400" w:type="dxa"/>
            <w:vAlign w:val="bottom"/>
          </w:tcPr>
          <w:p>
            <w:pPr>
              <w:spacing w:after="0"/>
              <w:rPr>
                <w:sz w:val="20"/>
                <w:szCs w:val="20"/>
                <w:color w:val="auto"/>
              </w:rPr>
            </w:pPr>
            <w:r>
              <w:rPr>
                <w:rFonts w:ascii="Arial" w:cs="Arial" w:eastAsia="Arial" w:hAnsi="Arial"/>
                <w:sz w:val="18"/>
                <w:szCs w:val="18"/>
                <w:color w:val="auto"/>
              </w:rPr>
              <w:t>/s/ David A. Levin</w:t>
            </w:r>
          </w:p>
        </w:tc>
        <w:tc>
          <w:tcPr>
            <w:tcW w:w="6080" w:type="dxa"/>
            <w:vAlign w:val="bottom"/>
          </w:tcPr>
          <w:p>
            <w:pPr>
              <w:ind w:left="18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16"/>
        </w:trPr>
        <w:tc>
          <w:tcPr>
            <w:tcW w:w="4400" w:type="dxa"/>
            <w:vAlign w:val="bottom"/>
            <w:tcBorders>
              <w:bottom w:val="single" w:sz="8" w:color="auto"/>
            </w:tcBorders>
          </w:tcPr>
          <w:p>
            <w:pPr>
              <w:spacing w:after="0"/>
              <w:rPr>
                <w:sz w:val="10"/>
                <w:szCs w:val="10"/>
                <w:color w:val="auto"/>
              </w:rPr>
            </w:pPr>
          </w:p>
        </w:tc>
        <w:tc>
          <w:tcPr>
            <w:tcW w:w="6080" w:type="dxa"/>
            <w:vAlign w:val="bottom"/>
            <w:vMerge w:val="restart"/>
          </w:tcPr>
          <w:p>
            <w:pPr>
              <w:ind w:left="18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4400" w:type="dxa"/>
            <w:vAlign w:val="bottom"/>
            <w:vMerge w:val="restart"/>
          </w:tcPr>
          <w:p>
            <w:pPr>
              <w:spacing w:after="0"/>
              <w:rPr>
                <w:sz w:val="20"/>
                <w:szCs w:val="20"/>
                <w:color w:val="auto"/>
              </w:rPr>
            </w:pPr>
            <w:r>
              <w:rPr>
                <w:rFonts w:ascii="Arial" w:cs="Arial" w:eastAsia="Arial" w:hAnsi="Arial"/>
                <w:sz w:val="18"/>
                <w:szCs w:val="18"/>
                <w:color w:val="auto"/>
              </w:rPr>
              <w:t>David A. Levin</w:t>
            </w: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19"/>
                <w:szCs w:val="19"/>
                <w:color w:val="auto"/>
              </w:rPr>
            </w:pPr>
          </w:p>
        </w:tc>
        <w:tc>
          <w:tcPr>
            <w:tcW w:w="6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/s/ Dennis R. Hernreich</w:t>
            </w:r>
          </w:p>
        </w:tc>
        <w:tc>
          <w:tcPr>
            <w:tcW w:w="6080" w:type="dxa"/>
            <w:vAlign w:val="bottom"/>
          </w:tcPr>
          <w:p>
            <w:pPr>
              <w:ind w:left="1880"/>
              <w:spacing w:after="0"/>
              <w:rPr>
                <w:sz w:val="20"/>
                <w:szCs w:val="20"/>
                <w:color w:val="auto"/>
              </w:rPr>
            </w:pPr>
            <w:r>
              <w:rPr>
                <w:rFonts w:ascii="Arial" w:cs="Arial" w:eastAsia="Arial" w:hAnsi="Arial"/>
                <w:sz w:val="18"/>
                <w:szCs w:val="18"/>
                <w:color w:val="auto"/>
              </w:rPr>
              <w:t>Executive Vice President, Chief Operating Officer,</w:t>
            </w:r>
          </w:p>
        </w:tc>
        <w:tc>
          <w:tcPr>
            <w:tcW w:w="0" w:type="dxa"/>
            <w:vAlign w:val="bottom"/>
          </w:tcPr>
          <w:p>
            <w:pPr>
              <w:spacing w:after="0"/>
              <w:rPr>
                <w:sz w:val="1"/>
                <w:szCs w:val="1"/>
                <w:color w:val="auto"/>
              </w:rPr>
            </w:pPr>
          </w:p>
        </w:tc>
      </w:tr>
      <w:tr>
        <w:trPr>
          <w:trHeight w:val="116"/>
        </w:trPr>
        <w:tc>
          <w:tcPr>
            <w:tcW w:w="4400" w:type="dxa"/>
            <w:vAlign w:val="bottom"/>
            <w:tcBorders>
              <w:bottom w:val="single" w:sz="8" w:color="auto"/>
            </w:tcBorders>
          </w:tcPr>
          <w:p>
            <w:pPr>
              <w:spacing w:after="0"/>
              <w:rPr>
                <w:sz w:val="10"/>
                <w:szCs w:val="10"/>
                <w:color w:val="auto"/>
              </w:rPr>
            </w:pPr>
          </w:p>
        </w:tc>
        <w:tc>
          <w:tcPr>
            <w:tcW w:w="6080" w:type="dxa"/>
            <w:vAlign w:val="bottom"/>
            <w:vMerge w:val="restart"/>
          </w:tcPr>
          <w:p>
            <w:pPr>
              <w:ind w:left="210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80"/>
        </w:trPr>
        <w:tc>
          <w:tcPr>
            <w:tcW w:w="4400" w:type="dxa"/>
            <w:vAlign w:val="bottom"/>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Dennis R. Hernreich</w:t>
            </w:r>
          </w:p>
        </w:tc>
        <w:tc>
          <w:tcPr>
            <w:tcW w:w="6080" w:type="dxa"/>
            <w:vAlign w:val="bottom"/>
          </w:tcPr>
          <w:p>
            <w:pPr>
              <w:ind w:left="2100"/>
              <w:spacing w:after="0"/>
              <w:rPr>
                <w:sz w:val="20"/>
                <w:szCs w:val="20"/>
                <w:color w:val="auto"/>
              </w:rPr>
            </w:pPr>
            <w:r>
              <w:rPr>
                <w:rFonts w:ascii="Arial" w:cs="Arial" w:eastAsia="Arial" w:hAnsi="Arial"/>
                <w:sz w:val="18"/>
                <w:szCs w:val="18"/>
                <w:color w:val="auto"/>
              </w:rPr>
              <w:t>(Principal Financial Officer and</w:t>
            </w:r>
          </w:p>
        </w:tc>
        <w:tc>
          <w:tcPr>
            <w:tcW w:w="0" w:type="dxa"/>
            <w:vAlign w:val="bottom"/>
          </w:tcPr>
          <w:p>
            <w:pPr>
              <w:spacing w:after="0"/>
              <w:rPr>
                <w:sz w:val="1"/>
                <w:szCs w:val="1"/>
                <w:color w:val="auto"/>
              </w:rPr>
            </w:pPr>
          </w:p>
        </w:tc>
      </w:tr>
      <w:tr>
        <w:trPr>
          <w:trHeight w:val="222"/>
        </w:trPr>
        <w:tc>
          <w:tcPr>
            <w:tcW w:w="4400" w:type="dxa"/>
            <w:vAlign w:val="bottom"/>
          </w:tcPr>
          <w:p>
            <w:pPr>
              <w:spacing w:after="0"/>
              <w:rPr>
                <w:sz w:val="19"/>
                <w:szCs w:val="19"/>
                <w:color w:val="auto"/>
              </w:rPr>
            </w:pPr>
          </w:p>
        </w:tc>
        <w:tc>
          <w:tcPr>
            <w:tcW w:w="6080" w:type="dxa"/>
            <w:vAlign w:val="bottom"/>
          </w:tcPr>
          <w:p>
            <w:pPr>
              <w:ind w:left="21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/s/ Seymour Holtzman</w:t>
            </w:r>
          </w:p>
        </w:tc>
        <w:tc>
          <w:tcPr>
            <w:tcW w:w="6080" w:type="dxa"/>
            <w:vAlign w:val="bottom"/>
          </w:tcPr>
          <w:p>
            <w:pPr>
              <w:ind w:left="18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Seymour Holtzman</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Alan S. Bernikow</w:t>
            </w:r>
          </w:p>
        </w:tc>
        <w:tc>
          <w:tcPr>
            <w:tcW w:w="60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Alan S. Bernikow</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Jesse H. Choper</w:t>
            </w:r>
          </w:p>
        </w:tc>
        <w:tc>
          <w:tcPr>
            <w:tcW w:w="60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Jesse H. Choper</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James P. Frain</w:t>
            </w:r>
          </w:p>
        </w:tc>
        <w:tc>
          <w:tcPr>
            <w:tcW w:w="60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James P. Frain</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George T. Porter, Jr.</w:t>
            </w:r>
          </w:p>
        </w:tc>
        <w:tc>
          <w:tcPr>
            <w:tcW w:w="60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George T. Porter, Jr.</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Joseph Pennacchio</w:t>
            </w:r>
          </w:p>
        </w:tc>
        <w:tc>
          <w:tcPr>
            <w:tcW w:w="6080" w:type="dxa"/>
            <w:vAlign w:val="bottom"/>
          </w:tcPr>
          <w:p>
            <w:pPr>
              <w:ind w:left="18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Joseph Pennacchio</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color w:val="auto"/>
              </w:rPr>
              <w:t>/s/ Robert L. Sockolov</w:t>
            </w:r>
          </w:p>
        </w:tc>
        <w:tc>
          <w:tcPr>
            <w:tcW w:w="6080" w:type="dxa"/>
            <w:vAlign w:val="bottom"/>
          </w:tcPr>
          <w:p>
            <w:pPr>
              <w:ind w:left="1880"/>
              <w:spacing w:after="0"/>
              <w:rPr>
                <w:sz w:val="20"/>
                <w:szCs w:val="20"/>
                <w:color w:val="auto"/>
              </w:rPr>
            </w:pPr>
            <w:r>
              <w:rPr>
                <w:rFonts w:ascii="Arial" w:cs="Arial" w:eastAsia="Arial" w:hAnsi="Arial"/>
                <w:sz w:val="18"/>
                <w:szCs w:val="18"/>
                <w:color w:val="auto"/>
                <w:w w:val="90"/>
              </w:rPr>
              <w:t>Director and Chief Executive Officer of Rochester Division</w:t>
            </w:r>
          </w:p>
        </w:tc>
        <w:tc>
          <w:tcPr>
            <w:tcW w:w="0" w:type="dxa"/>
            <w:vAlign w:val="bottom"/>
          </w:tcPr>
          <w:p>
            <w:pPr>
              <w:spacing w:after="0"/>
              <w:rPr>
                <w:sz w:val="1"/>
                <w:szCs w:val="1"/>
                <w:color w:val="auto"/>
              </w:rPr>
            </w:pPr>
          </w:p>
        </w:tc>
      </w:tr>
      <w:tr>
        <w:trPr>
          <w:trHeight w:val="110"/>
        </w:trPr>
        <w:tc>
          <w:tcPr>
            <w:tcW w:w="44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tcPr>
          <w:p>
            <w:pPr>
              <w:spacing w:after="0"/>
              <w:rPr>
                <w:sz w:val="20"/>
                <w:szCs w:val="20"/>
                <w:color w:val="auto"/>
              </w:rPr>
            </w:pPr>
            <w:r>
              <w:rPr>
                <w:rFonts w:ascii="Arial" w:cs="Arial" w:eastAsia="Arial" w:hAnsi="Arial"/>
                <w:sz w:val="18"/>
                <w:szCs w:val="18"/>
                <w:color w:val="auto"/>
              </w:rPr>
              <w:t>Robert L. Sockolov</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2019-12-20T17:24:10Z</dcterms:created>
  <dcterms:modified xsi:type="dcterms:W3CDTF">2019-12-20T17:24:10Z</dcterms:modified>
</cp:coreProperties>
</file>