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167640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 2054</w:t>
      </w:r>
      <w:r>
        <w:rPr>
          <w:rFonts w:ascii="Times New Roman" w:cs="Times New Roman" w:eastAsia="Times New Roman" w:hAnsi="Times New Roman"/>
          <w:sz w:val="20"/>
          <w:szCs w:val="20"/>
          <w:b w:val="1"/>
          <w:bCs w:val="1"/>
          <w:color w:val="auto"/>
        </w:rPr>
        <w:t>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22225</wp:posOffset>
            </wp:positionV>
            <wp:extent cx="1435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62230</wp:posOffset>
            </wp:positionV>
            <wp:extent cx="1435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42" w:lineRule="exact"/>
        <w:rPr>
          <w:sz w:val="24"/>
          <w:szCs w:val="24"/>
          <w:color w:val="auto"/>
        </w:rPr>
      </w:pPr>
    </w:p>
    <w:tbl>
      <w:tblPr>
        <w:tblLayout w:type="fixed"/>
        <w:tblInd w:w="1241" w:type="dxa"/>
        <w:tblCellMar>
          <w:top w:w="0" w:type="dxa"/>
          <w:left w:w="0" w:type="dxa"/>
          <w:bottom w:w="0" w:type="dxa"/>
          <w:right w:w="0" w:type="dxa"/>
        </w:tblCellMar>
      </w:tblPr>
      <w:tr>
        <w:trPr>
          <w:trHeight w:val="159"/>
        </w:trPr>
        <w:tc>
          <w:tcPr>
            <w:tcW w:w="3260" w:type="dxa"/>
            <w:vAlign w:val="bottom"/>
          </w:tcPr>
          <w:p>
            <w:pPr>
              <w:jc w:val="center"/>
              <w:ind w:right="1048"/>
              <w:spacing w:after="0" w:line="159" w:lineRule="exact"/>
              <w:rPr>
                <w:sz w:val="20"/>
                <w:szCs w:val="20"/>
                <w:color w:val="auto"/>
              </w:rPr>
            </w:pPr>
            <w:r>
              <w:rPr>
                <w:rFonts w:ascii="Times New Roman" w:cs="Times New Roman" w:eastAsia="Times New Roman" w:hAnsi="Times New Roman"/>
                <w:sz w:val="17"/>
                <w:szCs w:val="17"/>
                <w:b w:val="1"/>
                <w:bCs w:val="1"/>
                <w:color w:val="auto"/>
                <w:w w:val="95"/>
              </w:rPr>
              <w:t>Delaware</w:t>
            </w:r>
          </w:p>
        </w:tc>
        <w:tc>
          <w:tcPr>
            <w:tcW w:w="2260" w:type="dxa"/>
            <w:vAlign w:val="bottom"/>
            <w:tcBorders>
              <w:top w:val="single" w:sz="8" w:color="auto"/>
            </w:tcBorders>
          </w:tcPr>
          <w:p>
            <w:pPr>
              <w:jc w:val="right"/>
              <w:ind w:right="748"/>
              <w:spacing w:after="0" w:line="159" w:lineRule="exact"/>
              <w:rPr>
                <w:sz w:val="20"/>
                <w:szCs w:val="20"/>
                <w:color w:val="auto"/>
              </w:rPr>
            </w:pPr>
            <w:r>
              <w:rPr>
                <w:rFonts w:ascii="Times New Roman" w:cs="Times New Roman" w:eastAsia="Times New Roman" w:hAnsi="Times New Roman"/>
                <w:sz w:val="17"/>
                <w:szCs w:val="17"/>
                <w:b w:val="1"/>
                <w:bCs w:val="1"/>
                <w:color w:val="auto"/>
              </w:rPr>
              <w:t>01-34219</w:t>
            </w:r>
          </w:p>
        </w:tc>
        <w:tc>
          <w:tcPr>
            <w:tcW w:w="2680" w:type="dxa"/>
            <w:vAlign w:val="bottom"/>
          </w:tcPr>
          <w:p>
            <w:pPr>
              <w:jc w:val="right"/>
              <w:ind w:right="30"/>
              <w:spacing w:after="0" w:line="159" w:lineRule="exact"/>
              <w:rPr>
                <w:sz w:val="20"/>
                <w:szCs w:val="20"/>
                <w:color w:val="auto"/>
              </w:rPr>
            </w:pPr>
            <w:r>
              <w:rPr>
                <w:rFonts w:ascii="Times New Roman" w:cs="Times New Roman" w:eastAsia="Times New Roman" w:hAnsi="Times New Roman"/>
                <w:sz w:val="17"/>
                <w:szCs w:val="17"/>
                <w:b w:val="1"/>
                <w:bCs w:val="1"/>
                <w:color w:val="auto"/>
              </w:rPr>
              <w:t>04-2623104</w:t>
            </w:r>
          </w:p>
        </w:tc>
        <w:tc>
          <w:tcPr>
            <w:tcW w:w="0" w:type="dxa"/>
            <w:vAlign w:val="bottom"/>
          </w:tcPr>
          <w:p>
            <w:pPr>
              <w:spacing w:after="0"/>
              <w:rPr>
                <w:sz w:val="1"/>
                <w:szCs w:val="1"/>
                <w:color w:val="auto"/>
              </w:rPr>
            </w:pPr>
          </w:p>
        </w:tc>
      </w:tr>
      <w:tr>
        <w:trPr>
          <w:trHeight w:val="127"/>
        </w:trPr>
        <w:tc>
          <w:tcPr>
            <w:tcW w:w="3260" w:type="dxa"/>
            <w:vAlign w:val="bottom"/>
          </w:tcPr>
          <w:p>
            <w:pPr>
              <w:jc w:val="center"/>
              <w:ind w:right="1048"/>
              <w:spacing w:after="0" w:line="127"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22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(Commission File Number)</w:t>
            </w:r>
          </w:p>
        </w:tc>
        <w:tc>
          <w:tcPr>
            <w:tcW w:w="2680" w:type="dxa"/>
            <w:vAlign w:val="bottom"/>
          </w:tcPr>
          <w:p>
            <w:pPr>
              <w:jc w:val="center"/>
              <w:ind w:left="1610"/>
              <w:spacing w:after="0" w:line="127"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3"/>
        </w:trPr>
        <w:tc>
          <w:tcPr>
            <w:tcW w:w="3260" w:type="dxa"/>
            <w:vAlign w:val="bottom"/>
          </w:tcPr>
          <w:p>
            <w:pPr>
              <w:jc w:val="center"/>
              <w:ind w:right="1068"/>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2260" w:type="dxa"/>
            <w:vAlign w:val="bottom"/>
          </w:tcPr>
          <w:p>
            <w:pPr>
              <w:spacing w:after="0"/>
              <w:rPr>
                <w:sz w:val="14"/>
                <w:szCs w:val="14"/>
                <w:color w:val="auto"/>
              </w:rPr>
            </w:pPr>
          </w:p>
        </w:tc>
        <w:tc>
          <w:tcPr>
            <w:tcW w:w="2680" w:type="dxa"/>
            <w:vAlign w:val="bottom"/>
          </w:tcPr>
          <w:p>
            <w:pPr>
              <w:jc w:val="center"/>
              <w:ind w:left="1630"/>
              <w:spacing w:after="0"/>
              <w:rPr>
                <w:sz w:val="20"/>
                <w:szCs w:val="20"/>
                <w:color w:val="auto"/>
              </w:rPr>
            </w:pPr>
            <w:r>
              <w:rPr>
                <w:rFonts w:ascii="Times New Roman" w:cs="Times New Roman" w:eastAsia="Times New Roman" w:hAnsi="Times New Roman"/>
                <w:sz w:val="12"/>
                <w:szCs w:val="12"/>
                <w:b w:val="1"/>
                <w:bCs w:val="1"/>
                <w:color w:val="auto"/>
              </w:rPr>
              <w:t>Identification No.)</w:t>
            </w:r>
          </w:p>
        </w:tc>
        <w:tc>
          <w:tcPr>
            <w:tcW w:w="0" w:type="dxa"/>
            <w:vAlign w:val="bottom"/>
          </w:tcPr>
          <w:p>
            <w:pPr>
              <w:spacing w:after="0"/>
              <w:rPr>
                <w:sz w:val="1"/>
                <w:szCs w:val="1"/>
                <w:color w:val="auto"/>
              </w:rPr>
            </w:pPr>
          </w:p>
        </w:tc>
      </w:tr>
      <w:tr>
        <w:trPr>
          <w:trHeight w:val="314"/>
        </w:trPr>
        <w:tc>
          <w:tcPr>
            <w:tcW w:w="3260" w:type="dxa"/>
            <w:vAlign w:val="bottom"/>
          </w:tcPr>
          <w:p>
            <w:pPr>
              <w:jc w:val="center"/>
              <w:ind w:right="1048"/>
              <w:spacing w:after="0"/>
              <w:rPr>
                <w:sz w:val="20"/>
                <w:szCs w:val="20"/>
                <w:color w:val="auto"/>
              </w:rPr>
            </w:pPr>
            <w:r>
              <w:rPr>
                <w:rFonts w:ascii="Times New Roman" w:cs="Times New Roman" w:eastAsia="Times New Roman" w:hAnsi="Times New Roman"/>
                <w:sz w:val="17"/>
                <w:szCs w:val="17"/>
                <w:b w:val="1"/>
                <w:bCs w:val="1"/>
                <w:color w:val="auto"/>
                <w:w w:val="96"/>
              </w:rPr>
              <w:t>555 Turnpike Street</w:t>
            </w:r>
          </w:p>
        </w:tc>
        <w:tc>
          <w:tcPr>
            <w:tcW w:w="2260" w:type="dxa"/>
            <w:vAlign w:val="bottom"/>
          </w:tcPr>
          <w:p>
            <w:pPr>
              <w:spacing w:after="0"/>
              <w:rPr>
                <w:sz w:val="24"/>
                <w:szCs w:val="24"/>
                <w:color w:val="auto"/>
              </w:rPr>
            </w:pPr>
          </w:p>
        </w:tc>
        <w:tc>
          <w:tcPr>
            <w:tcW w:w="2680" w:type="dxa"/>
            <w:vAlign w:val="bottom"/>
            <w:vMerge w:val="restart"/>
          </w:tcPr>
          <w:p>
            <w:pPr>
              <w:jc w:val="right"/>
              <w:ind w:right="210"/>
              <w:spacing w:after="0"/>
              <w:rPr>
                <w:sz w:val="20"/>
                <w:szCs w:val="20"/>
                <w:color w:val="auto"/>
              </w:rPr>
            </w:pPr>
            <w:r>
              <w:rPr>
                <w:rFonts w:ascii="Times New Roman" w:cs="Times New Roman" w:eastAsia="Times New Roman" w:hAnsi="Times New Roman"/>
                <w:sz w:val="17"/>
                <w:szCs w:val="17"/>
                <w:b w:val="1"/>
                <w:bCs w:val="1"/>
                <w:color w:val="auto"/>
              </w:rPr>
              <w:t>02021</w:t>
            </w:r>
          </w:p>
        </w:tc>
        <w:tc>
          <w:tcPr>
            <w:tcW w:w="0" w:type="dxa"/>
            <w:vAlign w:val="bottom"/>
          </w:tcPr>
          <w:p>
            <w:pPr>
              <w:spacing w:after="0"/>
              <w:rPr>
                <w:sz w:val="1"/>
                <w:szCs w:val="1"/>
                <w:color w:val="auto"/>
              </w:rPr>
            </w:pPr>
          </w:p>
        </w:tc>
      </w:tr>
      <w:tr>
        <w:trPr>
          <w:trHeight w:val="179"/>
        </w:trPr>
        <w:tc>
          <w:tcPr>
            <w:tcW w:w="3260" w:type="dxa"/>
            <w:vAlign w:val="bottom"/>
          </w:tcPr>
          <w:p>
            <w:pPr>
              <w:jc w:val="center"/>
              <w:ind w:right="1048"/>
              <w:spacing w:after="0" w:line="180" w:lineRule="exact"/>
              <w:rPr>
                <w:sz w:val="20"/>
                <w:szCs w:val="20"/>
                <w:color w:val="auto"/>
              </w:rPr>
            </w:pPr>
            <w:r>
              <w:rPr>
                <w:rFonts w:ascii="Times New Roman" w:cs="Times New Roman" w:eastAsia="Times New Roman" w:hAnsi="Times New Roman"/>
                <w:sz w:val="17"/>
                <w:szCs w:val="17"/>
                <w:b w:val="1"/>
                <w:bCs w:val="1"/>
                <w:color w:val="auto"/>
                <w:w w:val="96"/>
              </w:rPr>
              <w:t>Canton, Massachusetts</w:t>
            </w:r>
          </w:p>
        </w:tc>
        <w:tc>
          <w:tcPr>
            <w:tcW w:w="226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jc w:val="center"/>
              <w:ind w:right="104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260" w:type="dxa"/>
            <w:vAlign w:val="bottom"/>
          </w:tcPr>
          <w:p>
            <w:pPr>
              <w:spacing w:after="0"/>
              <w:rPr>
                <w:sz w:val="14"/>
                <w:szCs w:val="14"/>
                <w:color w:val="auto"/>
              </w:rPr>
            </w:pPr>
          </w:p>
        </w:tc>
        <w:tc>
          <w:tcPr>
            <w:tcW w:w="2680" w:type="dxa"/>
            <w:vAlign w:val="bottom"/>
          </w:tcPr>
          <w:p>
            <w:pPr>
              <w:jc w:val="center"/>
              <w:ind w:left="163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bl>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781 828-9300</w:t>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111125</wp:posOffset>
            </wp:positionV>
            <wp:extent cx="1435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30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341" w:hanging="341"/>
        <w:spacing w:after="0"/>
        <w:tabs>
          <w:tab w:leader="none" w:pos="34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0" w:lineRule="exact"/>
        <w:rPr>
          <w:rFonts w:ascii="MS PGothic" w:cs="MS PGothic" w:eastAsia="MS PGothic" w:hAnsi="MS PGothic"/>
          <w:sz w:val="17"/>
          <w:szCs w:val="17"/>
          <w:color w:val="auto"/>
        </w:rPr>
      </w:pPr>
    </w:p>
    <w:p>
      <w:pPr>
        <w:ind w:left="341" w:hanging="341"/>
        <w:spacing w:after="0"/>
        <w:tabs>
          <w:tab w:leader="none" w:pos="34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0" w:lineRule="exact"/>
        <w:rPr>
          <w:rFonts w:ascii="MS PGothic" w:cs="MS PGothic" w:eastAsia="MS PGothic" w:hAnsi="MS PGothic"/>
          <w:sz w:val="17"/>
          <w:szCs w:val="17"/>
          <w:color w:val="auto"/>
        </w:rPr>
      </w:pPr>
    </w:p>
    <w:p>
      <w:pPr>
        <w:ind w:left="341" w:hanging="341"/>
        <w:spacing w:after="0"/>
        <w:tabs>
          <w:tab w:leader="none" w:pos="34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0" w:lineRule="exact"/>
        <w:rPr>
          <w:rFonts w:ascii="MS PGothic" w:cs="MS PGothic" w:eastAsia="MS PGothic" w:hAnsi="MS PGothic"/>
          <w:sz w:val="17"/>
          <w:szCs w:val="17"/>
          <w:color w:val="auto"/>
        </w:rPr>
      </w:pPr>
    </w:p>
    <w:p>
      <w:pPr>
        <w:ind w:left="341" w:hanging="341"/>
        <w:spacing w:after="0"/>
        <w:tabs>
          <w:tab w:leader="none" w:pos="34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01" w:lineRule="exact"/>
        <w:rPr>
          <w:sz w:val="24"/>
          <w:szCs w:val="24"/>
          <w:color w:val="auto"/>
        </w:rPr>
      </w:pPr>
    </w:p>
    <w:tbl>
      <w:tblPr>
        <w:tblLayout w:type="fixed"/>
        <w:tblInd w:w="1" w:type="dxa"/>
        <w:tblCellMar>
          <w:top w:w="0" w:type="dxa"/>
          <w:left w:w="0" w:type="dxa"/>
          <w:bottom w:w="0" w:type="dxa"/>
          <w:right w:w="0" w:type="dxa"/>
        </w:tblCellMar>
      </w:tblPr>
      <w:tr>
        <w:trPr>
          <w:trHeight w:val="19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Title of each class</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Trading</w:t>
            </w:r>
          </w:p>
        </w:tc>
        <w:tc>
          <w:tcPr>
            <w:tcW w:w="120" w:type="dxa"/>
            <w:vAlign w:val="bottom"/>
          </w:tcPr>
          <w:p>
            <w:pPr>
              <w:spacing w:after="0"/>
              <w:rPr>
                <w:sz w:val="16"/>
                <w:szCs w:val="16"/>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Name of each exchange on which registered</w:t>
            </w:r>
          </w:p>
        </w:tc>
        <w:tc>
          <w:tcPr>
            <w:tcW w:w="0" w:type="dxa"/>
            <w:vAlign w:val="bottom"/>
          </w:tcPr>
          <w:p>
            <w:pPr>
              <w:spacing w:after="0"/>
              <w:rPr>
                <w:sz w:val="1"/>
                <w:szCs w:val="1"/>
                <w:color w:val="auto"/>
              </w:rPr>
            </w:pPr>
          </w:p>
        </w:tc>
      </w:tr>
      <w:tr>
        <w:trPr>
          <w:trHeight w:val="186"/>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6"/>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Common Stock, par value $0.01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DXLG</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The NASDAQ Stock Market LLC</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1" w:right="240"/>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1"/>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6" w:lineRule="exact"/>
        <w:rPr>
          <w:sz w:val="24"/>
          <w:szCs w:val="24"/>
          <w:color w:val="auto"/>
        </w:rPr>
      </w:pPr>
    </w:p>
    <w:p>
      <w:pPr>
        <w:ind w:left="1" w:right="360"/>
        <w:spacing w:after="0" w:line="21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1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173355</wp:posOffset>
            </wp:positionV>
            <wp:extent cx="716851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31" w:right="339" w:bottom="1440" w:gutter="0" w:footer="0" w:header="0"/>
        </w:sectPr>
      </w:pPr>
    </w:p>
    <w:bookmarkStart w:id="1" w:name="page2"/>
    <w:bookmarkEnd w:id="1"/>
    <w:p>
      <w:pPr>
        <w:ind w:right="620"/>
        <w:spacing w:after="0" w:line="258"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Compensatory Arrangements of Certain Officers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Amended and Restated Employment Agreement Between the Company and Harvey S. Kanter</w:t>
      </w:r>
    </w:p>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6"/>
          <w:szCs w:val="16"/>
          <w:color w:val="auto"/>
        </w:rPr>
        <w:t>On April 1, 2022, Destination XL Group,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entered into an Amended and Restatement Employment Agreement with Harvey S. Kanter, the Company’s President, Chief Executive Officer and a member of its Board of Directors (the "</w:t>
      </w:r>
      <w:r>
        <w:rPr>
          <w:rFonts w:ascii="Times New Roman" w:cs="Times New Roman" w:eastAsia="Times New Roman" w:hAnsi="Times New Roman"/>
          <w:sz w:val="16"/>
          <w:szCs w:val="16"/>
          <w:b w:val="1"/>
          <w:bCs w:val="1"/>
          <w:i w:val="1"/>
          <w:iCs w:val="1"/>
          <w:color w:val="auto"/>
        </w:rPr>
        <w:t>Employment Agreement</w:t>
      </w:r>
      <w:r>
        <w:rPr>
          <w:rFonts w:ascii="Times New Roman" w:cs="Times New Roman" w:eastAsia="Times New Roman" w:hAnsi="Times New Roman"/>
          <w:sz w:val="16"/>
          <w:szCs w:val="16"/>
          <w:color w:val="auto"/>
        </w:rPr>
        <w:t>"). The independent members of the Company’s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upon recommendation of the Compensation Committee of the Board (the “</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approved the Employment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Employment Agreement with Mr. Kanter</w:t>
      </w:r>
    </w:p>
    <w:p>
      <w:pPr>
        <w:spacing w:after="0" w:line="90"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The initial term of the Employment Agreement is for three years, ending on April 1, 2025, unless terminated earlier in accordance with the terms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(the “</w:t>
      </w:r>
      <w:r>
        <w:rPr>
          <w:rFonts w:ascii="Times New Roman" w:cs="Times New Roman" w:eastAsia="Times New Roman" w:hAnsi="Times New Roman"/>
          <w:sz w:val="17"/>
          <w:szCs w:val="17"/>
          <w:b w:val="1"/>
          <w:bCs w:val="1"/>
          <w:i w:val="1"/>
          <w:iCs w:val="1"/>
          <w:color w:val="auto"/>
        </w:rPr>
        <w:t>Initial Term</w:t>
      </w:r>
      <w:r>
        <w:rPr>
          <w:rFonts w:ascii="Times New Roman" w:cs="Times New Roman" w:eastAsia="Times New Roman" w:hAnsi="Times New Roman"/>
          <w:sz w:val="17"/>
          <w:szCs w:val="17"/>
          <w:color w:val="auto"/>
        </w:rPr>
        <w:t>”). At the expiration of the Initial Term, the Employment Agreement will automatically renew, upon the same terms and conditions, for successive periods of one year, unless either party provides advance written notice in accordance with the Employment Agreement (the “</w:t>
      </w:r>
      <w:r>
        <w:rPr>
          <w:rFonts w:ascii="Times New Roman" w:cs="Times New Roman" w:eastAsia="Times New Roman" w:hAnsi="Times New Roman"/>
          <w:sz w:val="17"/>
          <w:szCs w:val="17"/>
          <w:b w:val="1"/>
          <w:bCs w:val="1"/>
          <w:i w:val="1"/>
          <w:iCs w:val="1"/>
          <w:color w:val="auto"/>
        </w:rPr>
        <w:t>Employment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Term</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w:t>
      </w:r>
      <w:r>
        <w:rPr>
          <w:rFonts w:ascii="Times New Roman" w:cs="Times New Roman" w:eastAsia="Times New Roman" w:hAnsi="Times New Roman"/>
          <w:sz w:val="17"/>
          <w:szCs w:val="17"/>
          <w:color w:val="auto"/>
        </w:rPr>
        <w:t>. Mr. Kanter currently serves as a member of the Board. At each annual meeting of shareholders during the Employment Term, the Board will nominate Mr.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Kanter for election as a director. Mr. Kanter will not receive any additional compensation for his service as a director.</w:t>
      </w:r>
    </w:p>
    <w:p>
      <w:pPr>
        <w:spacing w:after="0" w:line="7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Location. </w:t>
      </w:r>
      <w:r>
        <w:rPr>
          <w:rFonts w:ascii="Times New Roman" w:cs="Times New Roman" w:eastAsia="Times New Roman" w:hAnsi="Times New Roman"/>
          <w:sz w:val="17"/>
          <w:szCs w:val="17"/>
          <w:color w:val="auto"/>
        </w:rPr>
        <w:t>Mr. Kanter will work remotely from his home office in Washington State, but will work in person at the Company’s corporate offices as necessary to perform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 duties.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Base Salary</w:t>
      </w:r>
      <w:r>
        <w:rPr>
          <w:rFonts w:ascii="Times New Roman" w:cs="Times New Roman" w:eastAsia="Times New Roman" w:hAnsi="Times New Roman"/>
          <w:sz w:val="17"/>
          <w:szCs w:val="17"/>
          <w:color w:val="auto"/>
        </w:rPr>
        <w:t>. Mr. Kanter will be paid an annual base salary of $850,000, or such higher rate as may be determined from time to time by the Board.</w:t>
      </w:r>
    </w:p>
    <w:p>
      <w:pPr>
        <w:spacing w:after="0" w:line="88"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 In connection with the initial employment agreement dated February 19, 2019, Mr. Kanter received a one-time grant of 720,000 Performance Shares (the “</w:t>
      </w:r>
      <w:r>
        <w:rPr>
          <w:rFonts w:ascii="Times New Roman" w:cs="Times New Roman" w:eastAsia="Times New Roman" w:hAnsi="Times New Roman"/>
          <w:sz w:val="17"/>
          <w:szCs w:val="17"/>
          <w:b w:val="1"/>
          <w:bCs w:val="1"/>
          <w:i w:val="1"/>
          <w:iCs w:val="1"/>
          <w:color w:val="auto"/>
        </w:rPr>
        <w:t>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to be settled in shares of the Company’s common stock upon vesting. The original award would vest, if at all, in three installments, when the trailing 90-day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volume-weighted average closing price ("</w:t>
      </w:r>
      <w:r>
        <w:rPr>
          <w:rFonts w:ascii="Times New Roman" w:cs="Times New Roman" w:eastAsia="Times New Roman" w:hAnsi="Times New Roman"/>
          <w:sz w:val="17"/>
          <w:szCs w:val="17"/>
          <w:b w:val="1"/>
          <w:bCs w:val="1"/>
          <w:i w:val="1"/>
          <w:iCs w:val="1"/>
          <w:color w:val="auto"/>
        </w:rPr>
        <w:t>Average Share Price</w:t>
      </w:r>
      <w:r>
        <w:rPr>
          <w:rFonts w:ascii="Times New Roman" w:cs="Times New Roman" w:eastAsia="Times New Roman" w:hAnsi="Times New Roman"/>
          <w:sz w:val="17"/>
          <w:szCs w:val="17"/>
          <w:color w:val="auto"/>
        </w:rPr>
        <w:t>") of a share was $4.00, $6.00 and $8.00, respectively. As of April 1, 2022, 240,000 P Shares remain unvested and will expire on April 1, 2023 if the Average Share Price of $8.00 is not achieved by that date. In the Employment Agreement, if the remaining P Shares do not vest, the Company agreed to grant Mr. Kanter a new performance share award after April 1, 2023 (but not later than December 31, 2023), the amount and terms of which will be set by the Board in its sole discretion.</w:t>
      </w:r>
    </w:p>
    <w:p>
      <w:pPr>
        <w:spacing w:after="0" w:line="70"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17"/>
          <w:szCs w:val="17"/>
          <w:i w:val="1"/>
          <w:iCs w:val="1"/>
          <w:color w:val="auto"/>
        </w:rPr>
        <w:t xml:space="preserve">Annual Incentive Plan. </w:t>
      </w:r>
      <w:r>
        <w:rPr>
          <w:rFonts w:ascii="Times New Roman" w:cs="Times New Roman" w:eastAsia="Times New Roman" w:hAnsi="Times New Roman"/>
          <w:sz w:val="17"/>
          <w:szCs w:val="17"/>
          <w:color w:val="auto"/>
        </w:rPr>
        <w:t>Mr. Kanter will continue to be eligible to earn an annual target bonus award under the Company’s annual incentive plan then in effect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Annual Incentive Plan</w:t>
      </w:r>
      <w:r>
        <w:rPr>
          <w:rFonts w:ascii="Times New Roman" w:cs="Times New Roman" w:eastAsia="Times New Roman" w:hAnsi="Times New Roman"/>
          <w:sz w:val="17"/>
          <w:szCs w:val="17"/>
          <w:color w:val="auto"/>
        </w:rPr>
        <w:t>”) equal to 100% of his base salary (prorated for any partial year of participation), based on achievement of certain performance goals to be established by the Committee. The amount of the annual bonus award under the Annual Incentive Plan in respect of a fiscal year shall range from between 50% and 200% of the annual target bonus award.</w:t>
      </w:r>
    </w:p>
    <w:p>
      <w:pPr>
        <w:spacing w:after="0" w:line="6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i w:val="1"/>
          <w:iCs w:val="1"/>
          <w:color w:val="auto"/>
        </w:rPr>
        <w:t>Long-Term Incentive Plans</w:t>
      </w:r>
      <w:r>
        <w:rPr>
          <w:rFonts w:ascii="Times New Roman" w:cs="Times New Roman" w:eastAsia="Times New Roman" w:hAnsi="Times New Roman"/>
          <w:sz w:val="17"/>
          <w:szCs w:val="17"/>
          <w:color w:val="auto"/>
        </w:rPr>
        <w:t>. Mr. Kanter will continue to be eligible to participate in the Company’s Long-Term Incentive Plan, as it may be amended from time-to-time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Mr. Kanter’s Target Cash Value (as defined in the Plan) is 170% of his base salary. Pursuant to the terms of the Plan, 50% of such award are time-based awards and 50% are performance-based awards. If and to the extent that the applicable performance targets are achieved, Mr. Kanter will be eligible to receive a performance-based award that will range between 50% and 150% of the Target Cash Value. The Committee has not yet set performance targets for the 2022-2024 Performance Period under the Plan.</w:t>
      </w:r>
    </w:p>
    <w:p>
      <w:pPr>
        <w:spacing w:after="0" w:line="6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i w:val="1"/>
          <w:iCs w:val="1"/>
          <w:color w:val="auto"/>
        </w:rPr>
        <w:t>Travel Allowance</w:t>
      </w:r>
      <w:r>
        <w:rPr>
          <w:rFonts w:ascii="Times New Roman" w:cs="Times New Roman" w:eastAsia="Times New Roman" w:hAnsi="Times New Roman"/>
          <w:sz w:val="17"/>
          <w:szCs w:val="17"/>
          <w:color w:val="auto"/>
        </w:rPr>
        <w:t>. Beginning with the first payroll in April 2022, Mr. Kanter will receive a quarterly travel allowance in the amount of $30,000, which is intended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used for travel between Mr. Kanter's home and the Company’s corporate offices.</w:t>
      </w:r>
    </w:p>
    <w:p>
      <w:pPr>
        <w:spacing w:after="0" w:line="5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i w:val="1"/>
          <w:iCs w:val="1"/>
          <w:color w:val="auto"/>
        </w:rPr>
        <w:t>Employee Benefits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Employment Term, Mr. Kanter is eligible for 25 days of vacation and is eligible to participate in all employee benefit plans, practices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programs maintained by the Company, on a basis which is no less favorable than is provided to other members of the Company’s executive leadership team.</w:t>
      </w:r>
    </w:p>
    <w:p>
      <w:pPr>
        <w:spacing w:after="0" w:line="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i w:val="1"/>
          <w:iCs w:val="1"/>
          <w:color w:val="auto"/>
        </w:rPr>
        <w:t>Indemnification/Director and Officer Liability Insurance</w:t>
      </w:r>
      <w:r>
        <w:rPr>
          <w:rFonts w:ascii="Times New Roman" w:cs="Times New Roman" w:eastAsia="Times New Roman" w:hAnsi="Times New Roman"/>
          <w:sz w:val="17"/>
          <w:szCs w:val="17"/>
          <w:color w:val="auto"/>
        </w:rPr>
        <w:t>. The Company will indemnify Mr. Kanter in his capacity as an officer and director of the Company to the fullest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extent permitted or required under Delaware law and will maintain directors’ and officers’ liability insurance coverage in a commercially reasonable amount, consistent with prior practice.</w:t>
      </w:r>
    </w:p>
    <w:p>
      <w:pPr>
        <w:spacing w:after="0" w:line="6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Termination of Employment. </w:t>
      </w:r>
      <w:r>
        <w:rPr>
          <w:rFonts w:ascii="Times New Roman" w:cs="Times New Roman" w:eastAsia="Times New Roman" w:hAnsi="Times New Roman"/>
          <w:sz w:val="17"/>
          <w:szCs w:val="17"/>
          <w:color w:val="auto"/>
        </w:rPr>
        <w:t>Either the Company or Mr. Kanter may terminate his employment at any time and for any reason; provided, that if Mr. Kanter terminates 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he is required to give the Company at least 30 days’ advance written notice. If Mr. Kanter’s employment is terminated for any reason, he is required to resign immediately from the Board.</w:t>
      </w:r>
    </w:p>
    <w:p>
      <w:pPr>
        <w:spacing w:after="0" w:line="69" w:lineRule="exact"/>
        <w:rPr>
          <w:sz w:val="20"/>
          <w:szCs w:val="20"/>
          <w:color w:val="auto"/>
        </w:rPr>
      </w:pPr>
    </w:p>
    <w:p>
      <w:pPr>
        <w:ind w:right="800"/>
        <w:spacing w:after="0" w:line="253" w:lineRule="auto"/>
        <w:rPr>
          <w:sz w:val="20"/>
          <w:szCs w:val="20"/>
          <w:color w:val="auto"/>
        </w:rPr>
      </w:pPr>
      <w:r>
        <w:rPr>
          <w:rFonts w:ascii="Times New Roman" w:cs="Times New Roman" w:eastAsia="Times New Roman" w:hAnsi="Times New Roman"/>
          <w:sz w:val="17"/>
          <w:szCs w:val="17"/>
          <w:color w:val="auto"/>
        </w:rPr>
        <w:t>If Mr. Kanter’s employment is terminated by him for any reason other than “Good Reason” or by the Company for “Justifiable Cause” (each as defined in the Employment Agreement), then Mr. Kanter will be eligible to receive any accrued but unpaid salary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35560</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rendered to the date of termination, any accrued but unpaid expenses required to be reimbursed and any accrued but unused vacation as of the termination date.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Mr. Kanter terminates his employment for Good Reason or the Company terminates his employment without Justifiable Cause:</w:t>
      </w:r>
    </w:p>
    <w:p>
      <w:pPr>
        <w:spacing w:after="0" w:line="90" w:lineRule="exact"/>
        <w:rPr>
          <w:sz w:val="20"/>
          <w:szCs w:val="20"/>
          <w:color w:val="auto"/>
        </w:rPr>
      </w:pPr>
    </w:p>
    <w:p>
      <w:pPr>
        <w:ind w:left="1020" w:right="80" w:hanging="511"/>
        <w:spacing w:after="0" w:line="25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Initial Term, Mr. Kanter will be eligible to receive, subject to certain requirements described in the Employment Agreement, a payment equal to (i) the Base Salary he would have been paid through the end of the Initial Term plus (ii)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59" w:lineRule="exact"/>
        <w:rPr>
          <w:rFonts w:ascii="Times New Roman" w:cs="Times New Roman" w:eastAsia="Times New Roman" w:hAnsi="Times New Roman"/>
          <w:sz w:val="16"/>
          <w:szCs w:val="16"/>
          <w:color w:val="auto"/>
        </w:rPr>
      </w:pPr>
    </w:p>
    <w:p>
      <w:pPr>
        <w:ind w:left="1020" w:right="40" w:hanging="511"/>
        <w:spacing w:after="0" w:line="253"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one-year period that commences after the end of the Initial Term, Mr. Kanter will be eligible to receive a payment equal to (i) his then current Base Salary plus (ii) the then value of his target bonus under the Annual Incentive Plan, payable in 24 monthly installments.</w:t>
      </w:r>
    </w:p>
    <w:p>
      <w:pPr>
        <w:spacing w:after="0" w:line="6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A termination of employment that meets the requirements of a Structured Retirement (as defined in the Fourth Amended and Restated Destination XL Group, Inc. Long-Term Incentive Plan) and that occurs prior to the expiration of the Initial Term will be deemed to be a termination by the Company without Justifiable Cause. Additionally, for purposes of the Annual Incentive Plan, a termination of employment that meets the requirements of a Structured Retirement and that occurs at any time during the Employment Term (including after the Initial Term) will be deemed to be a termination by the Company without Justifiable Cause.</w:t>
      </w:r>
    </w:p>
    <w:p>
      <w:pPr>
        <w:spacing w:after="0" w:line="7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7"/>
          <w:szCs w:val="17"/>
          <w:color w:val="auto"/>
        </w:rPr>
        <w:t>A termination of Executive’s employment at the expiration of the Initial Term will not be deemed a termination without Justifiable Cause, but 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7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7"/>
          <w:szCs w:val="17"/>
          <w:i w:val="1"/>
          <w:iCs w:val="1"/>
          <w:color w:val="auto"/>
        </w:rPr>
        <w:t>Termination of Employment in connection with a Change in Control</w:t>
      </w:r>
      <w:r>
        <w:rPr>
          <w:rFonts w:ascii="Times New Roman" w:cs="Times New Roman" w:eastAsia="Times New Roman" w:hAnsi="Times New Roman"/>
          <w:sz w:val="17"/>
          <w:szCs w:val="17"/>
          <w:color w:val="auto"/>
        </w:rPr>
        <w:t>. If Mr. Kanter’s employment is terminated by him for Good Reason or by the Company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Justifiable Cause during the one-year period following a Change in Control, then Mr. Kanter will be eligible to receive, subject to certain requirements described in the Employment Agreement, a payment equal to (i) two times his then current Base Salary plus (ii) the then value of two times his target bonus under the Annual Incentive Plan, generally payable in a lump sum within 60 days of the termination of his employment following a Change in Control.</w:t>
      </w:r>
    </w:p>
    <w:p>
      <w:pPr>
        <w:spacing w:after="0" w:line="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All unearned equity awards held by Mr. Kanter will vest upon his termination of employment or otherwise, if at all, solely in accordance with the terms and conditions of the applicable plan and award agreement.</w:t>
      </w:r>
    </w:p>
    <w:p>
      <w:pPr>
        <w:spacing w:after="0" w:line="60" w:lineRule="exact"/>
        <w:rPr>
          <w:sz w:val="20"/>
          <w:szCs w:val="20"/>
          <w:color w:val="auto"/>
        </w:rPr>
      </w:pPr>
    </w:p>
    <w:p>
      <w:pPr>
        <w:ind w:right="800"/>
        <w:spacing w:after="0" w:line="253" w:lineRule="auto"/>
        <w:rPr>
          <w:sz w:val="20"/>
          <w:szCs w:val="20"/>
          <w:color w:val="auto"/>
        </w:rPr>
      </w:pPr>
      <w:r>
        <w:rPr>
          <w:rFonts w:ascii="Times New Roman" w:cs="Times New Roman" w:eastAsia="Times New Roman" w:hAnsi="Times New Roman"/>
          <w:sz w:val="17"/>
          <w:szCs w:val="17"/>
          <w:color w:val="auto"/>
        </w:rPr>
        <w:t>In the event of a termination of employment for Good Reason, without Justifiable Cause or following a Change in Control, Mr. Kanter will also be entitled to continuation payment by the Company of his health, dental and vision insurance premiums for a period of one year following his termination.</w:t>
      </w:r>
    </w:p>
    <w:p>
      <w:pPr>
        <w:spacing w:after="0" w:line="6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7"/>
          <w:szCs w:val="17"/>
          <w:color w:val="auto"/>
        </w:rPr>
        <w:t>The Employment Agreement also contains customary covenants regarding confidentiality, non-disclosure, non-competition, non-solicitation, non-disparagement, and proprietary rights.</w:t>
      </w:r>
    </w:p>
    <w:p>
      <w:pPr>
        <w:spacing w:after="0" w:line="6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color w:val="auto"/>
        </w:rPr>
        <w:t>This summary does not purport to be complete and is subject to and qualified in its entirety by reference to the text of the Employment Agreement, included as Exhibit 10.1 to this filing, which is incorporated herein by reference.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Fourth Amended and Restated Long-Term Incentive Plan</w:t>
      </w:r>
    </w:p>
    <w:p>
      <w:pPr>
        <w:spacing w:after="0" w:line="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On March 30, 2022, the Committee approved the Destination XL Group, Inc. Fourth Amended and Restated Long-Term Incentive Plan (the "</w:t>
      </w:r>
      <w:r>
        <w:rPr>
          <w:rFonts w:ascii="Times New Roman" w:cs="Times New Roman" w:eastAsia="Times New Roman" w:hAnsi="Times New Roman"/>
          <w:sz w:val="16"/>
          <w:szCs w:val="16"/>
          <w:b w:val="1"/>
          <w:bCs w:val="1"/>
          <w:i w:val="1"/>
          <w:iCs w:val="1"/>
          <w:color w:val="auto"/>
        </w:rPr>
        <w:t>LTIP</w:t>
      </w:r>
      <w:r>
        <w:rPr>
          <w:rFonts w:ascii="Times New Roman" w:cs="Times New Roman" w:eastAsia="Times New Roman" w:hAnsi="Times New Roman"/>
          <w:sz w:val="16"/>
          <w:szCs w:val="16"/>
          <w:color w:val="auto"/>
        </w:rPr>
        <w:t>"), in which the Company's executives (including its Named Executive Officers) and certain other members of management are eligible to participate. The LTIP was amended to, among other things, add a definition for "Structured Retirement" and the related vesting of both time-based and performance-based awards under such Structured Retirement. The addition of a Structured Retirement provides an opportunity for greater vesting upon retirement where the participant assists the Company in ensuring the succession of the participant’s position with the Company prior to the participant’s retirement. In order to be eligible to terminate in a Structured Retirement, the participant must terminate employment after meeting the age and service requirements set forth in the LTIP, the Committee must confirm through proper corporate action that the participant has met all of the succession planning objectives set by the Committee for the participant, the participant must continue to work until the date required by the Committee (which may not be more than 60 days after the Committee confirms that the objectives have been met), and the participant must execute a release of claims in favor of the Company. The final determination as to whether a Structured Retirement has been met is in the sole discretion of the Committee. The LTIP was also amended to clarify (i) certain definitions, (ii) the vesting of time-based awards upon retirement and (iii) Section 409A language.</w:t>
      </w:r>
    </w:p>
    <w:p>
      <w:pPr>
        <w:spacing w:after="0" w:line="6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7"/>
          <w:szCs w:val="17"/>
          <w:color w:val="auto"/>
        </w:rPr>
        <w:t>This summary of the LTIP does not purport to be complete and is subject to and qualified in its entirety by reference to the text of the LTIP, included as Exhibit 10.2 to this filing, which is incorporated herein by reference.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Fifth Amended Annual Incentive Plan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 xml:space="preserve">On April 2, 2022, the Committee approved </w:t>
      </w:r>
      <w:r>
        <w:rPr>
          <w:rFonts w:ascii="Times New Roman" w:cs="Times New Roman" w:eastAsia="Times New Roman" w:hAnsi="Times New Roman"/>
          <w:sz w:val="19"/>
          <w:szCs w:val="19"/>
          <w:color w:val="auto"/>
        </w:rPr>
        <w:t>th</w:t>
      </w:r>
      <w:r>
        <w:rPr>
          <w:rFonts w:ascii="Times New Roman" w:cs="Times New Roman" w:eastAsia="Times New Roman" w:hAnsi="Times New Roman"/>
          <w:sz w:val="17"/>
          <w:szCs w:val="17"/>
          <w:color w:val="auto"/>
        </w:rPr>
        <w:t>e Destination XL Group, Inc. Fifth Amended and Restated Annual Incentive Plan (the “</w:t>
      </w:r>
      <w:r>
        <w:rPr>
          <w:rFonts w:ascii="Times New Roman" w:cs="Times New Roman" w:eastAsia="Times New Roman" w:hAnsi="Times New Roman"/>
          <w:sz w:val="17"/>
          <w:szCs w:val="17"/>
          <w:b w:val="1"/>
          <w:bCs w:val="1"/>
          <w:i w:val="1"/>
          <w:iCs w:val="1"/>
          <w:color w:val="auto"/>
        </w:rPr>
        <w:t>AIP</w:t>
      </w:r>
      <w:r>
        <w:rPr>
          <w:rFonts w:ascii="Times New Roman" w:cs="Times New Roman" w:eastAsia="Times New Roman" w:hAnsi="Times New Roman"/>
          <w:sz w:val="17"/>
          <w:szCs w:val="17"/>
          <w:color w:val="auto"/>
        </w:rPr>
        <w:t>”), in which the Company’s executives (including its Named Executive Officers) and certain other members of management are eligible to participate. The AIP was amended to change the definition of employees eligible to participate in the AIP from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35560</wp:posOffset>
            </wp:positionV>
            <wp:extent cx="71685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2" w:right="359" w:bottom="1440" w:gutter="0" w:footer="0" w:header="0"/>
        </w:sectPr>
      </w:pPr>
    </w:p>
    <w:bookmarkStart w:id="3" w:name="page4"/>
    <w:bookmarkEnd w:id="3"/>
    <w:p>
      <w:pPr>
        <w:ind w:right="120"/>
        <w:spacing w:after="0" w:line="237" w:lineRule="auto"/>
        <w:rPr>
          <w:sz w:val="20"/>
          <w:szCs w:val="20"/>
          <w:color w:val="auto"/>
        </w:rPr>
      </w:pPr>
      <w:r>
        <w:rPr>
          <w:rFonts w:ascii="Times New Roman" w:cs="Times New Roman" w:eastAsia="Times New Roman" w:hAnsi="Times New Roman"/>
          <w:sz w:val="17"/>
          <w:szCs w:val="17"/>
          <w:color w:val="auto"/>
        </w:rPr>
        <w:t>level and above to a Job Level classification of 15 or above, which will result in increased participation in the AIP. With respect to our Named Executive Officers, Mr. Stratton's participation in the AIP will increase from 55% to 60% and Mr. Gaeta's participation, as a result of his promotion to Chief Stores Officer, will increase from 40% to 50%. The participation percentages for Messrs. Kanter, Dhoot and Molloy remain unchanged. The AIP was also clarified to provide that the provisions concerning the AIP in Mr. Kanter’s employment agreement supersede any inconsistent provisions in the AIP.</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This summary of the AIP does not purport to be complete and is subject to and qualified in its entirety by reference to the text of the AIP, included as Exhibit 10.3 to this filing, which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7"/>
          <w:szCs w:val="17"/>
          <w:color w:val="auto"/>
        </w:rPr>
        <w:t>On April 5, 2022, the Company issued a press release, attached hereto as Exhibit 99.1, announcing the extension of Mr. Kanter's employment as President and Chief Executive Officer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w w:val="94"/>
              </w:rPr>
              <w:t>(d) Exhibits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Exhibit No.</w:t>
            </w: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w w:val="87"/>
              </w:rPr>
              <w:t>10.1</w:t>
            </w:r>
          </w:p>
        </w:tc>
        <w:tc>
          <w:tcPr>
            <w:tcW w:w="1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Amended and Restated Employment Agreement between the Company and Harvey S. Kanter effective April 1, 2022.</w:t>
            </w:r>
          </w:p>
        </w:tc>
        <w:tc>
          <w:tcPr>
            <w:tcW w:w="0" w:type="dxa"/>
            <w:vAlign w:val="bottom"/>
          </w:tcPr>
          <w:p>
            <w:pPr>
              <w:spacing w:after="0"/>
              <w:rPr>
                <w:sz w:val="1"/>
                <w:szCs w:val="1"/>
                <w:color w:val="auto"/>
              </w:rPr>
            </w:pPr>
          </w:p>
        </w:tc>
      </w:tr>
      <w:tr>
        <w:trPr>
          <w:trHeight w:val="319"/>
        </w:trPr>
        <w:tc>
          <w:tcPr>
            <w:tcW w:w="780" w:type="dxa"/>
            <w:vAlign w:val="bottom"/>
            <w:gridSpan w:val="2"/>
          </w:tcPr>
          <w:p>
            <w:pPr>
              <w:jc w:val="right"/>
              <w:ind w:right="397"/>
              <w:spacing w:after="0"/>
              <w:rPr>
                <w:sz w:val="20"/>
                <w:szCs w:val="20"/>
                <w:color w:val="auto"/>
              </w:rPr>
            </w:pPr>
            <w:r>
              <w:rPr>
                <w:rFonts w:ascii="Times New Roman" w:cs="Times New Roman" w:eastAsia="Times New Roman" w:hAnsi="Times New Roman"/>
                <w:sz w:val="17"/>
                <w:szCs w:val="17"/>
                <w:color w:val="auto"/>
                <w:w w:val="93"/>
              </w:rPr>
              <w:t>10.2</w:t>
            </w:r>
          </w:p>
        </w:tc>
        <w:tc>
          <w:tcPr>
            <w:tcW w:w="180" w:type="dxa"/>
            <w:vAlign w:val="bottom"/>
          </w:tcPr>
          <w:p>
            <w:pPr>
              <w:spacing w:after="0"/>
              <w:rPr>
                <w:sz w:val="24"/>
                <w:szCs w:val="24"/>
                <w:color w:val="auto"/>
              </w:rPr>
            </w:pP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Fourth Amended and Restated Long-Term Incentive Plan.</w:t>
            </w:r>
          </w:p>
        </w:tc>
        <w:tc>
          <w:tcPr>
            <w:tcW w:w="0" w:type="dxa"/>
            <w:vAlign w:val="bottom"/>
          </w:tcPr>
          <w:p>
            <w:pPr>
              <w:spacing w:after="0"/>
              <w:rPr>
                <w:sz w:val="1"/>
                <w:szCs w:val="1"/>
                <w:color w:val="auto"/>
              </w:rPr>
            </w:pPr>
          </w:p>
        </w:tc>
      </w:tr>
      <w:tr>
        <w:trPr>
          <w:trHeight w:val="335"/>
        </w:trPr>
        <w:tc>
          <w:tcPr>
            <w:tcW w:w="780" w:type="dxa"/>
            <w:vAlign w:val="bottom"/>
            <w:gridSpan w:val="2"/>
          </w:tcPr>
          <w:p>
            <w:pPr>
              <w:jc w:val="right"/>
              <w:ind w:right="397"/>
              <w:spacing w:after="0"/>
              <w:rPr>
                <w:sz w:val="20"/>
                <w:szCs w:val="20"/>
                <w:color w:val="auto"/>
              </w:rPr>
            </w:pPr>
            <w:r>
              <w:rPr>
                <w:rFonts w:ascii="Times New Roman" w:cs="Times New Roman" w:eastAsia="Times New Roman" w:hAnsi="Times New Roman"/>
                <w:sz w:val="17"/>
                <w:szCs w:val="17"/>
                <w:color w:val="auto"/>
                <w:w w:val="93"/>
              </w:rPr>
              <w:t>10.3</w:t>
            </w:r>
          </w:p>
        </w:tc>
        <w:tc>
          <w:tcPr>
            <w:tcW w:w="180" w:type="dxa"/>
            <w:vAlign w:val="bottom"/>
          </w:tcPr>
          <w:p>
            <w:pPr>
              <w:spacing w:after="0"/>
              <w:rPr>
                <w:sz w:val="24"/>
                <w:szCs w:val="24"/>
                <w:color w:val="auto"/>
              </w:rPr>
            </w:pP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Fifth Amended and Restated Annual Incentive Plan.</w:t>
            </w:r>
          </w:p>
        </w:tc>
        <w:tc>
          <w:tcPr>
            <w:tcW w:w="0" w:type="dxa"/>
            <w:vAlign w:val="bottom"/>
          </w:tcPr>
          <w:p>
            <w:pPr>
              <w:spacing w:after="0"/>
              <w:rPr>
                <w:sz w:val="1"/>
                <w:szCs w:val="1"/>
                <w:color w:val="auto"/>
              </w:rPr>
            </w:pPr>
          </w:p>
        </w:tc>
      </w:tr>
      <w:tr>
        <w:trPr>
          <w:trHeight w:val="335"/>
        </w:trPr>
        <w:tc>
          <w:tcPr>
            <w:tcW w:w="780" w:type="dxa"/>
            <w:vAlign w:val="bottom"/>
            <w:gridSpan w:val="2"/>
          </w:tcPr>
          <w:p>
            <w:pPr>
              <w:jc w:val="right"/>
              <w:ind w:right="397"/>
              <w:spacing w:after="0"/>
              <w:rPr>
                <w:sz w:val="20"/>
                <w:szCs w:val="20"/>
                <w:color w:val="auto"/>
              </w:rPr>
            </w:pPr>
            <w:r>
              <w:rPr>
                <w:rFonts w:ascii="Times New Roman" w:cs="Times New Roman" w:eastAsia="Times New Roman" w:hAnsi="Times New Roman"/>
                <w:sz w:val="17"/>
                <w:szCs w:val="17"/>
                <w:color w:val="auto"/>
                <w:w w:val="93"/>
              </w:rPr>
              <w:t>99.1</w:t>
            </w:r>
          </w:p>
        </w:tc>
        <w:tc>
          <w:tcPr>
            <w:tcW w:w="180" w:type="dxa"/>
            <w:vAlign w:val="bottom"/>
          </w:tcPr>
          <w:p>
            <w:pPr>
              <w:spacing w:after="0"/>
              <w:rPr>
                <w:sz w:val="24"/>
                <w:szCs w:val="24"/>
                <w:color w:val="auto"/>
              </w:rPr>
            </w:pPr>
          </w:p>
        </w:tc>
        <w:tc>
          <w:tcPr>
            <w:tcW w:w="79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Press release dated April 5, 2022.</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140" w:right="40" w:hanging="1128"/>
        <w:spacing w:after="0" w:line="231"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279400</wp:posOffset>
            </wp:positionV>
            <wp:extent cx="716851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222" w:right="39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Destination XL Group, Inc.</w:t>
      </w:r>
    </w:p>
    <w:p>
      <w:pPr>
        <w:spacing w:after="0" w:line="289" w:lineRule="exact"/>
        <w:rPr>
          <w:sz w:val="20"/>
          <w:szCs w:val="20"/>
          <w:color w:val="auto"/>
        </w:rPr>
      </w:pPr>
    </w:p>
    <w:p>
      <w:pPr>
        <w:ind w:left="20"/>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5,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wp:posOffset>
            </wp:positionV>
            <wp:extent cx="32797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6100"/>
        <w:spacing w:after="0" w:line="208" w:lineRule="auto"/>
        <w:rPr>
          <w:sz w:val="20"/>
          <w:szCs w:val="20"/>
          <w:color w:val="auto"/>
        </w:rPr>
      </w:pPr>
      <w:r>
        <w:rPr>
          <w:rFonts w:ascii="Times New Roman" w:cs="Times New Roman" w:eastAsia="Times New Roman" w:hAnsi="Times New Roman"/>
          <w:sz w:val="17"/>
          <w:szCs w:val="17"/>
          <w:color w:val="auto"/>
        </w:rPr>
        <w:t>Robert S. Molloy</w:t>
      </w:r>
    </w:p>
    <w:p>
      <w:pPr>
        <w:spacing w:after="0" w:line="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256540</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60"/>
          </w:cols>
          <w:pgMar w:left="320" w:top="119" w:right="619" w:bottom="1440" w:gutter="0" w:footer="0" w:header="0"/>
        </w:sectPr>
      </w:pPr>
    </w:p>
    <w:bookmarkStart w:id="5" w:name="page6"/>
    <w:bookmarkEnd w:id="5"/>
    <w:p>
      <w:pPr>
        <w:ind w:left="10421"/>
        <w:spacing w:after="0"/>
        <w:rPr>
          <w:sz w:val="20"/>
          <w:szCs w:val="20"/>
          <w:color w:val="auto"/>
        </w:rPr>
      </w:pPr>
      <w:r>
        <w:rPr>
          <w:rFonts w:ascii="Times New Roman" w:cs="Times New Roman" w:eastAsia="Times New Roman" w:hAnsi="Times New Roman"/>
          <w:sz w:val="16"/>
          <w:szCs w:val="16"/>
          <w:color w:val="auto"/>
        </w:rPr>
        <w:t>Exhibit 10.1</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0000FF"/>
        </w:rPr>
        <w:t>AMENDED AND RESTATED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EMPLOYMENT AGREEMENT</w:t>
      </w:r>
    </w:p>
    <w:p>
      <w:pPr>
        <w:spacing w:after="0" w:line="290" w:lineRule="exact"/>
        <w:rPr>
          <w:sz w:val="20"/>
          <w:szCs w:val="20"/>
          <w:color w:val="auto"/>
        </w:rPr>
      </w:pPr>
    </w:p>
    <w:p>
      <w:pPr>
        <w:jc w:val="both"/>
        <w:ind w:left="1"/>
        <w:spacing w:after="0" w:line="249" w:lineRule="auto"/>
        <w:rPr>
          <w:sz w:val="20"/>
          <w:szCs w:val="20"/>
          <w:color w:val="auto"/>
        </w:rPr>
      </w:pPr>
      <w:r>
        <w:rPr>
          <w:rFonts w:ascii="Times New Roman" w:cs="Times New Roman" w:eastAsia="Times New Roman" w:hAnsi="Times New Roman"/>
          <w:sz w:val="18"/>
          <w:szCs w:val="18"/>
          <w:color w:val="auto"/>
        </w:rPr>
        <w:t>Destination XL Group, Inc., a Delaware corporation, with its office located at 555 Turnpike Street, Canton, Massachusetts, 02021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color w:val="auto"/>
        </w:rPr>
        <w:t>”), and Harvey S. Kanter (“</w:t>
      </w:r>
      <w:r>
        <w:rPr>
          <w:rFonts w:ascii="Times New Roman" w:cs="Times New Roman" w:eastAsia="Times New Roman" w:hAnsi="Times New Roman"/>
          <w:sz w:val="18"/>
          <w:szCs w:val="18"/>
          <w:i w:val="1"/>
          <w:iCs w:val="1"/>
          <w:u w:val="single" w:color="auto"/>
          <w:color w:val="auto"/>
        </w:rPr>
        <w:t>Executive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i w:val="1"/>
          <w:iCs w:val="1"/>
          <w:u w:val="single" w:color="auto"/>
          <w:color w:val="auto"/>
        </w:rPr>
        <w:t>Parties</w:t>
      </w:r>
      <w:r>
        <w:rPr>
          <w:rFonts w:ascii="Times New Roman" w:cs="Times New Roman" w:eastAsia="Times New Roman" w:hAnsi="Times New Roman"/>
          <w:sz w:val="18"/>
          <w:szCs w:val="18"/>
          <w:color w:val="auto"/>
        </w:rPr>
        <w:t>”) enter into this AMENDED AND RESTATED EMPLOYMENT AGREEMENT (“</w:t>
      </w:r>
      <w:r>
        <w:rPr>
          <w:rFonts w:ascii="Times New Roman" w:cs="Times New Roman" w:eastAsia="Times New Roman" w:hAnsi="Times New Roman"/>
          <w:sz w:val="18"/>
          <w:szCs w:val="18"/>
          <w:i w:val="1"/>
          <w:iCs w:val="1"/>
          <w:u w:val="single" w:color="auto"/>
          <w:color w:val="auto"/>
        </w:rPr>
        <w:t>Agreement</w:t>
      </w:r>
      <w:r>
        <w:rPr>
          <w:rFonts w:ascii="Times New Roman" w:cs="Times New Roman" w:eastAsia="Times New Roman" w:hAnsi="Times New Roman"/>
          <w:sz w:val="18"/>
          <w:szCs w:val="18"/>
          <w:color w:val="auto"/>
        </w:rPr>
        <w:t>”) dated as of April 1, 2022 and effective as of the Commencement Date (as defined below) as follows:</w:t>
      </w:r>
    </w:p>
    <w:p>
      <w:pPr>
        <w:spacing w:after="0" w:line="150" w:lineRule="exact"/>
        <w:rPr>
          <w:sz w:val="20"/>
          <w:szCs w:val="20"/>
          <w:color w:val="auto"/>
        </w:rPr>
      </w:pPr>
    </w:p>
    <w:p>
      <w:pPr>
        <w:ind w:left="561" w:hanging="373"/>
        <w:spacing w:after="0"/>
        <w:tabs>
          <w:tab w:leader="none" w:pos="561" w:val="left"/>
        </w:tabs>
        <w:numPr>
          <w:ilvl w:val="0"/>
          <w:numId w:val="4"/>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E</w:t>
      </w:r>
      <w:r>
        <w:rPr>
          <w:rFonts w:ascii="Times New Roman" w:cs="Times New Roman" w:eastAsia="Times New Roman" w:hAnsi="Times New Roman"/>
          <w:sz w:val="12"/>
          <w:szCs w:val="12"/>
          <w:b w:val="1"/>
          <w:bCs w:val="1"/>
          <w:color w:val="0000FF"/>
        </w:rPr>
        <w:t>MPLOYMENT</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8"/>
          <w:szCs w:val="18"/>
          <w:color w:val="auto"/>
        </w:rPr>
        <w:t>The Company hereby agrees to continue to employ Executive, and Executive hereby agrees to continue to be employed by the Company, on an employment-at-will basis, upon the terms and subject to the conditions set forth in this Agreement.</w:t>
      </w:r>
    </w:p>
    <w:p>
      <w:pPr>
        <w:spacing w:after="0" w:line="137" w:lineRule="exact"/>
        <w:rPr>
          <w:sz w:val="20"/>
          <w:szCs w:val="20"/>
          <w:color w:val="auto"/>
        </w:rPr>
      </w:pPr>
    </w:p>
    <w:p>
      <w:pPr>
        <w:ind w:left="561" w:hanging="373"/>
        <w:spacing w:after="0"/>
        <w:tabs>
          <w:tab w:leader="none" w:pos="561" w:val="left"/>
        </w:tabs>
        <w:numPr>
          <w:ilvl w:val="0"/>
          <w:numId w:val="5"/>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T</w:t>
      </w:r>
      <w:r>
        <w:rPr>
          <w:rFonts w:ascii="Times New Roman" w:cs="Times New Roman" w:eastAsia="Times New Roman" w:hAnsi="Times New Roman"/>
          <w:sz w:val="12"/>
          <w:szCs w:val="12"/>
          <w:b w:val="1"/>
          <w:bCs w:val="1"/>
          <w:color w:val="0000FF"/>
        </w:rPr>
        <w:t>ERM OF</w:t>
      </w:r>
      <w:r>
        <w:rPr>
          <w:rFonts w:ascii="Times New Roman" w:cs="Times New Roman" w:eastAsia="Times New Roman" w:hAnsi="Times New Roman"/>
          <w:sz w:val="18"/>
          <w:szCs w:val="18"/>
          <w:b w:val="1"/>
          <w:bCs w:val="1"/>
          <w:color w:val="0000FF"/>
        </w:rPr>
        <w:t xml:space="preserve"> E</w:t>
      </w:r>
      <w:r>
        <w:rPr>
          <w:rFonts w:ascii="Times New Roman" w:cs="Times New Roman" w:eastAsia="Times New Roman" w:hAnsi="Times New Roman"/>
          <w:sz w:val="12"/>
          <w:szCs w:val="12"/>
          <w:b w:val="1"/>
          <w:bCs w:val="1"/>
          <w:color w:val="0000FF"/>
        </w:rPr>
        <w:t>MPLOYMENT</w:t>
      </w:r>
      <w:r>
        <w:rPr>
          <w:rFonts w:ascii="Times New Roman" w:cs="Times New Roman" w:eastAsia="Times New Roman" w:hAnsi="Times New Roman"/>
          <w:sz w:val="18"/>
          <w:szCs w:val="18"/>
          <w:b w:val="1"/>
          <w:bCs w:val="1"/>
          <w:color w:val="0000FF"/>
        </w:rPr>
        <w:t>.</w:t>
      </w:r>
    </w:p>
    <w:p>
      <w:pPr>
        <w:spacing w:after="0" w:line="190" w:lineRule="exact"/>
        <w:rPr>
          <w:sz w:val="20"/>
          <w:szCs w:val="20"/>
          <w:color w:val="auto"/>
        </w:rPr>
      </w:pPr>
    </w:p>
    <w:p>
      <w:pPr>
        <w:jc w:val="both"/>
        <w:ind w:left="1"/>
        <w:spacing w:after="0" w:line="238" w:lineRule="auto"/>
        <w:rPr>
          <w:sz w:val="20"/>
          <w:szCs w:val="20"/>
          <w:color w:val="auto"/>
        </w:rPr>
      </w:pPr>
      <w:r>
        <w:rPr>
          <w:rFonts w:ascii="Times New Roman" w:cs="Times New Roman" w:eastAsia="Times New Roman" w:hAnsi="Times New Roman"/>
          <w:sz w:val="18"/>
          <w:szCs w:val="18"/>
          <w:color w:val="auto"/>
        </w:rPr>
        <w:t>The period of Executive’s employment under this Agreement, as amended and restated, shall begin on April 1, 2022 (the “</w:t>
      </w:r>
      <w:r>
        <w:rPr>
          <w:rFonts w:ascii="Times New Roman" w:cs="Times New Roman" w:eastAsia="Times New Roman" w:hAnsi="Times New Roman"/>
          <w:sz w:val="18"/>
          <w:szCs w:val="18"/>
          <w:i w:val="1"/>
          <w:iCs w:val="1"/>
          <w:u w:val="single" w:color="auto"/>
          <w:color w:val="auto"/>
        </w:rPr>
        <w:t>Commencement Date</w:t>
      </w:r>
      <w:r>
        <w:rPr>
          <w:rFonts w:ascii="Times New Roman" w:cs="Times New Roman" w:eastAsia="Times New Roman" w:hAnsi="Times New Roman"/>
          <w:sz w:val="18"/>
          <w:szCs w:val="18"/>
          <w:color w:val="auto"/>
        </w:rPr>
        <w:t>”) and shall continue until April 1, 2025 (the “</w:t>
      </w:r>
      <w:r>
        <w:rPr>
          <w:rFonts w:ascii="Times New Roman" w:cs="Times New Roman" w:eastAsia="Times New Roman" w:hAnsi="Times New Roman"/>
          <w:sz w:val="18"/>
          <w:szCs w:val="18"/>
          <w:i w:val="1"/>
          <w:iCs w:val="1"/>
          <w:u w:val="single" w:color="auto"/>
          <w:color w:val="auto"/>
        </w:rPr>
        <w:t>Initial Term</w:t>
      </w:r>
      <w:r>
        <w:rPr>
          <w:rFonts w:ascii="Times New Roman" w:cs="Times New Roman" w:eastAsia="Times New Roman" w:hAnsi="Times New Roman"/>
          <w:sz w:val="18"/>
          <w:szCs w:val="18"/>
          <w:color w:val="auto"/>
        </w:rPr>
        <w:t>”), subject to earlier termination in accordance with Section 5 below. At the expiration of the Initial Term, the Agreement shall automatically renew, upon the same terms and conditions, for successive periods of one (1) year, unless either party provides written notice of its intention not to extend the term of the Agreement for an additional one (1) year period at least 90 days prior to the applicable renewal date. As used in this Agreement, the phrase “</w:t>
      </w:r>
      <w:r>
        <w:rPr>
          <w:rFonts w:ascii="Times New Roman" w:cs="Times New Roman" w:eastAsia="Times New Roman" w:hAnsi="Times New Roman"/>
          <w:sz w:val="18"/>
          <w:szCs w:val="18"/>
          <w:i w:val="1"/>
          <w:iCs w:val="1"/>
          <w:u w:val="single" w:color="auto"/>
          <w:color w:val="auto"/>
        </w:rPr>
        <w:t>Employment Term</w:t>
      </w:r>
      <w:r>
        <w:rPr>
          <w:rFonts w:ascii="Times New Roman" w:cs="Times New Roman" w:eastAsia="Times New Roman" w:hAnsi="Times New Roman"/>
          <w:sz w:val="18"/>
          <w:szCs w:val="18"/>
          <w:color w:val="auto"/>
        </w:rPr>
        <w:t>” refers to Executive’s period of employment from the Commencement Date until the date his employment is terminated or terminates and includes any renewal term hereunder.</w:t>
      </w:r>
    </w:p>
    <w:p>
      <w:pPr>
        <w:spacing w:after="0" w:line="159" w:lineRule="exact"/>
        <w:rPr>
          <w:sz w:val="20"/>
          <w:szCs w:val="20"/>
          <w:color w:val="auto"/>
        </w:rPr>
      </w:pPr>
    </w:p>
    <w:p>
      <w:pPr>
        <w:ind w:left="561" w:hanging="373"/>
        <w:spacing w:after="0"/>
        <w:tabs>
          <w:tab w:leader="none" w:pos="561" w:val="left"/>
        </w:tabs>
        <w:numPr>
          <w:ilvl w:val="1"/>
          <w:numId w:val="6"/>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D</w:t>
      </w:r>
      <w:r>
        <w:rPr>
          <w:rFonts w:ascii="Times New Roman" w:cs="Times New Roman" w:eastAsia="Times New Roman" w:hAnsi="Times New Roman"/>
          <w:sz w:val="12"/>
          <w:szCs w:val="12"/>
          <w:b w:val="1"/>
          <w:bCs w:val="1"/>
          <w:color w:val="0000FF"/>
        </w:rPr>
        <w:t>UTIES AND</w:t>
      </w:r>
      <w:r>
        <w:rPr>
          <w:rFonts w:ascii="Times New Roman" w:cs="Times New Roman" w:eastAsia="Times New Roman" w:hAnsi="Times New Roman"/>
          <w:sz w:val="18"/>
          <w:szCs w:val="18"/>
          <w:b w:val="1"/>
          <w:bCs w:val="1"/>
          <w:color w:val="0000FF"/>
        </w:rPr>
        <w:t xml:space="preserve"> R</w:t>
      </w:r>
      <w:r>
        <w:rPr>
          <w:rFonts w:ascii="Times New Roman" w:cs="Times New Roman" w:eastAsia="Times New Roman" w:hAnsi="Times New Roman"/>
          <w:sz w:val="12"/>
          <w:szCs w:val="12"/>
          <w:b w:val="1"/>
          <w:bCs w:val="1"/>
          <w:color w:val="0000FF"/>
        </w:rPr>
        <w:t>ESPONSIBILITIES</w:t>
      </w:r>
      <w:r>
        <w:rPr>
          <w:rFonts w:ascii="Times New Roman" w:cs="Times New Roman" w:eastAsia="Times New Roman" w:hAnsi="Times New Roman"/>
          <w:sz w:val="18"/>
          <w:szCs w:val="18"/>
          <w:b w:val="1"/>
          <w:bCs w:val="1"/>
          <w:color w:val="0000FF"/>
        </w:rPr>
        <w:t>.</w:t>
      </w:r>
    </w:p>
    <w:p>
      <w:pPr>
        <w:spacing w:after="0" w:line="190" w:lineRule="exact"/>
        <w:rPr>
          <w:rFonts w:ascii="Times New Roman" w:cs="Times New Roman" w:eastAsia="Times New Roman" w:hAnsi="Times New Roman"/>
          <w:sz w:val="18"/>
          <w:szCs w:val="18"/>
          <w:b w:val="1"/>
          <w:bCs w:val="1"/>
          <w:color w:val="0000FF"/>
        </w:rPr>
      </w:pPr>
    </w:p>
    <w:p>
      <w:pPr>
        <w:jc w:val="both"/>
        <w:ind w:left="741" w:hanging="741"/>
        <w:spacing w:after="0" w:line="239" w:lineRule="auto"/>
        <w:tabs>
          <w:tab w:leader="none" w:pos="74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Employment Term, Executive shall continue to serve as the Company’s President and Chief Executive Officer (his “</w:t>
      </w:r>
      <w:r>
        <w:rPr>
          <w:rFonts w:ascii="Times New Roman" w:cs="Times New Roman" w:eastAsia="Times New Roman" w:hAnsi="Times New Roman"/>
          <w:sz w:val="18"/>
          <w:szCs w:val="18"/>
          <w:i w:val="1"/>
          <w:iCs w:val="1"/>
          <w:u w:val="single" w:color="auto"/>
          <w:color w:val="auto"/>
        </w:rPr>
        <w:t>Position</w:t>
      </w:r>
      <w:r>
        <w:rPr>
          <w:rFonts w:ascii="Times New Roman" w:cs="Times New Roman" w:eastAsia="Times New Roman" w:hAnsi="Times New Roman"/>
          <w:sz w:val="18"/>
          <w:szCs w:val="18"/>
          <w:color w:val="auto"/>
        </w:rPr>
        <w:t>”). In such capacity, Executive shall perform the customary duties and have the customary responsibilities of such Position and such other duties that are customary for such Position as may be assigned to Executive from time to time by the Company’s Board of Directors (the “</w:t>
      </w:r>
      <w:r>
        <w:rPr>
          <w:rFonts w:ascii="Times New Roman" w:cs="Times New Roman" w:eastAsia="Times New Roman" w:hAnsi="Times New Roman"/>
          <w:sz w:val="18"/>
          <w:szCs w:val="18"/>
          <w:i w:val="1"/>
          <w:iCs w:val="1"/>
          <w:u w:val="single" w:color="auto"/>
          <w:color w:val="auto"/>
        </w:rPr>
        <w:t>Board</w:t>
      </w:r>
      <w:r>
        <w:rPr>
          <w:rFonts w:ascii="Times New Roman" w:cs="Times New Roman" w:eastAsia="Times New Roman" w:hAnsi="Times New Roman"/>
          <w:sz w:val="18"/>
          <w:szCs w:val="18"/>
          <w:color w:val="auto"/>
        </w:rPr>
        <w:t>”), including, without limitation, creating and executing a satisfactory succession plan. During the Employment Term, the Board agrees to nominate Executive for election to the Board by the shareholders of the Company at each shareholder meeting.</w:t>
      </w:r>
    </w:p>
    <w:p>
      <w:pPr>
        <w:spacing w:after="0" w:line="165" w:lineRule="exact"/>
        <w:rPr>
          <w:rFonts w:ascii="Times New Roman" w:cs="Times New Roman" w:eastAsia="Times New Roman" w:hAnsi="Times New Roman"/>
          <w:sz w:val="18"/>
          <w:szCs w:val="18"/>
          <w:b w:val="1"/>
          <w:bCs w:val="1"/>
          <w:color w:val="auto"/>
        </w:rPr>
      </w:pPr>
    </w:p>
    <w:p>
      <w:pPr>
        <w:jc w:val="both"/>
        <w:ind w:left="741" w:hanging="741"/>
        <w:spacing w:after="0" w:line="237" w:lineRule="auto"/>
        <w:tabs>
          <w:tab w:leader="none" w:pos="74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agrees to faithfully serve the Company, devote his full working time, attention and energies to the business of the Company, its subsidiaries and affiliated entities, and perform the duties under this Agreement to the best of his abilities. Executive may participate in other outside business, charitable, family, personal and/or civic activities, provided that such activities are not inconsistent with Executive’s duties under this Agreement and will not be disadvantageous to the Company. Executive must receive permission from the Board to serve on any public or private company boards and, if such permission is granted, will not serve as chairman of the board or chairman of the audit committee of such company. The Board’s current policy is to permit the Chief Executive Officer to serve on one outside board.</w:t>
      </w:r>
    </w:p>
    <w:p>
      <w:pPr>
        <w:spacing w:after="0" w:line="164" w:lineRule="exact"/>
        <w:rPr>
          <w:rFonts w:ascii="Times New Roman" w:cs="Times New Roman" w:eastAsia="Times New Roman" w:hAnsi="Times New Roman"/>
          <w:sz w:val="18"/>
          <w:szCs w:val="18"/>
          <w:b w:val="1"/>
          <w:bCs w:val="1"/>
          <w:color w:val="auto"/>
        </w:rPr>
      </w:pPr>
    </w:p>
    <w:p>
      <w:pPr>
        <w:ind w:left="741" w:right="140" w:hanging="741"/>
        <w:spacing w:after="0" w:line="264" w:lineRule="auto"/>
        <w:tabs>
          <w:tab w:leader="none" w:pos="74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may work remotely from his home office in Washington State or elsewhere in the United States as long as he works in person at the Company’s offices in Canton,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278765</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09" w:right="339" w:bottom="1440" w:gutter="0" w:footer="0" w:header="0"/>
        </w:sectPr>
      </w:pPr>
    </w:p>
    <w:bookmarkStart w:id="6" w:name="page7"/>
    <w:bookmarkEnd w:id="6"/>
    <w:p>
      <w:pPr>
        <w:ind w:left="741" w:right="20"/>
        <w:spacing w:after="0" w:line="249"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u w:val="single" w:color="auto"/>
          <w:color w:val="auto"/>
        </w:rPr>
        <w:t>Location</w:t>
      </w:r>
      <w:r>
        <w:rPr>
          <w:rFonts w:ascii="Times New Roman" w:cs="Times New Roman" w:eastAsia="Times New Roman" w:hAnsi="Times New Roman"/>
          <w:sz w:val="18"/>
          <w:szCs w:val="18"/>
          <w:color w:val="auto"/>
        </w:rPr>
        <w:t>”) as necessary to perform the duties of his Position. The Parties anticipate that Executive will travel to, and work from, the Location at least a few business days per month. Additionally, Executive shall perform such services at such other locations as may be required for the proper performance of his duties hereunder, and Executive recognizes that such duties may involve reasonable travel.</w:t>
      </w:r>
    </w:p>
    <w:p>
      <w:pPr>
        <w:spacing w:after="0" w:line="154" w:lineRule="exact"/>
        <w:rPr>
          <w:sz w:val="20"/>
          <w:szCs w:val="20"/>
          <w:color w:val="auto"/>
        </w:rPr>
      </w:pPr>
    </w:p>
    <w:p>
      <w:pPr>
        <w:jc w:val="both"/>
        <w:ind w:left="741" w:hanging="741"/>
        <w:spacing w:after="0" w:line="247" w:lineRule="auto"/>
        <w:tabs>
          <w:tab w:leader="none" w:pos="74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agrees (i) to comply with all applicable laws, rules and regulations; (ii) to comply with the Company’s rules, procedures, policies, requirements, and directions; and (iii) not to engage in any other business or employment without the prior written consent of the Company except as otherwise specifically provided herein.</w:t>
      </w:r>
    </w:p>
    <w:p>
      <w:pPr>
        <w:spacing w:after="0" w:line="151" w:lineRule="exact"/>
        <w:rPr>
          <w:rFonts w:ascii="Times New Roman" w:cs="Times New Roman" w:eastAsia="Times New Roman" w:hAnsi="Times New Roman"/>
          <w:sz w:val="18"/>
          <w:szCs w:val="18"/>
          <w:b w:val="1"/>
          <w:bCs w:val="1"/>
          <w:color w:val="auto"/>
        </w:rPr>
      </w:pPr>
    </w:p>
    <w:p>
      <w:pPr>
        <w:ind w:left="561" w:hanging="373"/>
        <w:spacing w:after="0"/>
        <w:tabs>
          <w:tab w:leader="none" w:pos="561" w:val="left"/>
        </w:tabs>
        <w:numPr>
          <w:ilvl w:val="1"/>
          <w:numId w:val="8"/>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C</w:t>
      </w:r>
      <w:r>
        <w:rPr>
          <w:rFonts w:ascii="Times New Roman" w:cs="Times New Roman" w:eastAsia="Times New Roman" w:hAnsi="Times New Roman"/>
          <w:sz w:val="12"/>
          <w:szCs w:val="12"/>
          <w:b w:val="1"/>
          <w:bCs w:val="1"/>
          <w:color w:val="0000FF"/>
        </w:rPr>
        <w:t>OMPENSATION AND</w:t>
      </w:r>
      <w:r>
        <w:rPr>
          <w:rFonts w:ascii="Times New Roman" w:cs="Times New Roman" w:eastAsia="Times New Roman" w:hAnsi="Times New Roman"/>
          <w:sz w:val="18"/>
          <w:szCs w:val="18"/>
          <w:b w:val="1"/>
          <w:bCs w:val="1"/>
          <w:color w:val="0000FF"/>
        </w:rPr>
        <w:t xml:space="preserve"> B</w:t>
      </w:r>
      <w:r>
        <w:rPr>
          <w:rFonts w:ascii="Times New Roman" w:cs="Times New Roman" w:eastAsia="Times New Roman" w:hAnsi="Times New Roman"/>
          <w:sz w:val="12"/>
          <w:szCs w:val="12"/>
          <w:b w:val="1"/>
          <w:bCs w:val="1"/>
          <w:color w:val="0000FF"/>
        </w:rPr>
        <w:t>ENEFITS</w:t>
      </w:r>
      <w:r>
        <w:rPr>
          <w:rFonts w:ascii="Times New Roman" w:cs="Times New Roman" w:eastAsia="Times New Roman" w:hAnsi="Times New Roman"/>
          <w:sz w:val="18"/>
          <w:szCs w:val="18"/>
          <w:b w:val="1"/>
          <w:bCs w:val="1"/>
          <w:color w:val="0000FF"/>
        </w:rPr>
        <w:t>.</w:t>
      </w:r>
    </w:p>
    <w:p>
      <w:pPr>
        <w:spacing w:after="0" w:line="190" w:lineRule="exact"/>
        <w:rPr>
          <w:sz w:val="20"/>
          <w:szCs w:val="20"/>
          <w:color w:val="auto"/>
        </w:rPr>
      </w:pPr>
    </w:p>
    <w:p>
      <w:pPr>
        <w:jc w:val="both"/>
        <w:ind w:left="741" w:hanging="741"/>
        <w:spacing w:after="0" w:line="243" w:lineRule="auto"/>
        <w:tabs>
          <w:tab w:leader="none" w:pos="7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During the Employment Term, the Company shall pay Executive a base salary at the annual rate of $850,000.00 per year (“</w:t>
      </w:r>
      <w:r>
        <w:rPr>
          <w:rFonts w:ascii="Times New Roman" w:cs="Times New Roman" w:eastAsia="Times New Roman" w:hAnsi="Times New Roman"/>
          <w:sz w:val="18"/>
          <w:szCs w:val="18"/>
          <w:i w:val="1"/>
          <w:iCs w:val="1"/>
          <w:u w:val="single" w:color="auto"/>
          <w:color w:val="auto"/>
        </w:rPr>
        <w:t>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Salary</w:t>
      </w:r>
      <w:r>
        <w:rPr>
          <w:rFonts w:ascii="Times New Roman" w:cs="Times New Roman" w:eastAsia="Times New Roman" w:hAnsi="Times New Roman"/>
          <w:sz w:val="18"/>
          <w:szCs w:val="18"/>
          <w:color w:val="auto"/>
        </w:rPr>
        <w:t>”). The Board (or a committee thereof) shall review Executive’s compensation at such times as it deems appropriate and Executive’s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may be adjusted to a higher rate from time to time by the Board. Such payments shall be paid in accordance with the Company’s standard payroll practice for executives.</w:t>
      </w:r>
    </w:p>
    <w:p>
      <w:pPr>
        <w:spacing w:after="0" w:line="155" w:lineRule="exact"/>
        <w:rPr>
          <w:rFonts w:ascii="Times New Roman" w:cs="Times New Roman" w:eastAsia="Times New Roman" w:hAnsi="Times New Roman"/>
          <w:sz w:val="18"/>
          <w:szCs w:val="18"/>
          <w:b w:val="1"/>
          <w:bCs w:val="1"/>
          <w:color w:val="auto"/>
        </w:rPr>
      </w:pPr>
    </w:p>
    <w:p>
      <w:pPr>
        <w:jc w:val="both"/>
        <w:ind w:left="741" w:hanging="741"/>
        <w:spacing w:after="0" w:line="239" w:lineRule="auto"/>
        <w:tabs>
          <w:tab w:leader="none" w:pos="7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 Reimbursement</w:t>
      </w:r>
      <w:r>
        <w:rPr>
          <w:rFonts w:ascii="Times New Roman" w:cs="Times New Roman" w:eastAsia="Times New Roman" w:hAnsi="Times New Roman"/>
          <w:sz w:val="18"/>
          <w:szCs w:val="18"/>
          <w:color w:val="auto"/>
        </w:rPr>
        <w:t>. During the Employment Term, the Company shall promptly reimburse Executive for reasonable business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incurred by Executive in the performance of the duties under this Agreement in accordance with the Company’s customary practices applicable to executives,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expenses are incurred and accounted for in accordance with the Company’s policy. Executive shall comply with such restrictions and shall keep such records as the Company may reasonably deem necessary to meet the requirements of the Internal Revenue Code of 1986, as amended from time to time (the “</w:t>
      </w:r>
      <w:r>
        <w:rPr>
          <w:rFonts w:ascii="Times New Roman" w:cs="Times New Roman" w:eastAsia="Times New Roman" w:hAnsi="Times New Roman"/>
          <w:sz w:val="18"/>
          <w:szCs w:val="18"/>
          <w:i w:val="1"/>
          <w:iCs w:val="1"/>
          <w:u w:val="single" w:color="auto"/>
          <w:color w:val="auto"/>
        </w:rPr>
        <w:t>Code</w:t>
      </w:r>
      <w:r>
        <w:rPr>
          <w:rFonts w:ascii="Times New Roman" w:cs="Times New Roman" w:eastAsia="Times New Roman" w:hAnsi="Times New Roman"/>
          <w:sz w:val="18"/>
          <w:szCs w:val="18"/>
          <w:color w:val="auto"/>
        </w:rPr>
        <w:t>”), and regulations promulgated thereunder.</w:t>
      </w:r>
    </w:p>
    <w:p>
      <w:pPr>
        <w:spacing w:after="0" w:line="161" w:lineRule="exact"/>
        <w:rPr>
          <w:rFonts w:ascii="Times New Roman" w:cs="Times New Roman" w:eastAsia="Times New Roman" w:hAnsi="Times New Roman"/>
          <w:sz w:val="18"/>
          <w:szCs w:val="18"/>
          <w:b w:val="1"/>
          <w:bCs w:val="1"/>
          <w:color w:val="auto"/>
        </w:rPr>
      </w:pPr>
    </w:p>
    <w:p>
      <w:pPr>
        <w:jc w:val="both"/>
        <w:ind w:left="741" w:hanging="741"/>
        <w:spacing w:after="0" w:line="239" w:lineRule="auto"/>
        <w:tabs>
          <w:tab w:leader="none" w:pos="7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 Fringe Benefits, Vacations</w:t>
      </w:r>
      <w:r>
        <w:rPr>
          <w:rFonts w:ascii="Times New Roman" w:cs="Times New Roman" w:eastAsia="Times New Roman" w:hAnsi="Times New Roman"/>
          <w:sz w:val="18"/>
          <w:szCs w:val="18"/>
          <w:color w:val="auto"/>
        </w:rPr>
        <w:t>. During the Employment Term, Executive shall be eligible to participate in or receive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401(k) savings plan, medical and dental benefits plan, life insurance plan, short-term and long-term disability plans, supplemental and/or incentive compensation plans, or any other employee benefit or fringe benefit plan, generally made available by the Company to executives in accordance with the eligibility requirements of such plans and subject to the terms and conditions set forth in this Agreement. Executive shall be eligible for 25 days of vacation time annually, subject to the terms of the Company’s vacation pay plan.</w:t>
      </w:r>
    </w:p>
    <w:p>
      <w:pPr>
        <w:spacing w:after="0" w:line="161" w:lineRule="exact"/>
        <w:rPr>
          <w:rFonts w:ascii="Times New Roman" w:cs="Times New Roman" w:eastAsia="Times New Roman" w:hAnsi="Times New Roman"/>
          <w:sz w:val="18"/>
          <w:szCs w:val="18"/>
          <w:b w:val="1"/>
          <w:bCs w:val="1"/>
          <w:color w:val="auto"/>
        </w:rPr>
      </w:pPr>
    </w:p>
    <w:p>
      <w:pPr>
        <w:ind w:left="741" w:right="260" w:hanging="741"/>
        <w:spacing w:after="0" w:line="239" w:lineRule="auto"/>
        <w:tabs>
          <w:tab w:leader="none" w:pos="7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Allowance</w:t>
      </w:r>
      <w:r>
        <w:rPr>
          <w:rFonts w:ascii="Times New Roman" w:cs="Times New Roman" w:eastAsia="Times New Roman" w:hAnsi="Times New Roman"/>
          <w:sz w:val="18"/>
          <w:szCs w:val="18"/>
          <w:color w:val="auto"/>
        </w:rPr>
        <w:t>. During the Employment Term, the Company will provide Executive with an automobile allowance in the total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annually (pro-rated for any partial year of employment),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61" w:lineRule="exact"/>
        <w:rPr>
          <w:rFonts w:ascii="Times New Roman" w:cs="Times New Roman" w:eastAsia="Times New Roman" w:hAnsi="Times New Roman"/>
          <w:sz w:val="18"/>
          <w:szCs w:val="18"/>
          <w:b w:val="1"/>
          <w:bCs w:val="1"/>
          <w:color w:val="auto"/>
        </w:rPr>
      </w:pPr>
    </w:p>
    <w:p>
      <w:pPr>
        <w:jc w:val="both"/>
        <w:ind w:left="741" w:hanging="741"/>
        <w:spacing w:after="0" w:line="243" w:lineRule="auto"/>
        <w:tabs>
          <w:tab w:leader="none" w:pos="7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Attorney Fees</w:t>
      </w:r>
      <w:r>
        <w:rPr>
          <w:rFonts w:ascii="Times New Roman" w:cs="Times New Roman" w:eastAsia="Times New Roman" w:hAnsi="Times New Roman"/>
          <w:sz w:val="18"/>
          <w:szCs w:val="18"/>
          <w:color w:val="auto"/>
        </w:rPr>
        <w:t>. The Company shall reimburse Executive up to $20,000 for the attorney fees incurred by Executive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 and drafting of this amended and restated Agreement. Request for reimbursement pursuant to this Section 4(e) must be submitted, with adequate substantiation in accordance with the Company’s reimbursement policy, no later than May 31, 2022 and reimbursement shall be made no later than sixty (60) days following the date such request is submitted.</w:t>
      </w:r>
    </w:p>
    <w:p>
      <w:pPr>
        <w:spacing w:after="0" w:line="155" w:lineRule="exact"/>
        <w:rPr>
          <w:rFonts w:ascii="Times New Roman" w:cs="Times New Roman" w:eastAsia="Times New Roman" w:hAnsi="Times New Roman"/>
          <w:sz w:val="18"/>
          <w:szCs w:val="18"/>
          <w:b w:val="1"/>
          <w:bCs w:val="1"/>
          <w:color w:val="auto"/>
        </w:rPr>
      </w:pPr>
    </w:p>
    <w:p>
      <w:pPr>
        <w:ind w:left="741" w:hanging="741"/>
        <w:spacing w:after="0" w:line="268" w:lineRule="auto"/>
        <w:tabs>
          <w:tab w:leader="none" w:pos="7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Officers Liability Insurance Coverage</w:t>
      </w:r>
      <w:r>
        <w:rPr>
          <w:rFonts w:ascii="Times New Roman" w:cs="Times New Roman" w:eastAsia="Times New Roman" w:hAnsi="Times New Roman"/>
          <w:sz w:val="18"/>
          <w:szCs w:val="18"/>
          <w:color w:val="auto"/>
        </w:rPr>
        <w:t>. It being the intent of the Company to provide maximum protection available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the Company will maintain directors and</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3" w:right="339" w:bottom="1440" w:gutter="0" w:footer="0" w:header="0"/>
        </w:sectPr>
      </w:pPr>
    </w:p>
    <w:bookmarkStart w:id="7" w:name="page8"/>
    <w:bookmarkEnd w:id="7"/>
    <w:p>
      <w:pPr>
        <w:jc w:val="both"/>
        <w:ind w:left="741"/>
        <w:spacing w:after="0" w:line="247" w:lineRule="auto"/>
        <w:rPr>
          <w:sz w:val="20"/>
          <w:szCs w:val="20"/>
          <w:color w:val="auto"/>
        </w:rPr>
      </w:pPr>
      <w:r>
        <w:rPr>
          <w:rFonts w:ascii="Times New Roman" w:cs="Times New Roman" w:eastAsia="Times New Roman" w:hAnsi="Times New Roman"/>
          <w:sz w:val="18"/>
          <w:szCs w:val="18"/>
          <w:color w:val="auto"/>
        </w:rPr>
        <w:t>officers liability insurance coverage (which shall include employment practices liability coverage) in a commercially reasonable amount, consistent with prior practice, to indemnify Executive from any claims made against him in his capacity as President and Chief Executive Officer and a Director, as applicable.</w:t>
      </w:r>
    </w:p>
    <w:p>
      <w:pPr>
        <w:spacing w:after="0" w:line="152" w:lineRule="exact"/>
        <w:rPr>
          <w:sz w:val="20"/>
          <w:szCs w:val="20"/>
          <w:color w:val="auto"/>
        </w:rPr>
      </w:pPr>
    </w:p>
    <w:p>
      <w:pPr>
        <w:ind w:left="741" w:hanging="741"/>
        <w:spacing w:after="0" w:line="235" w:lineRule="auto"/>
        <w:tabs>
          <w:tab w:leader="none" w:pos="74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Pursuant to and as set forth in the Company’s By-Laws and the Company’s Certificate of Incorporation,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indemnify and hold harmless, to the fullest extent the Company is permitted or required to do so by the General Corporation Law of the State of Delaware as the same exists or hereafter may be amended, the Executive who, by reason of the fact that he is or was a director or officer of the Company, is a party or is threatened to be made a party to a Proceeding (as defined in the Company’s By-Laws). Such indemnification shall include payment by the Company, in advance of the final disposition of a Proceeding, of expenses incurred by Executive, in his capacity as a Covered Person (as defined in the Company’s By-Laws), provided that such payment shall be made only upon receipt of an undertaking by the Executive to repay all amounts advanced if it should be ultimately determined that he is not entitled to be indemnified by the Company. The Company agrees that if the By-Law were to be amended to reduce only Executive’s (and not other executives’ or directors’) indemnification rights, such amendment will not be enforceable against Executive.</w:t>
      </w:r>
    </w:p>
    <w:p>
      <w:pPr>
        <w:spacing w:after="0" w:line="162" w:lineRule="exact"/>
        <w:rPr>
          <w:rFonts w:ascii="Times New Roman" w:cs="Times New Roman" w:eastAsia="Times New Roman" w:hAnsi="Times New Roman"/>
          <w:sz w:val="18"/>
          <w:szCs w:val="18"/>
          <w:b w:val="1"/>
          <w:bCs w:val="1"/>
          <w:color w:val="auto"/>
        </w:rPr>
      </w:pPr>
    </w:p>
    <w:p>
      <w:pPr>
        <w:ind w:left="561" w:right="40" w:hanging="561"/>
        <w:spacing w:after="0" w:line="237" w:lineRule="auto"/>
        <w:tabs>
          <w:tab w:leader="none" w:pos="56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 Plan</w:t>
      </w:r>
      <w:r>
        <w:rPr>
          <w:rFonts w:ascii="Times New Roman" w:cs="Times New Roman" w:eastAsia="Times New Roman" w:hAnsi="Times New Roman"/>
          <w:sz w:val="18"/>
          <w:szCs w:val="18"/>
          <w:color w:val="auto"/>
        </w:rPr>
        <w:t>. During the Employment Term, Executive is eligible to earn annual bonus awards under the Company’s annual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then in effect, subject to change from year to year in the Board’s sole discretion (the “</w:t>
      </w:r>
      <w:r>
        <w:rPr>
          <w:rFonts w:ascii="Times New Roman" w:cs="Times New Roman" w:eastAsia="Times New Roman" w:hAnsi="Times New Roman"/>
          <w:sz w:val="18"/>
          <w:szCs w:val="18"/>
          <w:i w:val="1"/>
          <w:iCs w:val="1"/>
          <w:u w:val="single" w:color="auto"/>
          <w:color w:val="auto"/>
        </w:rPr>
        <w:t>Annual Incentive Plan</w:t>
      </w:r>
      <w:r>
        <w:rPr>
          <w:rFonts w:ascii="Times New Roman" w:cs="Times New Roman" w:eastAsia="Times New Roman" w:hAnsi="Times New Roman"/>
          <w:sz w:val="18"/>
          <w:szCs w:val="18"/>
          <w:color w:val="auto"/>
        </w:rPr>
        <w:t>”). Executive’s target bonus amount under the Annual Incentive Plan shall be 100% of Executive’s annual Base Salary, prorated for partial years of employment in the Position. The amount of the annual bonus award payable under the Annual Incentive Plan in respect of a fiscal year shall range between 50% and 200% of the target bonus amount. If the minimum level of performance in respect of a fiscal year is not achieved, no bonus shall be payable in respect of that year. Payment, if any, will be made in accordance with and subject to the terms and conditions of the Annual Incentive Plan, as modified by this Agreement, but in no event later than 2½ months following the end of the fiscal year to which the Annual Incentive Plan relates.</w:t>
      </w:r>
    </w:p>
    <w:p>
      <w:pPr>
        <w:spacing w:after="0" w:line="162" w:lineRule="exact"/>
        <w:rPr>
          <w:rFonts w:ascii="Times New Roman" w:cs="Times New Roman" w:eastAsia="Times New Roman" w:hAnsi="Times New Roman"/>
          <w:sz w:val="18"/>
          <w:szCs w:val="18"/>
          <w:b w:val="1"/>
          <w:bCs w:val="1"/>
          <w:color w:val="auto"/>
        </w:rPr>
      </w:pPr>
    </w:p>
    <w:p>
      <w:pPr>
        <w:jc w:val="both"/>
        <w:ind w:left="561"/>
        <w:spacing w:after="0" w:line="23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for the fiscal year in which the Company terminates the Executive’s employment pursuant to Section 5(d), the Executive resigns his employment for Good Reason under Section 5(f) or in any other event pursuant to which Executive becomes eligible to be paid an annual bonus under the Annual Incentive Plan notwithstanding his termination of employment, the Company shall pay the Executive a pro rata portion (based upon the period ending on Executive’s termination date during the fiscal year as compared to the total number of days in the fiscal year) of the bonus that otherwise would have been payable under this Section 4(h) for the fiscal year in which Executive’s employment terminated if Executive had remained employed by the Company. The amount of this pro rata bonus shall be determined as follows: (i) unless the termination was due to death or Disability (as defined in the Annual Incentive Plan), based on the Company’s performance as of the last day of the fiscal year to which the bonus relates or (ii) if the termination was due to death or Disability (as defined in the Annual Incentive Plan), based on the Company performance through the last day of the full fiscal month preceding Executive’s termination. Any amount payable under this Section 4(h) shall be paid as soon as reasonably practicable following the date of determination of the amount, but in no event no later than 2 ½ months following the close of the fiscal year in which the termination occurs. In the event of any inconsistency between the Annual Incentive Plan and this Agreement with respect to Executive’s annual bonus under the Annual Incentive Plan, this Agreement shall govern.</w:t>
      </w:r>
    </w:p>
    <w:p>
      <w:pPr>
        <w:spacing w:after="0" w:line="167" w:lineRule="exact"/>
        <w:rPr>
          <w:rFonts w:ascii="Times New Roman" w:cs="Times New Roman" w:eastAsia="Times New Roman" w:hAnsi="Times New Roman"/>
          <w:sz w:val="18"/>
          <w:szCs w:val="18"/>
          <w:b w:val="1"/>
          <w:bCs w:val="1"/>
          <w:color w:val="auto"/>
        </w:rPr>
      </w:pPr>
    </w:p>
    <w:p>
      <w:pPr>
        <w:ind w:left="661" w:right="360" w:hanging="661"/>
        <w:spacing w:after="0" w:line="268" w:lineRule="auto"/>
        <w:tabs>
          <w:tab w:leader="none" w:pos="66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Incentive Plan and Performance Shares</w:t>
      </w:r>
      <w:r>
        <w:rPr>
          <w:rFonts w:ascii="Times New Roman" w:cs="Times New Roman" w:eastAsia="Times New Roman" w:hAnsi="Times New Roman"/>
          <w:sz w:val="18"/>
          <w:szCs w:val="18"/>
          <w:color w:val="auto"/>
        </w:rPr>
        <w:t>. During the Employment Term, in addition to the awards granted pursuant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4(h), Executive shall be eligible to participate in the</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8" w:name="page9"/>
    <w:bookmarkEnd w:id="8"/>
    <w:p>
      <w:pPr>
        <w:ind w:left="661" w:right="120"/>
        <w:spacing w:after="0" w:line="237" w:lineRule="auto"/>
        <w:rPr>
          <w:sz w:val="20"/>
          <w:szCs w:val="20"/>
          <w:color w:val="auto"/>
        </w:rPr>
      </w:pPr>
      <w:r>
        <w:rPr>
          <w:rFonts w:ascii="Times New Roman" w:cs="Times New Roman" w:eastAsia="Times New Roman" w:hAnsi="Times New Roman"/>
          <w:sz w:val="18"/>
          <w:szCs w:val="18"/>
          <w:color w:val="auto"/>
        </w:rPr>
        <w:t>Destination XL Group, Inc. Long-Term Incentive Plan, as it may be amended and/or restated from time to time (the “</w:t>
      </w:r>
      <w:r>
        <w:rPr>
          <w:rFonts w:ascii="Times New Roman" w:cs="Times New Roman" w:eastAsia="Times New Roman" w:hAnsi="Times New Roman"/>
          <w:sz w:val="18"/>
          <w:szCs w:val="18"/>
          <w:i w:val="1"/>
          <w:iCs w:val="1"/>
          <w:u w:val="single" w:color="auto"/>
          <w:color w:val="auto"/>
        </w:rPr>
        <w:t>LTIP</w:t>
      </w:r>
      <w:r>
        <w:rPr>
          <w:rFonts w:ascii="Times New Roman" w:cs="Times New Roman" w:eastAsia="Times New Roman" w:hAnsi="Times New Roman"/>
          <w:sz w:val="18"/>
          <w:szCs w:val="18"/>
          <w:color w:val="auto"/>
        </w:rPr>
        <w:t>”), a copy of which is attached as Exhibit A. Executive’s Target Cash Value (as defined in the LTIP) shall be 170% of his Base Salary in effect at the time provided under the LTIP. LTIP awards are subject to all of the terms and conditions of the LTIP, including but not limited to, the payment timing of such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Additionally, in the event the unvested portion of the “P Shares” granted under the Performance Share Award Agreement dated as of February 19, 2019 (“</w:t>
      </w:r>
      <w:r>
        <w:rPr>
          <w:rFonts w:ascii="Times New Roman" w:cs="Times New Roman" w:eastAsia="Times New Roman" w:hAnsi="Times New Roman"/>
          <w:sz w:val="18"/>
          <w:szCs w:val="18"/>
          <w:i w:val="1"/>
          <w:iCs w:val="1"/>
          <w:u w:val="single" w:color="auto"/>
          <w:color w:val="auto"/>
        </w:rPr>
        <w:t>P Share Agreement</w:t>
      </w:r>
      <w:r>
        <w:rPr>
          <w:rFonts w:ascii="Times New Roman" w:cs="Times New Roman" w:eastAsia="Times New Roman" w:hAnsi="Times New Roman"/>
          <w:sz w:val="18"/>
          <w:szCs w:val="18"/>
          <w:color w:val="auto"/>
        </w:rPr>
        <w:t>”) is forfeited due to a failure to vest under the Vesting Schedule provided in the P Share Agreement, subject to Executive’s continued employment, the Company will grant Executive a new performance share award after April 1, 2023 (but not later than December 31, 2023), the amount and terms of which will be set by the Board in its sole discretion.</w:t>
      </w:r>
    </w:p>
    <w:p>
      <w:pPr>
        <w:spacing w:after="0" w:line="159" w:lineRule="exact"/>
        <w:rPr>
          <w:sz w:val="20"/>
          <w:szCs w:val="20"/>
          <w:color w:val="auto"/>
        </w:rPr>
      </w:pPr>
    </w:p>
    <w:p>
      <w:pPr>
        <w:ind w:left="661" w:right="20" w:hanging="661"/>
        <w:spacing w:after="0" w:line="236" w:lineRule="auto"/>
        <w:tabs>
          <w:tab w:leader="none" w:pos="66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 Allowance</w:t>
      </w:r>
      <w:r>
        <w:rPr>
          <w:rFonts w:ascii="Times New Roman" w:cs="Times New Roman" w:eastAsia="Times New Roman" w:hAnsi="Times New Roman"/>
          <w:sz w:val="18"/>
          <w:szCs w:val="18"/>
          <w:color w:val="auto"/>
        </w:rPr>
        <w:t>. During the Employment Term, Executive shall be paid a travel allowance in the amount of $30,000.00 per calendar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u w:val="single" w:color="auto"/>
          <w:color w:val="auto"/>
        </w:rPr>
        <w:t>Travel Allowance</w:t>
      </w:r>
      <w:r>
        <w:rPr>
          <w:rFonts w:ascii="Times New Roman" w:cs="Times New Roman" w:eastAsia="Times New Roman" w:hAnsi="Times New Roman"/>
          <w:sz w:val="18"/>
          <w:szCs w:val="18"/>
          <w:color w:val="auto"/>
        </w:rPr>
        <w:t>”) which is intended to be used for Executive’s expenses related to travel between Executive’s home office and the Location as provided in Section 3(c) (e.g., airfare, taxi, ride share and/or rental car, hotel and meals). The Travel Allowance shall be paid in the first payroll of the applicable calendar quarter to which the Travel Allowance relates (or as soon as practicable thereafter). Notwithstanding the foregoing, in the event the Company amends its expense reimbursement policy so that the travel expenses described in this Section 4(j) would be covered under such policy as a permitted business expense, this Section 4(j) will become null and void and no further Travel Allowance payments will be made under this Section 4(j). In no event will the Travel Allowance be deemed to be part of Executive’s Base Salary or bonus for purposes of this Agreement, the LTIP, the Annual Incentive Plan or for any other purpose.</w:t>
      </w:r>
    </w:p>
    <w:p>
      <w:pPr>
        <w:spacing w:after="0" w:line="159" w:lineRule="exact"/>
        <w:rPr>
          <w:rFonts w:ascii="Times New Roman" w:cs="Times New Roman" w:eastAsia="Times New Roman" w:hAnsi="Times New Roman"/>
          <w:sz w:val="18"/>
          <w:szCs w:val="18"/>
          <w:b w:val="1"/>
          <w:bCs w:val="1"/>
          <w:color w:val="auto"/>
        </w:rPr>
      </w:pPr>
    </w:p>
    <w:p>
      <w:pPr>
        <w:ind w:left="561" w:hanging="373"/>
        <w:spacing w:after="0"/>
        <w:tabs>
          <w:tab w:leader="none" w:pos="561" w:val="left"/>
        </w:tabs>
        <w:numPr>
          <w:ilvl w:val="1"/>
          <w:numId w:val="11"/>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T</w:t>
      </w:r>
      <w:r>
        <w:rPr>
          <w:rFonts w:ascii="Times New Roman" w:cs="Times New Roman" w:eastAsia="Times New Roman" w:hAnsi="Times New Roman"/>
          <w:sz w:val="12"/>
          <w:szCs w:val="12"/>
          <w:b w:val="1"/>
          <w:bCs w:val="1"/>
          <w:color w:val="0000FF"/>
        </w:rPr>
        <w:t>ERMINATION OF</w:t>
      </w:r>
      <w:r>
        <w:rPr>
          <w:rFonts w:ascii="Times New Roman" w:cs="Times New Roman" w:eastAsia="Times New Roman" w:hAnsi="Times New Roman"/>
          <w:sz w:val="18"/>
          <w:szCs w:val="18"/>
          <w:b w:val="1"/>
          <w:bCs w:val="1"/>
          <w:color w:val="0000FF"/>
        </w:rPr>
        <w:t xml:space="preserve"> E</w:t>
      </w:r>
      <w:r>
        <w:rPr>
          <w:rFonts w:ascii="Times New Roman" w:cs="Times New Roman" w:eastAsia="Times New Roman" w:hAnsi="Times New Roman"/>
          <w:sz w:val="12"/>
          <w:szCs w:val="12"/>
          <w:b w:val="1"/>
          <w:bCs w:val="1"/>
          <w:color w:val="0000FF"/>
        </w:rPr>
        <w:t>MPLOYMENT</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jc w:val="both"/>
        <w:ind w:left="1"/>
        <w:spacing w:after="0" w:line="247" w:lineRule="auto"/>
        <w:rPr>
          <w:sz w:val="20"/>
          <w:szCs w:val="20"/>
          <w:color w:val="auto"/>
        </w:rPr>
      </w:pPr>
      <w:r>
        <w:rPr>
          <w:rFonts w:ascii="Times New Roman" w:cs="Times New Roman" w:eastAsia="Times New Roman" w:hAnsi="Times New Roman"/>
          <w:sz w:val="18"/>
          <w:szCs w:val="18"/>
          <w:color w:val="auto"/>
        </w:rPr>
        <w:t>Executive’s employment under this Agreement may be terminated under any of the circumstances set forth in this Section 5. Upon termination, Executive (or his beneficiary or estate, as the case may be) shall be entitled to receive the compensation and benefits described in Section 6 below, and, if applicable, Section 7 below.</w:t>
      </w:r>
    </w:p>
    <w:p>
      <w:pPr>
        <w:spacing w:after="0" w:line="152" w:lineRule="exact"/>
        <w:rPr>
          <w:sz w:val="20"/>
          <w:szCs w:val="20"/>
          <w:color w:val="auto"/>
        </w:rPr>
      </w:pPr>
    </w:p>
    <w:p>
      <w:pPr>
        <w:ind w:left="741" w:hanging="741"/>
        <w:spacing w:after="0"/>
        <w:tabs>
          <w:tab w:leader="none" w:pos="74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Executive’s employment shall terminate upon Executive’s death.</w:t>
      </w:r>
    </w:p>
    <w:p>
      <w:pPr>
        <w:spacing w:after="0" w:line="190" w:lineRule="exact"/>
        <w:rPr>
          <w:rFonts w:ascii="Times New Roman" w:cs="Times New Roman" w:eastAsia="Times New Roman" w:hAnsi="Times New Roman"/>
          <w:sz w:val="18"/>
          <w:szCs w:val="18"/>
          <w:b w:val="1"/>
          <w:bCs w:val="1"/>
          <w:color w:val="auto"/>
        </w:rPr>
      </w:pPr>
    </w:p>
    <w:p>
      <w:pPr>
        <w:jc w:val="both"/>
        <w:ind w:left="741" w:hanging="741"/>
        <w:spacing w:after="0" w:line="234" w:lineRule="auto"/>
        <w:tabs>
          <w:tab w:leader="none" w:pos="74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In the event of the Executive’s disability and to the extent permitted by applicable law, the Company shall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the Executive’s employment effective immediately upon written notice from the Company. The term “Disability” for purposes of this Agreement shall mean Executive’s inability, due to illness, accident or any other physical or mental incapacity or disability, to perform the material functions of his duties to the Company, with or without reasonable accommodation, for a period of ninety (90) consecutive days or for a total of one hundred twenty (120) days (whether or not consecutive) in any twelve (12) month period, as determined by a reputable healthcare provider selected by the Company). Notwithstanding anything to the contrary contained herein, Executive’s employment shall not be terminated for Disability under any circumstances that would violate Executive’s rights to reasonable accommodation and protected leave under applicable laws protecting individuals with disabilities and requiring employers to provide protected leave. Likewise, notwithstanding anything to the contrary contained herein, nothing in this Agreement shall be construed as in any way limiting the Company’s right/ability to assert/establish that any reasonable accommodation proposed by or on behalf of Executive would constitute an undue hardship for the Company. Executive’s eligibility for, and compensation pursuant to, the Company’s short-term and long-term disability plans during</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3" w:right="339" w:bottom="1440" w:gutter="0" w:footer="0" w:header="0"/>
        </w:sectPr>
      </w:pPr>
    </w:p>
    <w:bookmarkStart w:id="9" w:name="page10"/>
    <w:bookmarkEnd w:id="9"/>
    <w:p>
      <w:pPr>
        <w:ind w:left="741"/>
        <w:spacing w:after="0"/>
        <w:rPr>
          <w:sz w:val="20"/>
          <w:szCs w:val="20"/>
          <w:color w:val="auto"/>
        </w:rPr>
      </w:pPr>
      <w:r>
        <w:rPr>
          <w:rFonts w:ascii="Times New Roman" w:cs="Times New Roman" w:eastAsia="Times New Roman" w:hAnsi="Times New Roman"/>
          <w:sz w:val="18"/>
          <w:szCs w:val="18"/>
          <w:color w:val="auto"/>
        </w:rPr>
        <w:t>the period in which he is disabled within the meaning of this Agreement shall be exclusively governed by such plans.</w:t>
      </w:r>
    </w:p>
    <w:p>
      <w:pPr>
        <w:spacing w:after="0" w:line="186" w:lineRule="exact"/>
        <w:rPr>
          <w:sz w:val="20"/>
          <w:szCs w:val="20"/>
          <w:color w:val="auto"/>
        </w:rPr>
      </w:pPr>
    </w:p>
    <w:p>
      <w:pPr>
        <w:jc w:val="both"/>
        <w:ind w:left="741" w:hanging="741"/>
        <w:spacing w:after="0" w:line="236" w:lineRule="auto"/>
        <w:tabs>
          <w:tab w:leader="none" w:pos="74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the Company for Justifiable Cause</w:t>
      </w:r>
      <w:r>
        <w:rPr>
          <w:rFonts w:ascii="Times New Roman" w:cs="Times New Roman" w:eastAsia="Times New Roman" w:hAnsi="Times New Roman"/>
          <w:sz w:val="18"/>
          <w:szCs w:val="18"/>
          <w:color w:val="auto"/>
        </w:rPr>
        <w:t>. The Company may terminate Executive’s employment for Justifiable Cause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providing written notice to Executive. Following delivery of such written notice from the Company, Executive (or his counsel) will have a ten (10) business day period to discuss the termination with the Board (or its counsel) to provide information to the Board (or its counsel) which Executive believes establishes either the absence of Justifiable Cause, if any, or that the Justifiable Cause event has been cured in full and to request a reconsideration of the termination by the Board. If a reconsideration is requested, the Company shall place Executive on unpaid administrative leave and defer the termination decision until the Company communicates its final decision regarding termination to Executive. If the Company’s final determination is that Executive will not be terminated, Executive will be taken off administrative leave. For purposes of this Agreement, the term “</w:t>
      </w:r>
      <w:r>
        <w:rPr>
          <w:rFonts w:ascii="Times New Roman" w:cs="Times New Roman" w:eastAsia="Times New Roman" w:hAnsi="Times New Roman"/>
          <w:sz w:val="18"/>
          <w:szCs w:val="18"/>
          <w:i w:val="1"/>
          <w:iCs w:val="1"/>
          <w:u w:val="single" w:color="auto"/>
          <w:color w:val="auto"/>
        </w:rPr>
        <w:t>Justifiable Cause</w:t>
      </w:r>
      <w:r>
        <w:rPr>
          <w:rFonts w:ascii="Times New Roman" w:cs="Times New Roman" w:eastAsia="Times New Roman" w:hAnsi="Times New Roman"/>
          <w:sz w:val="18"/>
          <w:szCs w:val="18"/>
          <w:color w:val="auto"/>
        </w:rPr>
        <w:t>” shall mean:</w:t>
      </w:r>
    </w:p>
    <w:p>
      <w:pPr>
        <w:spacing w:after="0" w:line="163"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indictment by federal or state authorities in respect of any crime that involves theft, dishonesty or breach of trust;</w:t>
      </w:r>
    </w:p>
    <w:p>
      <w:pPr>
        <w:spacing w:after="0" w:line="190"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conviction of any felony;</w:t>
      </w:r>
    </w:p>
    <w:p>
      <w:pPr>
        <w:spacing w:after="0" w:line="190"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Executive’s failure or refusal to perform lawful material duties consistent with Executive’s position;</w:t>
      </w:r>
    </w:p>
    <w:p>
      <w:pPr>
        <w:spacing w:after="0" w:line="190"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fraud or embezzlement of Company property or assets;</w:t>
      </w:r>
    </w:p>
    <w:p>
      <w:pPr>
        <w:spacing w:after="0" w:line="190"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material and uncured violation by Executive of the Company’s Code of Business Conduct and Ethics, the Code of Ethics for Directors, Officers and Financial Professionals or any other material Company policy;</w:t>
      </w:r>
    </w:p>
    <w:p>
      <w:pPr>
        <w:spacing w:after="0" w:line="140"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intentional acts by Executive of misconduct, moral turpitude or malfeasance (intentional or reckless wrongdoing with or without malicious or tortious intent) that has a material adverse effect on the Company; or</w:t>
      </w:r>
    </w:p>
    <w:p>
      <w:pPr>
        <w:spacing w:after="0" w:line="140" w:lineRule="exact"/>
        <w:rPr>
          <w:rFonts w:ascii="Times New Roman" w:cs="Times New Roman" w:eastAsia="Times New Roman" w:hAnsi="Times New Roman"/>
          <w:sz w:val="18"/>
          <w:szCs w:val="18"/>
          <w:b w:val="1"/>
          <w:bCs w:val="1"/>
          <w:color w:val="auto"/>
        </w:rPr>
      </w:pPr>
    </w:p>
    <w:p>
      <w:pPr>
        <w:ind w:left="1161" w:hanging="786"/>
        <w:spacing w:after="0"/>
        <w:tabs>
          <w:tab w:leader="none" w:pos="116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breach or violation by Executive of any material provision of this Agreement.</w:t>
      </w:r>
    </w:p>
    <w:p>
      <w:pPr>
        <w:spacing w:after="0" w:line="190" w:lineRule="exact"/>
        <w:rPr>
          <w:sz w:val="20"/>
          <w:szCs w:val="20"/>
          <w:color w:val="auto"/>
        </w:rPr>
      </w:pPr>
    </w:p>
    <w:p>
      <w:pPr>
        <w:ind w:left="741"/>
        <w:spacing w:after="0"/>
        <w:rPr>
          <w:sz w:val="20"/>
          <w:szCs w:val="20"/>
          <w:color w:val="auto"/>
        </w:rPr>
      </w:pPr>
      <w:r>
        <w:rPr>
          <w:rFonts w:ascii="Times New Roman" w:cs="Times New Roman" w:eastAsia="Times New Roman" w:hAnsi="Times New Roman"/>
          <w:sz w:val="18"/>
          <w:szCs w:val="18"/>
          <w:color w:val="auto"/>
        </w:rPr>
        <w:t>For the avoidance of doubt, Executive’s good faith error in judgment in the normal course of business shall not constitute Justifiable Cause.</w:t>
      </w:r>
    </w:p>
    <w:p>
      <w:pPr>
        <w:spacing w:after="0" w:line="186" w:lineRule="exact"/>
        <w:rPr>
          <w:sz w:val="20"/>
          <w:szCs w:val="20"/>
          <w:color w:val="auto"/>
        </w:rPr>
      </w:pPr>
    </w:p>
    <w:p>
      <w:pPr>
        <w:jc w:val="both"/>
        <w:ind w:left="741" w:hanging="741"/>
        <w:spacing w:after="0" w:line="236" w:lineRule="auto"/>
        <w:tabs>
          <w:tab w:leader="none" w:pos="741"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the Company without Justifiable Cause</w:t>
      </w:r>
      <w:r>
        <w:rPr>
          <w:rFonts w:ascii="Times New Roman" w:cs="Times New Roman" w:eastAsia="Times New Roman" w:hAnsi="Times New Roman"/>
          <w:sz w:val="18"/>
          <w:szCs w:val="18"/>
          <w:color w:val="auto"/>
        </w:rPr>
        <w:t>. The Company may terminate Executive’s employment without Justifiable Cause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after providing written notice to Executive. For the avoidance of doubt, a termination of Executive’s employment at the expiration of the Initial Term shall not be deemed a termination without Justifiable Cause. A termination of employment that meets the requirements of a Structured Retirement (as defined in the LTIP) and that occurs prior to the expiration of the Initial Term shall be deemed to be a termination by the Company without Justifiable Cause for purposes of this Agreement (other than with respect to Section 8 of this Agreement); provided, however, a termination of employment that meets the requirements of a Structured Retirement and that occurs at any time during the Employment Term (including after the Initial Term) shall be deemed to be a termination by the Company without Justifiable Cause for purposes of Section 4(h) only.</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0" w:name="page11"/>
    <w:bookmarkEnd w:id="10"/>
    <w:p>
      <w:pPr>
        <w:ind w:left="741" w:hanging="741"/>
        <w:spacing w:after="0" w:line="268" w:lineRule="auto"/>
        <w:tabs>
          <w:tab w:leader="none" w:pos="74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Executive without Good Reason. </w:t>
      </w:r>
      <w:r>
        <w:rPr>
          <w:rFonts w:ascii="Times New Roman" w:cs="Times New Roman" w:eastAsia="Times New Roman" w:hAnsi="Times New Roman"/>
          <w:sz w:val="18"/>
          <w:szCs w:val="18"/>
          <w:color w:val="auto"/>
        </w:rPr>
        <w:t>Executive may terminate his employment under this Agreement after providing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thirty (30) days’ advance written notice to the Company.</w:t>
      </w:r>
    </w:p>
    <w:p>
      <w:pPr>
        <w:spacing w:after="0" w:line="133" w:lineRule="exact"/>
        <w:rPr>
          <w:rFonts w:ascii="Times New Roman" w:cs="Times New Roman" w:eastAsia="Times New Roman" w:hAnsi="Times New Roman"/>
          <w:sz w:val="18"/>
          <w:szCs w:val="18"/>
          <w:b w:val="1"/>
          <w:bCs w:val="1"/>
          <w:color w:val="auto"/>
        </w:rPr>
      </w:pPr>
    </w:p>
    <w:p>
      <w:pPr>
        <w:jc w:val="both"/>
        <w:ind w:left="741" w:hanging="741"/>
        <w:spacing w:after="0" w:line="234" w:lineRule="auto"/>
        <w:tabs>
          <w:tab w:leader="none" w:pos="74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Executive with Good Reason. </w:t>
      </w:r>
      <w:r>
        <w:rPr>
          <w:rFonts w:ascii="Times New Roman" w:cs="Times New Roman" w:eastAsia="Times New Roman" w:hAnsi="Times New Roman"/>
          <w:sz w:val="18"/>
          <w:szCs w:val="18"/>
          <w:color w:val="auto"/>
        </w:rPr>
        <w:t>Executive may terminate his employment under this Agreement for Good Reason.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w:t>
      </w:r>
      <w:r>
        <w:rPr>
          <w:rFonts w:ascii="Times New Roman" w:cs="Times New Roman" w:eastAsia="Times New Roman" w:hAnsi="Times New Roman"/>
          <w:sz w:val="18"/>
          <w:szCs w:val="18"/>
          <w:i w:val="1"/>
          <w:iCs w:val="1"/>
          <w:u w:val="single" w:color="auto"/>
          <w:color w:val="auto"/>
        </w:rPr>
        <w:t>Good Reason</w:t>
      </w:r>
      <w:r>
        <w:rPr>
          <w:rFonts w:ascii="Times New Roman" w:cs="Times New Roman" w:eastAsia="Times New Roman" w:hAnsi="Times New Roman"/>
          <w:sz w:val="18"/>
          <w:szCs w:val="18"/>
          <w:color w:val="auto"/>
        </w:rPr>
        <w:t>” shall mean termination by Executive within ninety (90) days of the initial existence of one of the conditions described below which occurs without Executive’s prior written consent prior to the expiration of the Initial Term: (i) a material diminution in Executive’s Base Salary that is not also broadly and consistently applied to the Company’s executive management team (but in no event more than a 10% reduction from Executive’s highest Base Salary in effect during the Employment Term); (ii) a material diminution in the authority, duties, or responsibilities of the supervisor to whom the Executive is required to report, including a requirement that the Executive report to a corporate officer or employee instead of reporting directly to the Board; (iii) a material diminution in Executive’s Position, authority, duties, or responsibilities; or (iv) any other action or inaction that constitutes a material breach of the Agreement by the Company. For the avoidance of doubt, a requirement that Executive report to a board of directors that is not the board of directors of a public company will be deemed to be a Good Reason condition. In order to terminate for Good Reason, Executive must provide notice to the Company of the existence of the applicable condition described above within thirty (30) days of Executive first becoming aware of the condition, upon the notice of which the Company must be provided a period of sixty (60) days during which it may remedy the condition. For the avoidance of doubt, a termination of Executive’s employment at the expiration of the Initial Term shall not be deemed a termination with Good Reason.</w:t>
      </w:r>
    </w:p>
    <w:p>
      <w:pPr>
        <w:spacing w:after="0" w:line="157" w:lineRule="exact"/>
        <w:rPr>
          <w:rFonts w:ascii="Times New Roman" w:cs="Times New Roman" w:eastAsia="Times New Roman" w:hAnsi="Times New Roman"/>
          <w:sz w:val="18"/>
          <w:szCs w:val="18"/>
          <w:b w:val="1"/>
          <w:bCs w:val="1"/>
          <w:color w:val="auto"/>
        </w:rPr>
      </w:pPr>
    </w:p>
    <w:p>
      <w:pPr>
        <w:jc w:val="both"/>
        <w:ind w:left="741" w:hanging="741"/>
        <w:spacing w:after="0"/>
        <w:tabs>
          <w:tab w:leader="none" w:pos="74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upon Expiration of Initial Term or any Extended Term. </w:t>
      </w:r>
      <w:r>
        <w:rPr>
          <w:rFonts w:ascii="Times New Roman" w:cs="Times New Roman" w:eastAsia="Times New Roman" w:hAnsi="Times New Roman"/>
          <w:sz w:val="18"/>
          <w:szCs w:val="18"/>
          <w:color w:val="auto"/>
        </w:rPr>
        <w:t>Executive’s employment shall terminate at the expiration of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 or any extended term if the Agreement is not renewed in accordance with Section 2 of this Agreement. A termination of Executive’s employment at the end of any extended term (but not at the expiration of the Initial Term) due to the Company’s decision not to extend the Agreement other than due to Executive’s death, Disability or for Justifiable Cause, shall be deemed a termination without Justifiable Cause. The Parties agree that if the Agreement is not renewed by the Company at the end of the Initial Term and Executive’s employment terminates upon such expiration for any reason (including due to a Structured Retirement)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due to Executive’s death, Disability or for Justifiable Cause, Executive shall be eligible to be paid severance pursuant to Section 7(b)(iii) of this Agreement, subject to the requirements of this Agreement.</w:t>
      </w:r>
    </w:p>
    <w:p>
      <w:pPr>
        <w:spacing w:after="0" w:line="339" w:lineRule="exact"/>
        <w:rPr>
          <w:rFonts w:ascii="Times New Roman" w:cs="Times New Roman" w:eastAsia="Times New Roman" w:hAnsi="Times New Roman"/>
          <w:sz w:val="18"/>
          <w:szCs w:val="18"/>
          <w:b w:val="1"/>
          <w:bCs w:val="1"/>
          <w:color w:val="auto"/>
        </w:rPr>
      </w:pPr>
    </w:p>
    <w:p>
      <w:pPr>
        <w:jc w:val="both"/>
        <w:ind w:left="741" w:hanging="741"/>
        <w:spacing w:after="0" w:line="249" w:lineRule="auto"/>
        <w:tabs>
          <w:tab w:leader="none" w:pos="74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Board Resignation(s). </w:t>
      </w:r>
      <w:r>
        <w:rPr>
          <w:rFonts w:ascii="Times New Roman" w:cs="Times New Roman" w:eastAsia="Times New Roman" w:hAnsi="Times New Roman"/>
          <w:sz w:val="18"/>
          <w:szCs w:val="18"/>
          <w:color w:val="auto"/>
        </w:rPr>
        <w:t>Upon termination of Executive’s employment with the Company, for any reason, Executive shall resign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Board and from all affiliate boards of directors, if any, on which he is then currently serving as an officer of such affiliates, and agrees to execute such documents as are reasonably necessary or appropriate to effectuate such resignations.</w:t>
      </w:r>
    </w:p>
    <w:p>
      <w:pPr>
        <w:spacing w:after="0" w:line="150" w:lineRule="exact"/>
        <w:rPr>
          <w:rFonts w:ascii="Times New Roman" w:cs="Times New Roman" w:eastAsia="Times New Roman" w:hAnsi="Times New Roman"/>
          <w:sz w:val="18"/>
          <w:szCs w:val="18"/>
          <w:b w:val="1"/>
          <w:bCs w:val="1"/>
          <w:color w:val="auto"/>
        </w:rPr>
      </w:pPr>
    </w:p>
    <w:p>
      <w:pPr>
        <w:jc w:val="both"/>
        <w:ind w:left="741" w:hanging="741"/>
        <w:spacing w:after="0" w:line="243" w:lineRule="auto"/>
        <w:tabs>
          <w:tab w:leader="none" w:pos="74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Board Deliberations Concerning Executive. </w:t>
      </w:r>
      <w:r>
        <w:rPr>
          <w:rFonts w:ascii="Times New Roman" w:cs="Times New Roman" w:eastAsia="Times New Roman" w:hAnsi="Times New Roman"/>
          <w:sz w:val="18"/>
          <w:szCs w:val="18"/>
          <w:color w:val="auto"/>
        </w:rPr>
        <w:t>Executive understands and agrees that, regardless of whether he is serving as a Director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at the time, he shall not participate in any deliberations or actions undertaken by the Board with respect to any determination that the Board may consider reaching with respect to matters covered by this Section 5. Notwithstanding the foregoing, at any time the Board is considering matters covered by this Section 5, Executive shall be provided a meaningful opportunity to address the Board on his own behalf.</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3" w:right="339" w:bottom="1440" w:gutter="0" w:footer="0" w:header="0"/>
        </w:sectPr>
      </w:pPr>
    </w:p>
    <w:bookmarkStart w:id="11" w:name="page12"/>
    <w:bookmarkEnd w:id="11"/>
    <w:p>
      <w:pPr>
        <w:ind w:left="561" w:hanging="373"/>
        <w:spacing w:after="0"/>
        <w:tabs>
          <w:tab w:leader="none" w:pos="561" w:val="left"/>
        </w:tabs>
        <w:numPr>
          <w:ilvl w:val="0"/>
          <w:numId w:val="16"/>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C</w:t>
      </w:r>
      <w:r>
        <w:rPr>
          <w:rFonts w:ascii="Times New Roman" w:cs="Times New Roman" w:eastAsia="Times New Roman" w:hAnsi="Times New Roman"/>
          <w:sz w:val="12"/>
          <w:szCs w:val="12"/>
          <w:b w:val="1"/>
          <w:bCs w:val="1"/>
          <w:color w:val="0000FF"/>
        </w:rPr>
        <w:t>OMPENSATION</w:t>
      </w:r>
      <w:r>
        <w:rPr>
          <w:rFonts w:ascii="Times New Roman" w:cs="Times New Roman" w:eastAsia="Times New Roman" w:hAnsi="Times New Roman"/>
          <w:sz w:val="18"/>
          <w:szCs w:val="18"/>
          <w:b w:val="1"/>
          <w:bCs w:val="1"/>
          <w:color w:val="0000FF"/>
        </w:rPr>
        <w:t xml:space="preserve"> F</w:t>
      </w:r>
      <w:r>
        <w:rPr>
          <w:rFonts w:ascii="Times New Roman" w:cs="Times New Roman" w:eastAsia="Times New Roman" w:hAnsi="Times New Roman"/>
          <w:sz w:val="12"/>
          <w:szCs w:val="12"/>
          <w:b w:val="1"/>
          <w:bCs w:val="1"/>
          <w:color w:val="0000FF"/>
        </w:rPr>
        <w:t>OLLOWING</w:t>
      </w:r>
      <w:r>
        <w:rPr>
          <w:rFonts w:ascii="Times New Roman" w:cs="Times New Roman" w:eastAsia="Times New Roman" w:hAnsi="Times New Roman"/>
          <w:sz w:val="18"/>
          <w:szCs w:val="18"/>
          <w:b w:val="1"/>
          <w:bCs w:val="1"/>
          <w:color w:val="0000FF"/>
        </w:rPr>
        <w:t xml:space="preserve"> T</w:t>
      </w:r>
      <w:r>
        <w:rPr>
          <w:rFonts w:ascii="Times New Roman" w:cs="Times New Roman" w:eastAsia="Times New Roman" w:hAnsi="Times New Roman"/>
          <w:sz w:val="12"/>
          <w:szCs w:val="12"/>
          <w:b w:val="1"/>
          <w:bCs w:val="1"/>
          <w:color w:val="0000FF"/>
        </w:rPr>
        <w:t>ERMINATION OF</w:t>
      </w:r>
      <w:r>
        <w:rPr>
          <w:rFonts w:ascii="Times New Roman" w:cs="Times New Roman" w:eastAsia="Times New Roman" w:hAnsi="Times New Roman"/>
          <w:sz w:val="18"/>
          <w:szCs w:val="18"/>
          <w:b w:val="1"/>
          <w:bCs w:val="1"/>
          <w:color w:val="0000FF"/>
        </w:rPr>
        <w:t xml:space="preserve"> E</w:t>
      </w:r>
      <w:r>
        <w:rPr>
          <w:rFonts w:ascii="Times New Roman" w:cs="Times New Roman" w:eastAsia="Times New Roman" w:hAnsi="Times New Roman"/>
          <w:sz w:val="12"/>
          <w:szCs w:val="12"/>
          <w:b w:val="1"/>
          <w:bCs w:val="1"/>
          <w:color w:val="0000FF"/>
        </w:rPr>
        <w:t>MPLOYMENT</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Upon termination of Executive’s employment under this Agreement for any reason, Executive (or his designated beneficiary or estate, as the case may be)</w:t>
      </w:r>
    </w:p>
    <w:p>
      <w:pPr>
        <w:spacing w:after="0" w:line="1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shall be entitled to receive the following compensation:</w:t>
      </w:r>
    </w:p>
    <w:p>
      <w:pPr>
        <w:spacing w:after="0" w:line="166" w:lineRule="exact"/>
        <w:rPr>
          <w:sz w:val="20"/>
          <w:szCs w:val="20"/>
          <w:color w:val="auto"/>
        </w:rPr>
      </w:pPr>
    </w:p>
    <w:p>
      <w:pPr>
        <w:jc w:val="both"/>
        <w:ind w:left="741" w:hanging="741"/>
        <w:spacing w:after="0" w:line="243" w:lineRule="auto"/>
        <w:tabs>
          <w:tab w:leader="none" w:pos="74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Earned but Unpaid Compensation, Expense Reimbursement</w:t>
      </w:r>
      <w:r>
        <w:rPr>
          <w:rFonts w:ascii="Times New Roman" w:cs="Times New Roman" w:eastAsia="Times New Roman" w:hAnsi="Times New Roman"/>
          <w:sz w:val="18"/>
          <w:szCs w:val="18"/>
          <w:color w:val="auto"/>
        </w:rPr>
        <w:t>. The Company shall pay Executive any accrued but unpaid Base Salary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rendered to the date of termination, any accrued but unpaid expenses required to be reimbursed under this Agreement, any accrued but unused vacation as of the termination date, and any unpaid annual bonus earned with respect to a prior year (but only to the extent provided in the Annual Incentive Plan and Section 4(h)).</w:t>
      </w:r>
    </w:p>
    <w:p>
      <w:pPr>
        <w:spacing w:after="0" w:line="155" w:lineRule="exact"/>
        <w:rPr>
          <w:rFonts w:ascii="Times New Roman" w:cs="Times New Roman" w:eastAsia="Times New Roman" w:hAnsi="Times New Roman"/>
          <w:sz w:val="18"/>
          <w:szCs w:val="18"/>
          <w:b w:val="1"/>
          <w:bCs w:val="1"/>
          <w:color w:val="auto"/>
        </w:rPr>
      </w:pPr>
    </w:p>
    <w:p>
      <w:pPr>
        <w:ind w:left="741" w:hanging="741"/>
        <w:spacing w:after="0"/>
        <w:tabs>
          <w:tab w:leader="none" w:pos="74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and Benefits</w:t>
      </w:r>
      <w:r>
        <w:rPr>
          <w:rFonts w:ascii="Times New Roman" w:cs="Times New Roman" w:eastAsia="Times New Roman" w:hAnsi="Times New Roman"/>
          <w:sz w:val="18"/>
          <w:szCs w:val="18"/>
          <w:color w:val="auto"/>
        </w:rPr>
        <w:t>. Except as may be provided under this Agreement,</w:t>
      </w:r>
    </w:p>
    <w:p>
      <w:pPr>
        <w:spacing w:after="0" w:line="194"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to which Executive may be entitled pursuant to the plans, policies and arrangements referred to in Section 4(c) above shall be determined and paid in accordance with the terms of such plans, policies and arrangements, and</w:t>
      </w:r>
    </w:p>
    <w:p>
      <w:pPr>
        <w:spacing w:after="0" w:line="140"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have no right to receive any other compensation, or to participate in any other plan, arrangement or benefit, with respect to future periods after such termination or resignation except as otherwise provided in such plans.</w:t>
      </w:r>
    </w:p>
    <w:p>
      <w:pPr>
        <w:spacing w:after="0" w:line="136" w:lineRule="exact"/>
        <w:rPr>
          <w:rFonts w:ascii="Times New Roman" w:cs="Times New Roman" w:eastAsia="Times New Roman" w:hAnsi="Times New Roman"/>
          <w:sz w:val="18"/>
          <w:szCs w:val="18"/>
          <w:b w:val="1"/>
          <w:bCs w:val="1"/>
          <w:color w:val="auto"/>
        </w:rPr>
      </w:pPr>
    </w:p>
    <w:p>
      <w:pPr>
        <w:ind w:left="561" w:hanging="373"/>
        <w:spacing w:after="0"/>
        <w:tabs>
          <w:tab w:leader="none" w:pos="561" w:val="left"/>
        </w:tabs>
        <w:numPr>
          <w:ilvl w:val="1"/>
          <w:numId w:val="17"/>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A</w:t>
      </w:r>
      <w:r>
        <w:rPr>
          <w:rFonts w:ascii="Times New Roman" w:cs="Times New Roman" w:eastAsia="Times New Roman" w:hAnsi="Times New Roman"/>
          <w:sz w:val="12"/>
          <w:szCs w:val="12"/>
          <w:b w:val="1"/>
          <w:bCs w:val="1"/>
          <w:color w:val="0000FF"/>
        </w:rPr>
        <w:t>DDITIONAL</w:t>
      </w:r>
      <w:r>
        <w:rPr>
          <w:rFonts w:ascii="Times New Roman" w:cs="Times New Roman" w:eastAsia="Times New Roman" w:hAnsi="Times New Roman"/>
          <w:sz w:val="18"/>
          <w:szCs w:val="18"/>
          <w:b w:val="1"/>
          <w:bCs w:val="1"/>
          <w:color w:val="0000FF"/>
        </w:rPr>
        <w:t xml:space="preserve"> C</w:t>
      </w:r>
      <w:r>
        <w:rPr>
          <w:rFonts w:ascii="Times New Roman" w:cs="Times New Roman" w:eastAsia="Times New Roman" w:hAnsi="Times New Roman"/>
          <w:sz w:val="12"/>
          <w:szCs w:val="12"/>
          <w:b w:val="1"/>
          <w:bCs w:val="1"/>
          <w:color w:val="0000FF"/>
        </w:rPr>
        <w:t>OMPENSATION</w:t>
      </w:r>
      <w:r>
        <w:rPr>
          <w:rFonts w:ascii="Times New Roman" w:cs="Times New Roman" w:eastAsia="Times New Roman" w:hAnsi="Times New Roman"/>
          <w:sz w:val="18"/>
          <w:szCs w:val="18"/>
          <w:b w:val="1"/>
          <w:bCs w:val="1"/>
          <w:color w:val="0000FF"/>
        </w:rPr>
        <w:t xml:space="preserve"> P</w:t>
      </w:r>
      <w:r>
        <w:rPr>
          <w:rFonts w:ascii="Times New Roman" w:cs="Times New Roman" w:eastAsia="Times New Roman" w:hAnsi="Times New Roman"/>
          <w:sz w:val="12"/>
          <w:szCs w:val="12"/>
          <w:b w:val="1"/>
          <w:bCs w:val="1"/>
          <w:color w:val="0000FF"/>
        </w:rPr>
        <w:t>AYABLE</w:t>
      </w:r>
      <w:r>
        <w:rPr>
          <w:rFonts w:ascii="Times New Roman" w:cs="Times New Roman" w:eastAsia="Times New Roman" w:hAnsi="Times New Roman"/>
          <w:sz w:val="18"/>
          <w:szCs w:val="18"/>
          <w:b w:val="1"/>
          <w:bCs w:val="1"/>
          <w:color w:val="0000FF"/>
        </w:rPr>
        <w:t xml:space="preserve"> F</w:t>
      </w:r>
      <w:r>
        <w:rPr>
          <w:rFonts w:ascii="Times New Roman" w:cs="Times New Roman" w:eastAsia="Times New Roman" w:hAnsi="Times New Roman"/>
          <w:sz w:val="12"/>
          <w:szCs w:val="12"/>
          <w:b w:val="1"/>
          <w:bCs w:val="1"/>
          <w:color w:val="0000FF"/>
        </w:rPr>
        <w:t>OLLOWING</w:t>
      </w:r>
      <w:r>
        <w:rPr>
          <w:rFonts w:ascii="Times New Roman" w:cs="Times New Roman" w:eastAsia="Times New Roman" w:hAnsi="Times New Roman"/>
          <w:sz w:val="18"/>
          <w:szCs w:val="18"/>
          <w:b w:val="1"/>
          <w:bCs w:val="1"/>
          <w:color w:val="0000FF"/>
        </w:rPr>
        <w:t xml:space="preserve"> T</w:t>
      </w:r>
      <w:r>
        <w:rPr>
          <w:rFonts w:ascii="Times New Roman" w:cs="Times New Roman" w:eastAsia="Times New Roman" w:hAnsi="Times New Roman"/>
          <w:sz w:val="12"/>
          <w:szCs w:val="12"/>
          <w:b w:val="1"/>
          <w:bCs w:val="1"/>
          <w:color w:val="0000FF"/>
        </w:rPr>
        <w:t>ERMINATION</w:t>
      </w:r>
      <w:r>
        <w:rPr>
          <w:rFonts w:ascii="Times New Roman" w:cs="Times New Roman" w:eastAsia="Times New Roman" w:hAnsi="Times New Roman"/>
          <w:sz w:val="18"/>
          <w:szCs w:val="18"/>
          <w:b w:val="1"/>
          <w:bCs w:val="1"/>
          <w:color w:val="0000FF"/>
        </w:rPr>
        <w:t xml:space="preserve"> I</w:t>
      </w:r>
      <w:r>
        <w:rPr>
          <w:rFonts w:ascii="Times New Roman" w:cs="Times New Roman" w:eastAsia="Times New Roman" w:hAnsi="Times New Roman"/>
          <w:sz w:val="12"/>
          <w:szCs w:val="12"/>
          <w:b w:val="1"/>
          <w:bCs w:val="1"/>
          <w:color w:val="0000FF"/>
        </w:rPr>
        <w:t>N CERTAIN CIRCUMSTANCES</w:t>
      </w:r>
      <w:r>
        <w:rPr>
          <w:rFonts w:ascii="Times New Roman" w:cs="Times New Roman" w:eastAsia="Times New Roman" w:hAnsi="Times New Roman"/>
          <w:sz w:val="18"/>
          <w:szCs w:val="18"/>
          <w:b w:val="1"/>
          <w:bCs w:val="1"/>
          <w:color w:val="0000FF"/>
        </w:rPr>
        <w:t>.</w:t>
      </w:r>
    </w:p>
    <w:p>
      <w:pPr>
        <w:spacing w:after="0" w:line="190" w:lineRule="exact"/>
        <w:rPr>
          <w:sz w:val="20"/>
          <w:szCs w:val="20"/>
          <w:color w:val="auto"/>
        </w:rPr>
      </w:pPr>
    </w:p>
    <w:p>
      <w:pPr>
        <w:ind w:left="741" w:hanging="741"/>
        <w:spacing w:after="0" w:line="268" w:lineRule="auto"/>
        <w:tabs>
          <w:tab w:leader="none" w:pos="74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Requirements for Additional Compensation</w:t>
      </w:r>
      <w:r>
        <w:rPr>
          <w:rFonts w:ascii="Times New Roman" w:cs="Times New Roman" w:eastAsia="Times New Roman" w:hAnsi="Times New Roman"/>
          <w:sz w:val="18"/>
          <w:szCs w:val="18"/>
          <w:color w:val="auto"/>
        </w:rPr>
        <w:t>. In addition to the compensation set forth in Section 6 above, Executive will receive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compensation set forth in the applicable section of subsection (b) below, only if the following requirements are met:</w:t>
      </w:r>
    </w:p>
    <w:p>
      <w:pPr>
        <w:spacing w:after="0" w:line="137" w:lineRule="exact"/>
        <w:rPr>
          <w:rFonts w:ascii="Times New Roman" w:cs="Times New Roman" w:eastAsia="Times New Roman" w:hAnsi="Times New Roman"/>
          <w:sz w:val="18"/>
          <w:szCs w:val="18"/>
          <w:b w:val="1"/>
          <w:bCs w:val="1"/>
          <w:color w:val="auto"/>
        </w:rPr>
      </w:pPr>
    </w:p>
    <w:p>
      <w:pPr>
        <w:jc w:val="both"/>
        <w:ind w:left="1121" w:hanging="746"/>
        <w:spacing w:after="0" w:line="241" w:lineRule="auto"/>
        <w:tabs>
          <w:tab w:leader="none" w:pos="112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Executive’s employment is terminated by the Company without Justifiable Cause pursuant to Section 5(d) or Executive terminates employment for Good Reason pursuant to Section 5(f) during the Initial Term or during any extended one-year term, or Executive is terminated by the Company because the Company timely elects not to renew the Agreement at the expiration of the Initial Term (and the Company does not have a basis to terminate Executive due to Executive’s death, Disability or for Justifiable Cause);</w:t>
      </w:r>
    </w:p>
    <w:p>
      <w:pPr>
        <w:spacing w:after="0" w:line="161"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is not in material breach of the restrictive covenants set forth in Section 8 below and Executive has complied with Section 5(h); and</w:t>
      </w:r>
    </w:p>
    <w:p>
      <w:pPr>
        <w:spacing w:after="0" w:line="140" w:lineRule="exact"/>
        <w:rPr>
          <w:rFonts w:ascii="Times New Roman" w:cs="Times New Roman" w:eastAsia="Times New Roman" w:hAnsi="Times New Roman"/>
          <w:sz w:val="18"/>
          <w:szCs w:val="18"/>
          <w:b w:val="1"/>
          <w:bCs w:val="1"/>
          <w:color w:val="auto"/>
        </w:rPr>
      </w:pPr>
    </w:p>
    <w:p>
      <w:pPr>
        <w:jc w:val="both"/>
        <w:ind w:left="1121" w:hanging="746"/>
        <w:spacing w:after="0" w:line="241" w:lineRule="auto"/>
        <w:tabs>
          <w:tab w:leader="none" w:pos="112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Executive signs (and does not thereafter timely revoke) a general release in a form substantially similar to the form of separation agreement and general release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with such changes as may be required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comply with applicable law, and</w:t>
      </w:r>
    </w:p>
    <w:p>
      <w:pPr>
        <w:spacing w:after="0" w:line="1" w:lineRule="exact"/>
        <w:rPr>
          <w:rFonts w:ascii="Times New Roman" w:cs="Times New Roman" w:eastAsia="Times New Roman" w:hAnsi="Times New Roman"/>
          <w:sz w:val="18"/>
          <w:szCs w:val="18"/>
          <w:b w:val="1"/>
          <w:bCs w:val="1"/>
          <w:color w:val="auto"/>
        </w:rPr>
      </w:pPr>
    </w:p>
    <w:p>
      <w:pPr>
        <w:jc w:val="both"/>
        <w:ind w:left="1121" w:firstLine="4"/>
        <w:spacing w:after="0" w:line="219" w:lineRule="auto"/>
        <w:tabs>
          <w:tab w:leader="none" w:pos="1398" w:val="left"/>
        </w:tabs>
        <w:numPr>
          <w:ilvl w:val="2"/>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preserve all of Executive’s rights with regard to Executive’s vested equity interests in the Company, on or after his employment termination date within the time determined by the Company, but no later than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such termination of employment. For the avoidance of doubt, the Company shall present Executive with the separation agreement and general release referenced above no later than ten (10) days following termination of employment and shall allow Executive at least 21 days to consider the separation agreement and general release prior to Executive’s execution of such separation agreement and general release.</w:t>
      </w:r>
    </w:p>
    <w:p>
      <w:pPr>
        <w:spacing w:after="0" w:line="160" w:lineRule="exact"/>
        <w:rPr>
          <w:rFonts w:ascii="Times New Roman" w:cs="Times New Roman" w:eastAsia="Times New Roman" w:hAnsi="Times New Roman"/>
          <w:sz w:val="18"/>
          <w:szCs w:val="18"/>
          <w:i w:val="1"/>
          <w:iCs w:val="1"/>
          <w:color w:val="auto"/>
        </w:rPr>
      </w:pPr>
    </w:p>
    <w:p>
      <w:pPr>
        <w:ind w:left="741" w:hanging="741"/>
        <w:spacing w:after="0"/>
        <w:tabs>
          <w:tab w:leader="none" w:pos="74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Compensation</w:t>
      </w:r>
      <w:r>
        <w:rPr>
          <w:rFonts w:ascii="Times New Roman" w:cs="Times New Roman" w:eastAsia="Times New Roman" w:hAnsi="Times New Roman"/>
          <w:sz w:val="18"/>
          <w:szCs w:val="18"/>
          <w:color w:val="auto"/>
        </w:rPr>
        <w:t>. The Company shall provide Executive with the following compensation and benefits, as applicable: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3" w:right="339" w:bottom="1440" w:gutter="0" w:footer="0" w:header="0"/>
        </w:sectPr>
      </w:pPr>
    </w:p>
    <w:bookmarkStart w:id="12" w:name="page13"/>
    <w:bookmarkEnd w:id="12"/>
    <w:p>
      <w:pPr>
        <w:ind w:left="746" w:hanging="746"/>
        <w:spacing w:after="0" w:line="268" w:lineRule="auto"/>
        <w:tabs>
          <w:tab w:leader="none" w:pos="74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a Termination by the Company without Justifiable Cause Pursuant to Section 5(d) or by Executive for Good Reason Pursuant to Section 5(f) Occurs During the Initial Term</w:t>
      </w:r>
      <w:r>
        <w:rPr>
          <w:rFonts w:ascii="Times New Roman" w:cs="Times New Roman" w:eastAsia="Times New Roman" w:hAnsi="Times New Roman"/>
          <w:sz w:val="18"/>
          <w:szCs w:val="18"/>
          <w:color w:val="auto"/>
        </w:rPr>
        <w:t>:</w:t>
      </w:r>
    </w:p>
    <w:p>
      <w:pPr>
        <w:spacing w:after="0" w:line="137" w:lineRule="exact"/>
        <w:rPr>
          <w:rFonts w:ascii="Times New Roman" w:cs="Times New Roman" w:eastAsia="Times New Roman" w:hAnsi="Times New Roman"/>
          <w:sz w:val="18"/>
          <w:szCs w:val="18"/>
          <w:b w:val="1"/>
          <w:bCs w:val="1"/>
          <w:color w:val="auto"/>
        </w:rPr>
      </w:pPr>
    </w:p>
    <w:p>
      <w:pPr>
        <w:jc w:val="both"/>
        <w:ind w:left="1506" w:hanging="756"/>
        <w:spacing w:after="0" w:line="228" w:lineRule="auto"/>
        <w:tabs>
          <w:tab w:leader="none" w:pos="15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Payments equal to (i) the Base Salary Executive would have been paid through the end of the Initial Term if Executive had remained employed through such date PLUS (ii) the amounts Executive would have been paid as bonuses under the Company’s Annual Incentive Plan for the remaining partial and complete fiscal years in the Initial Term as if Executive had remained employed through the end of the Initial Term assuming that the annual bonus for each remaining partial or complete fiscal year in such period would have been equal to the target bonus amount (prorated for partial years) using Executive’s Base Salary in effect at the time of Executive’s termination (the “</w:t>
      </w:r>
      <w:r>
        <w:rPr>
          <w:rFonts w:ascii="Times New Roman" w:cs="Times New Roman" w:eastAsia="Times New Roman" w:hAnsi="Times New Roman"/>
          <w:sz w:val="18"/>
          <w:szCs w:val="18"/>
          <w:i w:val="1"/>
          <w:iCs w:val="1"/>
          <w:u w:val="single" w:color="auto"/>
          <w:color w:val="auto"/>
        </w:rPr>
        <w:t>Initial Term Severance Payments</w:t>
      </w:r>
      <w:r>
        <w:rPr>
          <w:rFonts w:ascii="Times New Roman" w:cs="Times New Roman" w:eastAsia="Times New Roman" w:hAnsi="Times New Roman"/>
          <w:sz w:val="18"/>
          <w:szCs w:val="18"/>
          <w:color w:val="auto"/>
        </w:rPr>
        <w:t>”), paid in equal monthly installments over the twenty-four (24) month period immediately following Executive’s termination of employment (the “</w:t>
      </w:r>
      <w:r>
        <w:rPr>
          <w:rFonts w:ascii="Times New Roman" w:cs="Times New Roman" w:eastAsia="Times New Roman" w:hAnsi="Times New Roman"/>
          <w:sz w:val="18"/>
          <w:szCs w:val="18"/>
          <w:i w:val="1"/>
          <w:iCs w:val="1"/>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installment payment of the Initial Term Severance Payments shall be made on the sixtieth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after the date of Executive’s termination, and will include payment of any installment payments that were otherwise due prior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notwithstanding the foregoing, in the event Executive’s termination occurs within the one (1)-year period immediately following a Change in Control, the amount payable pursuant to this Section 7(b)(i)(A) shall instead be an amount equal to (i) two (2) times Executive’s then current Base Salary PLUS (ii) two (2) times Executive’s target bonus under the Company’s Annual Incentive Plan applicable for the fiscal year of termination (the “</w:t>
      </w:r>
      <w:r>
        <w:rPr>
          <w:rFonts w:ascii="Times New Roman" w:cs="Times New Roman" w:eastAsia="Times New Roman" w:hAnsi="Times New Roman"/>
          <w:sz w:val="18"/>
          <w:szCs w:val="18"/>
          <w:i w:val="1"/>
          <w:iCs w:val="1"/>
          <w:u w:val="single" w:color="auto"/>
          <w:color w:val="auto"/>
        </w:rPr>
        <w:t>CIC Severance</w:t>
      </w:r>
      <w:r>
        <w:rPr>
          <w:rFonts w:ascii="Times New Roman" w:cs="Times New Roman" w:eastAsia="Times New Roman" w:hAnsi="Times New Roman"/>
          <w:sz w:val="18"/>
          <w:szCs w:val="18"/>
          <w:color w:val="auto"/>
        </w:rPr>
        <w:t>”), paid in equal monthly installments over the Severance Period and, if Executive’s termination occurs upon or following a Change in Control which constitutes a “change in control event” for purposes of Code Section 409A, then such CIC Severance shall be paid in a single lump sum within sixty (60) days following Executive’s termination of employment (or otherwise shall be payable in monthly installments as originally contemplated by this Section 7(b)(i)(A)); plus</w:t>
      </w:r>
    </w:p>
    <w:p>
      <w:pPr>
        <w:spacing w:after="0" w:line="167" w:lineRule="exact"/>
        <w:rPr>
          <w:rFonts w:ascii="Times New Roman" w:cs="Times New Roman" w:eastAsia="Times New Roman" w:hAnsi="Times New Roman"/>
          <w:sz w:val="18"/>
          <w:szCs w:val="18"/>
          <w:b w:val="1"/>
          <w:bCs w:val="1"/>
          <w:color w:val="auto"/>
        </w:rPr>
      </w:pPr>
    </w:p>
    <w:p>
      <w:pPr>
        <w:jc w:val="both"/>
        <w:ind w:left="1506" w:hanging="756"/>
        <w:spacing w:after="0" w:line="236" w:lineRule="auto"/>
        <w:tabs>
          <w:tab w:leader="none" w:pos="15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(x) Executive’s timely election of continuation coverage under COBRA, and (y) Executive’s continued copayment of premiums at the same level and cost to Executive as if Executive were an employee of the Company (excluding, for purposes of calculating cost, an employee’s ability to pay premiums with pre-tax dollars), continued payment by the Company of his health, dental and vision insurance coverage during the twelve (12) month period following the date of termination to the same extent that the Company paid for such coverage immediately prior to the date of termination, in a manner intended to avoid any excise tax under Section 4980D of the Code, subject to the eligibility requirements and other terms and conditions of such insurance coverage.</w:t>
      </w:r>
    </w:p>
    <w:p>
      <w:pPr>
        <w:spacing w:after="0" w:line="160" w:lineRule="exact"/>
        <w:rPr>
          <w:rFonts w:ascii="Times New Roman" w:cs="Times New Roman" w:eastAsia="Times New Roman" w:hAnsi="Times New Roman"/>
          <w:sz w:val="18"/>
          <w:szCs w:val="18"/>
          <w:b w:val="1"/>
          <w:bCs w:val="1"/>
          <w:color w:val="auto"/>
        </w:rPr>
      </w:pPr>
    </w:p>
    <w:p>
      <w:pPr>
        <w:ind w:left="746" w:hanging="746"/>
        <w:spacing w:after="0" w:line="268" w:lineRule="auto"/>
        <w:tabs>
          <w:tab w:leader="none" w:pos="74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a Termination by the Company without Justifiable Cause Pursuant to Section 5(d) or by Executive for Good Reason Pursuant to Section 5(f) Occurs During any One-Year Term that Commences after the End of the Initial Term</w:t>
      </w:r>
      <w:r>
        <w:rPr>
          <w:rFonts w:ascii="Times New Roman" w:cs="Times New Roman" w:eastAsia="Times New Roman" w:hAnsi="Times New Roman"/>
          <w:sz w:val="18"/>
          <w:szCs w:val="18"/>
          <w:color w:val="auto"/>
        </w:rPr>
        <w:t>:</w:t>
      </w:r>
    </w:p>
    <w:p>
      <w:pPr>
        <w:spacing w:after="0" w:line="137" w:lineRule="exact"/>
        <w:rPr>
          <w:rFonts w:ascii="Times New Roman" w:cs="Times New Roman" w:eastAsia="Times New Roman" w:hAnsi="Times New Roman"/>
          <w:sz w:val="18"/>
          <w:szCs w:val="18"/>
          <w:b w:val="1"/>
          <w:bCs w:val="1"/>
          <w:color w:val="auto"/>
        </w:rPr>
      </w:pPr>
    </w:p>
    <w:p>
      <w:pPr>
        <w:jc w:val="both"/>
        <w:ind w:left="1506" w:hanging="756"/>
        <w:spacing w:after="0" w:line="224" w:lineRule="auto"/>
        <w:tabs>
          <w:tab w:leader="none" w:pos="15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Payments equal to Executive’s then current Base Salary PLUS Executive’s target bonus under the Company’s Annual Incentive Plan using Executive’s Base Salary in effect at the time of Executive’s termination (the “</w:t>
      </w:r>
      <w:r>
        <w:rPr>
          <w:rFonts w:ascii="Times New Roman" w:cs="Times New Roman" w:eastAsia="Times New Roman" w:hAnsi="Times New Roman"/>
          <w:sz w:val="18"/>
          <w:szCs w:val="18"/>
          <w:i w:val="1"/>
          <w:iCs w:val="1"/>
          <w:u w:val="single" w:color="auto"/>
          <w:color w:val="auto"/>
        </w:rPr>
        <w:t>Severance Payments</w:t>
      </w:r>
      <w:r>
        <w:rPr>
          <w:rFonts w:ascii="Times New Roman" w:cs="Times New Roman" w:eastAsia="Times New Roman" w:hAnsi="Times New Roman"/>
          <w:sz w:val="18"/>
          <w:szCs w:val="18"/>
          <w:color w:val="auto"/>
        </w:rPr>
        <w:t xml:space="preserve">”), paid in equal monthly installments over the Severance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installment payment of the Severance Payments shall be made on the sixtieth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after the date of Executive’s termination, and will include payment of any installment payments that were otherwise due prior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notwithstanding the</w:t>
      </w:r>
    </w:p>
    <w:p>
      <w:pPr>
        <w:spacing w:after="0" w:line="162"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184150</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866"/>
          </w:cols>
          <w:pgMar w:left="694" w:top="313" w:right="339" w:bottom="1440" w:gutter="0" w:footer="0" w:header="0"/>
        </w:sectPr>
      </w:pPr>
    </w:p>
    <w:bookmarkStart w:id="13" w:name="page14"/>
    <w:bookmarkEnd w:id="13"/>
    <w:p>
      <w:pPr>
        <w:jc w:val="both"/>
        <w:ind w:left="1881"/>
        <w:spacing w:after="0" w:line="237" w:lineRule="auto"/>
        <w:rPr>
          <w:sz w:val="20"/>
          <w:szCs w:val="20"/>
          <w:color w:val="auto"/>
        </w:rPr>
      </w:pPr>
      <w:r>
        <w:rPr>
          <w:rFonts w:ascii="Times New Roman" w:cs="Times New Roman" w:eastAsia="Times New Roman" w:hAnsi="Times New Roman"/>
          <w:sz w:val="18"/>
          <w:szCs w:val="18"/>
          <w:color w:val="auto"/>
        </w:rPr>
        <w:t>foregoing, in the event Executive’s termination occurs during the one (1)-year period immediately following a Change in Control, the amount payable pursuant to this Section 7(b)(ii)(A) shall instead be an amount equal the CIC Severance, paid in equal monthly installments over the Severance Period, and, if Executive’s termination occurs upon or following a Change in Control which constitutes a “change in control event” for purposes of Code Section 409A, then such CIC Severance shall be paid in a single lump sum within sixty (60) days following Executive’s termination of employment (or otherwise shall be payable in installments as originally contemplated by this Section 7(b)(ii)(A); plus</w:t>
      </w:r>
    </w:p>
    <w:p>
      <w:pPr>
        <w:spacing w:after="0" w:line="164" w:lineRule="exact"/>
        <w:rPr>
          <w:sz w:val="20"/>
          <w:szCs w:val="20"/>
          <w:color w:val="auto"/>
        </w:rPr>
      </w:pPr>
    </w:p>
    <w:p>
      <w:pPr>
        <w:jc w:val="both"/>
        <w:ind w:left="1881" w:hanging="756"/>
        <w:spacing w:after="0" w:line="236" w:lineRule="auto"/>
        <w:tabs>
          <w:tab w:leader="none" w:pos="188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(x) Executive’s timely election of continuation coverage under COBRA, and (y) Executive’s continued copayment of premiums at the same level and cost to Executive as if Executive were an employee of the Company (excluding, for purposes of calculating cost, an employee’s ability to pay premiums with pre-tax dollars), continued payment by the Company of his health, dental and vision insurance coverage during the twelve (12) month period following the date of termination to the same extent that the Company paid for such coverage immediately prior to the date of termination, in a manner intended to avoid any excise tax under Section 4980D of the Code, subject to the eligibility requirements and other terms and conditions of such insurance coverage.</w:t>
      </w:r>
    </w:p>
    <w:p>
      <w:pPr>
        <w:spacing w:after="0" w:line="160" w:lineRule="exact"/>
        <w:rPr>
          <w:rFonts w:ascii="Times New Roman" w:cs="Times New Roman" w:eastAsia="Times New Roman" w:hAnsi="Times New Roman"/>
          <w:sz w:val="18"/>
          <w:szCs w:val="18"/>
          <w:b w:val="1"/>
          <w:bCs w:val="1"/>
          <w:color w:val="auto"/>
        </w:rPr>
      </w:pPr>
    </w:p>
    <w:p>
      <w:pPr>
        <w:ind w:left="1121" w:hanging="746"/>
        <w:spacing w:after="0" w:line="268" w:lineRule="auto"/>
        <w:tabs>
          <w:tab w:leader="none" w:pos="112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Termination Occurs Because the Company Timely Elects Not to Renew the Agreement at the Expiration of the Initial Term (which includes a termination due to a Structured Retirement at the end of the Initial Term)</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left="1881" w:right="80"/>
        <w:spacing w:after="0" w:line="224" w:lineRule="auto"/>
        <w:rPr>
          <w:sz w:val="20"/>
          <w:szCs w:val="20"/>
          <w:color w:val="auto"/>
        </w:rPr>
      </w:pPr>
      <w:r>
        <w:rPr>
          <w:rFonts w:ascii="Times New Roman" w:cs="Times New Roman" w:eastAsia="Times New Roman" w:hAnsi="Times New Roman"/>
          <w:sz w:val="18"/>
          <w:szCs w:val="18"/>
          <w:color w:val="auto"/>
        </w:rPr>
        <w:t>Payments equal to three (3) months of Executive’s then current Base Salary PLUS 25% of Executive’s target bonus under the Company’s Annual Incentive Plan applicable for the fiscal year of termination (the “</w:t>
      </w:r>
      <w:r>
        <w:rPr>
          <w:rFonts w:ascii="Times New Roman" w:cs="Times New Roman" w:eastAsia="Times New Roman" w:hAnsi="Times New Roman"/>
          <w:sz w:val="18"/>
          <w:szCs w:val="18"/>
          <w:i w:val="1"/>
          <w:iCs w:val="1"/>
          <w:u w:val="single" w:color="auto"/>
          <w:color w:val="auto"/>
        </w:rPr>
        <w:t>Non-Renewal Severance Payments</w:t>
      </w:r>
      <w:r>
        <w:rPr>
          <w:rFonts w:ascii="Times New Roman" w:cs="Times New Roman" w:eastAsia="Times New Roman" w:hAnsi="Times New Roman"/>
          <w:sz w:val="18"/>
          <w:szCs w:val="18"/>
          <w:color w:val="auto"/>
        </w:rPr>
        <w:t xml:space="preserve">”), paid in equal monthly installments over the Severance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installment payment of the Non-Renewal Severance Payments shall be made on the sixtieth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after the date of Executive’s termination, and will include payment of any installment payments that were otherwise due prior thereto.</w:t>
      </w:r>
    </w:p>
    <w:p>
      <w:pPr>
        <w:spacing w:after="0" w:line="158" w:lineRule="exact"/>
        <w:rPr>
          <w:sz w:val="20"/>
          <w:szCs w:val="20"/>
          <w:color w:val="auto"/>
        </w:rPr>
      </w:pPr>
    </w:p>
    <w:p>
      <w:pPr>
        <w:ind w:left="741" w:hanging="741"/>
        <w:spacing w:after="0"/>
        <w:tabs>
          <w:tab w:leader="none" w:pos="74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i w:val="1"/>
          <w:iCs w:val="1"/>
          <w:u w:val="single" w:color="auto"/>
          <w:color w:val="auto"/>
        </w:rPr>
        <w:t>Change in Control</w:t>
      </w:r>
      <w:r>
        <w:rPr>
          <w:rFonts w:ascii="Times New Roman" w:cs="Times New Roman" w:eastAsia="Times New Roman" w:hAnsi="Times New Roman"/>
          <w:sz w:val="18"/>
          <w:szCs w:val="18"/>
          <w:color w:val="auto"/>
        </w:rPr>
        <w:t>” shall have the meaning provided in the 2016 Plan.</w:t>
      </w:r>
    </w:p>
    <w:p>
      <w:pPr>
        <w:spacing w:after="0" w:line="194" w:lineRule="exact"/>
        <w:rPr>
          <w:rFonts w:ascii="Times New Roman" w:cs="Times New Roman" w:eastAsia="Times New Roman" w:hAnsi="Times New Roman"/>
          <w:sz w:val="18"/>
          <w:szCs w:val="18"/>
          <w:b w:val="1"/>
          <w:bCs w:val="1"/>
          <w:color w:val="auto"/>
        </w:rPr>
      </w:pPr>
    </w:p>
    <w:p>
      <w:pPr>
        <w:ind w:left="741" w:right="140" w:hanging="741"/>
        <w:spacing w:after="0" w:line="236" w:lineRule="auto"/>
        <w:tabs>
          <w:tab w:leader="none" w:pos="74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avoidance of doubt, all of Executive’s unvested equity awards shall vest upon or following his termination of employment, if at all, solely in accordance with the terms and conditions of the applicable plan and award agreement. For the avoidance of doubt, the definitions of Justifiable Cause and Good Reason in this Agreement will apply for 2016 Plan and LTIP purposes. Accordingly, a termination of employment that meets the requirements of a Structured Retirement and that occurs prior to the expiration of the Initial Term shall be deemed to be a termination without Justifiable Cause under any outstanding awards granted to Executive under the LTIP (whether granted prior to the Commencement Date or after), any outstanding restricted stock unit awards previously granted to Executive and any outstanding performance share award previously granted to Executive.</w:t>
      </w:r>
    </w:p>
    <w:p>
      <w:pPr>
        <w:spacing w:after="0" w:line="161" w:lineRule="exact"/>
        <w:rPr>
          <w:sz w:val="20"/>
          <w:szCs w:val="20"/>
          <w:color w:val="auto"/>
        </w:rPr>
      </w:pPr>
    </w:p>
    <w:p>
      <w:pPr>
        <w:ind w:left="561" w:hanging="373"/>
        <w:spacing w:after="0"/>
        <w:tabs>
          <w:tab w:leader="none" w:pos="561" w:val="left"/>
        </w:tabs>
        <w:numPr>
          <w:ilvl w:val="1"/>
          <w:numId w:val="23"/>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R</w:t>
      </w:r>
      <w:r>
        <w:rPr>
          <w:rFonts w:ascii="Times New Roman" w:cs="Times New Roman" w:eastAsia="Times New Roman" w:hAnsi="Times New Roman"/>
          <w:sz w:val="12"/>
          <w:szCs w:val="12"/>
          <w:b w:val="1"/>
          <w:bCs w:val="1"/>
          <w:color w:val="0000FF"/>
        </w:rPr>
        <w:t>ESTRICTIVE</w:t>
      </w:r>
      <w:r>
        <w:rPr>
          <w:rFonts w:ascii="Times New Roman" w:cs="Times New Roman" w:eastAsia="Times New Roman" w:hAnsi="Times New Roman"/>
          <w:sz w:val="18"/>
          <w:szCs w:val="18"/>
          <w:b w:val="1"/>
          <w:bCs w:val="1"/>
          <w:color w:val="0000FF"/>
        </w:rPr>
        <w:t xml:space="preserve"> C</w:t>
      </w:r>
      <w:r>
        <w:rPr>
          <w:rFonts w:ascii="Times New Roman" w:cs="Times New Roman" w:eastAsia="Times New Roman" w:hAnsi="Times New Roman"/>
          <w:sz w:val="12"/>
          <w:szCs w:val="12"/>
          <w:b w:val="1"/>
          <w:bCs w:val="1"/>
          <w:color w:val="0000FF"/>
        </w:rPr>
        <w:t>OVENANTS</w:t>
      </w:r>
    </w:p>
    <w:p>
      <w:pPr>
        <w:spacing w:after="0" w:line="190" w:lineRule="exact"/>
        <w:rPr>
          <w:rFonts w:ascii="Times New Roman" w:cs="Times New Roman" w:eastAsia="Times New Roman" w:hAnsi="Times New Roman"/>
          <w:sz w:val="18"/>
          <w:szCs w:val="18"/>
          <w:b w:val="1"/>
          <w:bCs w:val="1"/>
          <w:color w:val="0000FF"/>
        </w:rPr>
      </w:pPr>
    </w:p>
    <w:p>
      <w:pPr>
        <w:ind w:left="741" w:hanging="741"/>
        <w:spacing w:after="0"/>
        <w:tabs>
          <w:tab w:leader="none" w:pos="74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Information/Competitive Business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4" w:name="page15"/>
    <w:bookmarkEnd w:id="14"/>
    <w:p>
      <w:pPr>
        <w:jc w:val="both"/>
        <w:ind w:left="746" w:hanging="746"/>
        <w:spacing w:after="0" w:line="243" w:lineRule="auto"/>
        <w:tabs>
          <w:tab w:leader="none" w:pos="74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 Information and Trade Secrets. </w:t>
      </w:r>
      <w:r>
        <w:rPr>
          <w:rFonts w:ascii="Times New Roman" w:cs="Times New Roman" w:eastAsia="Times New Roman" w:hAnsi="Times New Roman"/>
          <w:sz w:val="18"/>
          <w:szCs w:val="18"/>
          <w:color w:val="auto"/>
        </w:rPr>
        <w:t>Executive agrees that during the course of employment with the Company, Executive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come into contact with and have access to various forms of Confidential Information and Trade Secrets, which are the property of the Company. This information relates both to the Company, its customers, vendors and its employees. Such Confidential Information and Trade Secrets include, but are not limited to:</w:t>
      </w:r>
    </w:p>
    <w:p>
      <w:pPr>
        <w:spacing w:after="0" w:line="159" w:lineRule="exact"/>
        <w:rPr>
          <w:rFonts w:ascii="Times New Roman" w:cs="Times New Roman" w:eastAsia="Times New Roman" w:hAnsi="Times New Roman"/>
          <w:sz w:val="18"/>
          <w:szCs w:val="18"/>
          <w:b w:val="1"/>
          <w:bCs w:val="1"/>
          <w:color w:val="auto"/>
        </w:rPr>
      </w:pPr>
    </w:p>
    <w:p>
      <w:pPr>
        <w:jc w:val="both"/>
        <w:ind w:left="1506" w:hanging="756"/>
        <w:spacing w:after="0" w:line="247" w:lineRule="auto"/>
        <w:tabs>
          <w:tab w:leader="none" w:pos="15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with respect to costs, commissions, fees, profits, sales, markets, products and product formulae, mailing lists, strategies and plans for future business, new business, product or other development, new and innovative product ideas, potential acquisitions or divestitures, and new marketing ideas;</w:t>
      </w:r>
    </w:p>
    <w:p>
      <w:pPr>
        <w:spacing w:after="0" w:line="155" w:lineRule="exact"/>
        <w:rPr>
          <w:rFonts w:ascii="Times New Roman" w:cs="Times New Roman" w:eastAsia="Times New Roman" w:hAnsi="Times New Roman"/>
          <w:sz w:val="18"/>
          <w:szCs w:val="18"/>
          <w:b w:val="1"/>
          <w:bCs w:val="1"/>
          <w:color w:val="auto"/>
        </w:rPr>
      </w:pPr>
    </w:p>
    <w:p>
      <w:pPr>
        <w:jc w:val="both"/>
        <w:ind w:left="1506" w:hanging="756"/>
        <w:spacing w:after="0" w:line="237" w:lineRule="auto"/>
        <w:tabs>
          <w:tab w:leader="none" w:pos="15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proprietary technology, trade secrets, patented processes, research and development data, know-how, market studies and forecasts, financial data, competitive analyses, pricing policies, product formulations, algorithms, system designs, site maps, information processing methodologies, software, software coding methodologies, computer system interfaces, website functionality, information security processes, business methods, procedures, devices, machines, equipment, data processing programs, software computer models, research projects, system customizations, program implementation plans, and other information and means used by the Company in the conduct of its business;</w:t>
      </w:r>
    </w:p>
    <w:p>
      <w:pPr>
        <w:spacing w:after="0" w:line="164" w:lineRule="exact"/>
        <w:rPr>
          <w:rFonts w:ascii="Times New Roman" w:cs="Times New Roman" w:eastAsia="Times New Roman" w:hAnsi="Times New Roman"/>
          <w:sz w:val="18"/>
          <w:szCs w:val="18"/>
          <w:b w:val="1"/>
          <w:bCs w:val="1"/>
          <w:color w:val="auto"/>
        </w:rPr>
      </w:pPr>
    </w:p>
    <w:p>
      <w:pPr>
        <w:jc w:val="both"/>
        <w:ind w:left="1506" w:hanging="756"/>
        <w:spacing w:after="0" w:line="239" w:lineRule="auto"/>
        <w:tabs>
          <w:tab w:leader="none" w:pos="15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identity of the Company’s customers and product end users, their names and addresses, the names of representatives of the Company’s customers responsible for entering into contracts with the Company, the amounts paid by such customers to the Company, specific customer needs and requirements, and leads and referrals to prospective customers, the substance of agreements with customers, suppliers and others, marketing or dealership arrangements, servicing and training programs and arrangements, supplier lists, customer lists;</w:t>
      </w:r>
    </w:p>
    <w:p>
      <w:pPr>
        <w:spacing w:after="0" w:line="161" w:lineRule="exact"/>
        <w:rPr>
          <w:rFonts w:ascii="Times New Roman" w:cs="Times New Roman" w:eastAsia="Times New Roman" w:hAnsi="Times New Roman"/>
          <w:sz w:val="18"/>
          <w:szCs w:val="18"/>
          <w:b w:val="1"/>
          <w:bCs w:val="1"/>
          <w:color w:val="auto"/>
        </w:rPr>
      </w:pPr>
    </w:p>
    <w:p>
      <w:pPr>
        <w:jc w:val="both"/>
        <w:ind w:left="1506" w:hanging="756"/>
        <w:spacing w:after="0" w:line="247" w:lineRule="auto"/>
        <w:tabs>
          <w:tab w:leader="none" w:pos="15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prohibited by applicable law, the identity and number of the Company’s employees other than Executive, their salaries, bonuses, benefits, qualifications and abilities obtained from the employee’s confidential personnel files, personnel policies; and</w:t>
      </w:r>
    </w:p>
    <w:p>
      <w:pPr>
        <w:spacing w:after="0" w:line="155" w:lineRule="exact"/>
        <w:rPr>
          <w:rFonts w:ascii="Times New Roman" w:cs="Times New Roman" w:eastAsia="Times New Roman" w:hAnsi="Times New Roman"/>
          <w:sz w:val="18"/>
          <w:szCs w:val="18"/>
          <w:b w:val="1"/>
          <w:bCs w:val="1"/>
          <w:color w:val="auto"/>
        </w:rPr>
      </w:pPr>
    </w:p>
    <w:p>
      <w:pPr>
        <w:ind w:left="1506" w:hanging="756"/>
        <w:spacing w:after="0"/>
        <w:tabs>
          <w:tab w:leader="none" w:pos="15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documents embodying such confidential information described in (A) – (D) above.</w:t>
      </w:r>
    </w:p>
    <w:p>
      <w:pPr>
        <w:spacing w:after="0" w:line="190" w:lineRule="exact"/>
        <w:rPr>
          <w:sz w:val="20"/>
          <w:szCs w:val="20"/>
          <w:color w:val="auto"/>
        </w:rPr>
      </w:pPr>
    </w:p>
    <w:p>
      <w:pPr>
        <w:ind w:left="1126" w:right="100"/>
        <w:spacing w:after="0" w:line="237" w:lineRule="auto"/>
        <w:rPr>
          <w:sz w:val="20"/>
          <w:szCs w:val="20"/>
          <w:color w:val="auto"/>
        </w:rPr>
      </w:pPr>
      <w:r>
        <w:rPr>
          <w:rFonts w:ascii="Times New Roman" w:cs="Times New Roman" w:eastAsia="Times New Roman" w:hAnsi="Times New Roman"/>
          <w:sz w:val="18"/>
          <w:szCs w:val="18"/>
          <w:color w:val="auto"/>
        </w:rPr>
        <w:t>all of which information Executive acknowledges and agrees is not generally known or available to the general public, but has been developed, compiled or acquired by the Company at its great effort and expense. Confidential Information and Trade Secrets can be in any form: oral, written or machine readable, including electronic files. Confidential Information shall not include information that became or becomes generally known to the men’s apparel industry through no wrongful act of Executive. Further, and not withstanding anything else to the contrary in this Agreement, Executive’s general knowledge, experience and “know-how” in the retail industry shall not constitute Confidential Information subject to this Agreement.</w:t>
      </w:r>
    </w:p>
    <w:p>
      <w:pPr>
        <w:spacing w:after="0" w:line="160" w:lineRule="exact"/>
        <w:rPr>
          <w:sz w:val="20"/>
          <w:szCs w:val="20"/>
          <w:color w:val="auto"/>
        </w:rPr>
      </w:pPr>
    </w:p>
    <w:p>
      <w:pPr>
        <w:jc w:val="both"/>
        <w:ind w:left="746" w:hanging="746"/>
        <w:spacing w:after="0" w:line="243" w:lineRule="auto"/>
        <w:tabs>
          <w:tab w:leader="none" w:pos="74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Secrecy of Confidential Information and Trade Secrets Essential. </w:t>
      </w:r>
      <w:r>
        <w:rPr>
          <w:rFonts w:ascii="Times New Roman" w:cs="Times New Roman" w:eastAsia="Times New Roman" w:hAnsi="Times New Roman"/>
          <w:sz w:val="18"/>
          <w:szCs w:val="18"/>
          <w:color w:val="auto"/>
        </w:rPr>
        <w:t>Executive acknowledges and agrees that the Company is engaged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highly competitive business and that its competitive position depends upon its ability to maintain the confidentiality of the Confidential Information and Trade Secrets. Executive acknowledges and agrees that the Company’s Confidential Information and Trade Secrets were developed, compiled and acquired by the</w:t>
      </w:r>
    </w:p>
    <w:p>
      <w:pPr>
        <w:spacing w:after="0" w:line="159"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184150</wp:posOffset>
            </wp:positionV>
            <wp:extent cx="7168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866"/>
          </w:cols>
          <w:pgMar w:left="694" w:top="313" w:right="339" w:bottom="1440" w:gutter="0" w:footer="0" w:header="0"/>
        </w:sectPr>
      </w:pPr>
    </w:p>
    <w:bookmarkStart w:id="15" w:name="page16"/>
    <w:bookmarkEnd w:id="15"/>
    <w:p>
      <w:pPr>
        <w:jc w:val="both"/>
        <w:ind w:left="1121"/>
        <w:spacing w:after="0" w:line="241" w:lineRule="auto"/>
        <w:rPr>
          <w:sz w:val="20"/>
          <w:szCs w:val="20"/>
          <w:color w:val="auto"/>
        </w:rPr>
      </w:pPr>
      <w:r>
        <w:rPr>
          <w:rFonts w:ascii="Times New Roman" w:cs="Times New Roman" w:eastAsia="Times New Roman" w:hAnsi="Times New Roman"/>
          <w:sz w:val="18"/>
          <w:szCs w:val="18"/>
          <w:color w:val="auto"/>
        </w:rPr>
        <w:t>Company over a considerable period of time and at its great effort and expense. Executive further acknowledges and agrees that any disclosure, divulging, revelation or use of any of the Confidential Information and Trade Secrets, other than in connection with the Company’s business or as specifically authorized by the Company, will be highly detrimental to the Company, and that serious loss of business and pecuniary damage may result therefrom.</w:t>
      </w:r>
    </w:p>
    <w:p>
      <w:pPr>
        <w:spacing w:after="0" w:line="158" w:lineRule="exact"/>
        <w:rPr>
          <w:sz w:val="20"/>
          <w:szCs w:val="20"/>
          <w:color w:val="auto"/>
        </w:rPr>
      </w:pPr>
    </w:p>
    <w:p>
      <w:pPr>
        <w:jc w:val="both"/>
        <w:ind w:left="741" w:hanging="741"/>
        <w:spacing w:after="0" w:line="237" w:lineRule="auto"/>
        <w:tabs>
          <w:tab w:leader="none" w:pos="741"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Non-Disclosure of Confidential Information. </w:t>
      </w:r>
      <w:r>
        <w:rPr>
          <w:rFonts w:ascii="Times New Roman" w:cs="Times New Roman" w:eastAsia="Times New Roman" w:hAnsi="Times New Roman"/>
          <w:sz w:val="18"/>
          <w:szCs w:val="18"/>
          <w:color w:val="auto"/>
        </w:rPr>
        <w:t>Accordingly, Executive agrees, except as specifically required in the performance of his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 Company, as compelled by applicable law, or for disclosures by Executive to his spouse and to his personal, legal or financial advisors, Executive will not, while associated with the Company and for so long thereafter as the pertinent information or documentation remains confidential, directly or indirectly use, disclose or disseminate to any other person, organization or entity or otherwise use any of the Company’s Confidential Information and Trade Secrets; further Executive agrees to maintain Company’s Confidential Information and Trade Secrets in strict confidence and to use all commercially reasonable efforts to not allow any unauthorized access to, or disclosure of, the Company’s Confidential Information and Trade Secrets.</w:t>
      </w:r>
    </w:p>
    <w:p>
      <w:pPr>
        <w:spacing w:after="0" w:line="162" w:lineRule="exact"/>
        <w:rPr>
          <w:rFonts w:ascii="Times New Roman" w:cs="Times New Roman" w:eastAsia="Times New Roman" w:hAnsi="Times New Roman"/>
          <w:sz w:val="18"/>
          <w:szCs w:val="18"/>
          <w:b w:val="1"/>
          <w:bCs w:val="1"/>
          <w:color w:val="auto"/>
        </w:rPr>
      </w:pPr>
    </w:p>
    <w:p>
      <w:pPr>
        <w:jc w:val="both"/>
        <w:ind w:left="1121" w:hanging="746"/>
        <w:spacing w:after="0" w:line="241" w:lineRule="auto"/>
        <w:tabs>
          <w:tab w:leader="none" w:pos="112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 prohibits Executive from reporting an event that he reasonably and in good faith believes is a violation of law to the relevant law-enforcement agency (including without limitation the Securities and Exchange Commission), and nothing herein requires notice to or approval from the Company before doing so, or (ii) prohibits Executive from cooperating in an investigation conducted by such law-enforcement agency, including without limitation, by disclosing and testifying truthfully as to relevant information.</w:t>
      </w:r>
    </w:p>
    <w:p>
      <w:pPr>
        <w:spacing w:after="0" w:line="161" w:lineRule="exact"/>
        <w:rPr>
          <w:rFonts w:ascii="Times New Roman" w:cs="Times New Roman" w:eastAsia="Times New Roman" w:hAnsi="Times New Roman"/>
          <w:sz w:val="18"/>
          <w:szCs w:val="18"/>
          <w:b w:val="1"/>
          <w:bCs w:val="1"/>
          <w:color w:val="auto"/>
        </w:rPr>
      </w:pPr>
    </w:p>
    <w:p>
      <w:pPr>
        <w:jc w:val="both"/>
        <w:ind w:left="1121" w:hanging="746"/>
        <w:spacing w:after="0" w:line="235" w:lineRule="auto"/>
        <w:tabs>
          <w:tab w:leader="none" w:pos="112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is also hereby provided notice that under the 2016 Defend Trade Secrets Act: (x) no individual will be held criminally or civilly liable under federal or state trade secret law for the disclosure of a trade secret (as defined in the Economic Espionage Act) that is made in confidence to a federal, state, or local government official, either directly or indirectly, or to an attorney; and made solely for the purpose of reporting or investigating a suspected violation of law, or is made in a complaint or other document filed in a lawsuit or other proceeding, if such filing is made under seal so that it is not made public, and, (y)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62" w:lineRule="exact"/>
        <w:rPr>
          <w:rFonts w:ascii="Times New Roman" w:cs="Times New Roman" w:eastAsia="Times New Roman" w:hAnsi="Times New Roman"/>
          <w:sz w:val="18"/>
          <w:szCs w:val="18"/>
          <w:b w:val="1"/>
          <w:bCs w:val="1"/>
          <w:color w:val="auto"/>
        </w:rPr>
      </w:pPr>
    </w:p>
    <w:p>
      <w:pPr>
        <w:jc w:val="both"/>
        <w:ind w:left="741" w:hanging="741"/>
        <w:spacing w:after="0" w:line="239" w:lineRule="auto"/>
        <w:tabs>
          <w:tab w:leader="none" w:pos="741"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Material. </w:t>
      </w:r>
      <w:r>
        <w:rPr>
          <w:rFonts w:ascii="Times New Roman" w:cs="Times New Roman" w:eastAsia="Times New Roman" w:hAnsi="Times New Roman"/>
          <w:sz w:val="18"/>
          <w:szCs w:val="18"/>
          <w:color w:val="auto"/>
        </w:rPr>
        <w:t>Executive further agrees to deliver to the Company, immediately upon resignation or separation from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or at any other time the Company so requests, all of the following (other than Executive’s own compensation information and address book, file and other personal information, documents or items that may reside on the Company’s premises, systems or devices which can be removed from any systems/devices only in coordination with the Company’s designated IT professional) that may be in his possession or under his control:</w:t>
      </w:r>
    </w:p>
    <w:p>
      <w:pPr>
        <w:spacing w:after="0" w:line="165"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documents, files, notes, memoranda, databases, computer files and/or other computer programs reflecting any Confidential Information and Trade Secrets whatsoever, or otherwise relating to the Company’s business;</w:t>
      </w:r>
    </w:p>
    <w:p>
      <w:pPr>
        <w:spacing w:after="0" w:line="140"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lists of the Company’s customers or leads or referrals to prospective customers;</w:t>
      </w:r>
    </w:p>
    <w:p>
      <w:pPr>
        <w:spacing w:after="0" w:line="190" w:lineRule="exact"/>
        <w:rPr>
          <w:rFonts w:ascii="Times New Roman" w:cs="Times New Roman" w:eastAsia="Times New Roman" w:hAnsi="Times New Roman"/>
          <w:sz w:val="18"/>
          <w:szCs w:val="18"/>
          <w:b w:val="1"/>
          <w:bCs w:val="1"/>
          <w:color w:val="auto"/>
        </w:rPr>
      </w:pPr>
    </w:p>
    <w:p>
      <w:pPr>
        <w:ind w:left="1121" w:hanging="746"/>
        <w:spacing w:after="0" w:line="264" w:lineRule="auto"/>
        <w:tabs>
          <w:tab w:leader="none" w:pos="112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computer equipment, home office equipment, automobile or other business equipment belonging to the Company which Executive may then possess or have under his control; and</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6" w:name="page17"/>
    <w:bookmarkEnd w:id="16"/>
    <w:p>
      <w:pPr>
        <w:jc w:val="both"/>
        <w:ind w:left="1121" w:hanging="746"/>
        <w:spacing w:after="0" w:line="239" w:lineRule="auto"/>
        <w:tabs>
          <w:tab w:leader="none" w:pos="1121"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product formulations, algorithms, system designs, site maps, information processing methodologies, software, software coding methodologies, website functionality, information security processes, business methods, procedures, devices, machines, equipment, data processing programs, software computer models, research projects, system customizations, program implementation plans and other information and means used by the Company in the conduct of its business and all other confidential information described in (A) – (D) above.</w:t>
      </w:r>
    </w:p>
    <w:p>
      <w:pPr>
        <w:spacing w:after="0" w:line="157" w:lineRule="exact"/>
        <w:rPr>
          <w:rFonts w:ascii="Times New Roman" w:cs="Times New Roman" w:eastAsia="Times New Roman" w:hAnsi="Times New Roman"/>
          <w:sz w:val="18"/>
          <w:szCs w:val="18"/>
          <w:b w:val="1"/>
          <w:bCs w:val="1"/>
          <w:color w:val="auto"/>
        </w:rPr>
      </w:pPr>
    </w:p>
    <w:p>
      <w:pPr>
        <w:jc w:val="both"/>
        <w:ind w:left="741" w:hanging="741"/>
        <w:spacing w:after="0" w:line="239" w:lineRule="auto"/>
        <w:tabs>
          <w:tab w:leader="none" w:pos="74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Competitive Activity. </w:t>
      </w:r>
      <w:r>
        <w:rPr>
          <w:rFonts w:ascii="Times New Roman" w:cs="Times New Roman" w:eastAsia="Times New Roman" w:hAnsi="Times New Roman"/>
          <w:sz w:val="18"/>
          <w:szCs w:val="18"/>
          <w:color w:val="auto"/>
        </w:rPr>
        <w:t>Executive acknowledges and agrees that the Company is engaged in a highly competitive business and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virtue of Executive’s position and responsibilities with the Company and Executive’s access to the Confidential Information and Trade Secrets, engaging in any business which is directly competitive with the Company will cause Company great and irreparable harm. Therefore, in consideration for the LTIP awards referenced in Section 4(i) above and the potential to receive additional compensation pursuant to Section 7(a) and 7(b) above, Executive further covenants and agrees that at all times</w:t>
      </w:r>
    </w:p>
    <w:p>
      <w:pPr>
        <w:spacing w:after="0" w:line="165"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his period of employment with the Company, and</w:t>
      </w:r>
    </w:p>
    <w:p>
      <w:pPr>
        <w:spacing w:after="0" w:line="190" w:lineRule="exact"/>
        <w:rPr>
          <w:rFonts w:ascii="Times New Roman" w:cs="Times New Roman" w:eastAsia="Times New Roman" w:hAnsi="Times New Roman"/>
          <w:sz w:val="18"/>
          <w:szCs w:val="18"/>
          <w:b w:val="1"/>
          <w:bCs w:val="1"/>
          <w:color w:val="auto"/>
        </w:rPr>
      </w:pPr>
    </w:p>
    <w:p>
      <w:pPr>
        <w:jc w:val="both"/>
        <w:ind w:left="1121" w:hanging="746"/>
        <w:spacing w:after="0" w:line="241" w:lineRule="auto"/>
        <w:tabs>
          <w:tab w:leader="none" w:pos="1121"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beginning on the date of termination of his employment (whether such termination is voluntary or involuntary, with Good Reason or without Good Reason, for Justifiable Cause or without Justifiable Cause, due to a Structured Retirement or otherwise) and ending on the date that is the later of (A) one (1) year following Executive’s termination from employment, or (B) the expiration of any tolling period extending the one year period in clause (A),</w:t>
      </w:r>
    </w:p>
    <w:p>
      <w:pPr>
        <w:spacing w:after="0" w:line="162" w:lineRule="exact"/>
        <w:rPr>
          <w:sz w:val="20"/>
          <w:szCs w:val="20"/>
          <w:color w:val="auto"/>
        </w:rPr>
      </w:pPr>
    </w:p>
    <w:p>
      <w:pPr>
        <w:jc w:val="both"/>
        <w:ind w:left="741"/>
        <w:spacing w:after="0" w:line="232" w:lineRule="auto"/>
        <w:rPr>
          <w:sz w:val="20"/>
          <w:szCs w:val="20"/>
          <w:color w:val="auto"/>
        </w:rPr>
      </w:pPr>
      <w:r>
        <w:rPr>
          <w:rFonts w:ascii="Times New Roman" w:cs="Times New Roman" w:eastAsia="Times New Roman" w:hAnsi="Times New Roman"/>
          <w:sz w:val="18"/>
          <w:szCs w:val="18"/>
          <w:color w:val="auto"/>
        </w:rPr>
        <w:t>Executive shall not, directly or indirectly, engage in, assist, or have any active interest or involvement - whether as an employee, agent, consultant, creditor, advisor, officer, director, stockholder (excluding holding of less than 3% of the stock of a public company), partner, proprietor or any type of principal whatsoever) or in any other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three percent (3%) of any class of stock or securities of such corporation. For purposes of this provision,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 or any other business line the Company may enter into in the future and during Executive’s employment. However, nothing in this Section 8 shall be deemed to prohibit Executive from providing services to or becoming involved with any entity with a division or subsidiary that engages in a business competitive with the products and services of the Company (or any subsidiary or affiliate of the Company), as long as Executive is not the chief executive officer of the entity and/or does not work in that competitive division or subsidiary. By signing below, Executive acknowledges and agrees that Executive has received sufficient mutually agreed-upon consideration for agreeing to be bound by the obligations in this Section 8, specifically the LTIP awards, the access to Company confidential information and the potential to receive salary continuation as severance pay (as set forth in Section 7(a) and 7(b) above) in the event Executive is terminated by the Company without Justifiable Cause, Executive terminates for Good Reason or is terminated by the Company at the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7" w:name="page18"/>
    <w:bookmarkEnd w:id="17"/>
    <w:p>
      <w:pPr>
        <w:jc w:val="both"/>
        <w:ind w:left="741"/>
        <w:spacing w:after="0" w:line="239" w:lineRule="auto"/>
        <w:rPr>
          <w:sz w:val="20"/>
          <w:szCs w:val="20"/>
          <w:color w:val="auto"/>
        </w:rPr>
      </w:pPr>
      <w:r>
        <w:rPr>
          <w:rFonts w:ascii="Times New Roman" w:cs="Times New Roman" w:eastAsia="Times New Roman" w:hAnsi="Times New Roman"/>
          <w:sz w:val="18"/>
          <w:szCs w:val="18"/>
          <w:color w:val="auto"/>
        </w:rPr>
        <w:t>end of the Initial Term (including due to a Structured Retirement), after Executive signs the separation and general release acceptable to the Company. Executive further acknowledges and agrees that the No Competitive Activity restrictions in this Section 8(d) shall apply, including in the event of a termination due to a Structured Retirement, unless Executive is terminated without Justifiable Cause or terminates for Good Reason as defined in this Agreement. The Company’s determination as to whether Justifiable Cause exists must be objectively reasonable and based on evidence. The non-competition restrictions in this Section 8(d) shall become effective as of the Commencement Date.</w:t>
      </w:r>
    </w:p>
    <w:p>
      <w:pPr>
        <w:spacing w:after="0" w:line="157" w:lineRule="exact"/>
        <w:rPr>
          <w:sz w:val="20"/>
          <w:szCs w:val="20"/>
          <w:color w:val="auto"/>
        </w:rPr>
      </w:pPr>
    </w:p>
    <w:p>
      <w:pPr>
        <w:jc w:val="both"/>
        <w:ind w:left="741" w:hanging="741"/>
        <w:spacing w:after="0" w:line="234" w:lineRule="auto"/>
        <w:tabs>
          <w:tab w:leader="none" w:pos="74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Non-Solicitation of Customers and Others. </w:t>
      </w:r>
      <w:r>
        <w:rPr>
          <w:rFonts w:ascii="Times New Roman" w:cs="Times New Roman" w:eastAsia="Times New Roman" w:hAnsi="Times New Roman"/>
          <w:sz w:val="18"/>
          <w:szCs w:val="18"/>
          <w:color w:val="auto"/>
        </w:rPr>
        <w:t>Executive acknowledges and agrees that solely by reason of employment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has and will come into contact with some, most or all of the Company’s customers and will have access to Confidential Information and Trade Secrets regarding the Company’s customers as set forth in Section 8(a) of this Agreement. Therefore, Executive covenants and agrees that at all times during the period beginning on the date of termination of his employment (whether such termination is voluntary or involuntary, with Good Reason or without Good Reason, for Justifiable Cause or without Justifiable Cause, due to a Structured Retirement or otherwise) and ending (A) one (1) year following his date of termination or (B) the expiration of any tolling period extending the one year period in clause (A), Executive shall not directly or indirectly, solicit, contact, do business with, call upon, communicate with any customer, former customer, retailer, supplier, service provider, and/or wholesaler of the Company for the purpose of providing any product or service that was provided (or that was planned to be provided) by the Company at the time of Executive’s separation from employment. This restriction shall apply to any customer, former customer, retailer, supplier, service provider, and/or wholesaler of the Company in the “big and tall” male apparel industry with whom Executive had contact or about whom Executive obtained Confidential Information or Trade Secrets during the twenty-four (24) months preceding the Executive’s separation from employment with the Company.</w:t>
      </w:r>
    </w:p>
    <w:p>
      <w:pPr>
        <w:spacing w:after="0" w:line="160" w:lineRule="exact"/>
        <w:rPr>
          <w:rFonts w:ascii="Times New Roman" w:cs="Times New Roman" w:eastAsia="Times New Roman" w:hAnsi="Times New Roman"/>
          <w:sz w:val="18"/>
          <w:szCs w:val="18"/>
          <w:b w:val="1"/>
          <w:bCs w:val="1"/>
          <w:color w:val="auto"/>
        </w:rPr>
      </w:pPr>
    </w:p>
    <w:p>
      <w:pPr>
        <w:jc w:val="both"/>
        <w:ind w:left="741" w:hanging="741"/>
        <w:spacing w:after="0" w:line="249" w:lineRule="auto"/>
        <w:tabs>
          <w:tab w:leader="none" w:pos="74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Non-Solicitation of Employees. </w:t>
      </w:r>
      <w:r>
        <w:rPr>
          <w:rFonts w:ascii="Times New Roman" w:cs="Times New Roman" w:eastAsia="Times New Roman" w:hAnsi="Times New Roman"/>
          <w:sz w:val="18"/>
          <w:szCs w:val="18"/>
          <w:color w:val="auto"/>
        </w:rPr>
        <w:t>Executive acknowledges and agrees that solely as a result of employment with the Company, Executive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come into contact with and acquire confidential information regarding some, most, or all of the Company’s employees. Therefore, Executive covenants and agrees that at all times</w:t>
      </w:r>
    </w:p>
    <w:p>
      <w:pPr>
        <w:spacing w:after="0" w:line="154"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his period of employment with the Company, and</w:t>
      </w:r>
    </w:p>
    <w:p>
      <w:pPr>
        <w:spacing w:after="0" w:line="190" w:lineRule="exact"/>
        <w:rPr>
          <w:rFonts w:ascii="Times New Roman" w:cs="Times New Roman" w:eastAsia="Times New Roman" w:hAnsi="Times New Roman"/>
          <w:sz w:val="18"/>
          <w:szCs w:val="18"/>
          <w:b w:val="1"/>
          <w:bCs w:val="1"/>
          <w:color w:val="auto"/>
        </w:rPr>
      </w:pPr>
    </w:p>
    <w:p>
      <w:pPr>
        <w:jc w:val="both"/>
        <w:ind w:left="1121" w:hanging="746"/>
        <w:spacing w:after="0" w:line="241" w:lineRule="auto"/>
        <w:tabs>
          <w:tab w:leader="none" w:pos="1121"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period beginning on the date of termination of his employment (whether such termination is voluntary or involuntary, with Good Reason or without Good Reason, for Justifiable Cause or without Justifiable Cause, due to a Structured Retirement or otherwise) and ending on the </w:t>
      </w:r>
      <w:r>
        <w:rPr>
          <w:rFonts w:ascii="Times New Roman" w:cs="Times New Roman" w:eastAsia="Times New Roman" w:hAnsi="Times New Roman"/>
          <w:sz w:val="18"/>
          <w:szCs w:val="18"/>
          <w:u w:val="single" w:color="auto"/>
          <w:color w:val="auto"/>
        </w:rPr>
        <w:t>later of</w:t>
      </w:r>
      <w:r>
        <w:rPr>
          <w:rFonts w:ascii="Times New Roman" w:cs="Times New Roman" w:eastAsia="Times New Roman" w:hAnsi="Times New Roman"/>
          <w:sz w:val="18"/>
          <w:szCs w:val="18"/>
          <w:color w:val="auto"/>
        </w:rPr>
        <w:t xml:space="preserve"> (A) one (1) year following his date of termination or (B) the expiration of any tolling period extending the one year period in clause (A),</w:t>
      </w:r>
    </w:p>
    <w:p>
      <w:pPr>
        <w:spacing w:after="0" w:line="162" w:lineRule="exact"/>
        <w:rPr>
          <w:sz w:val="20"/>
          <w:szCs w:val="20"/>
          <w:color w:val="auto"/>
        </w:rPr>
      </w:pPr>
    </w:p>
    <w:p>
      <w:pPr>
        <w:jc w:val="both"/>
        <w:ind w:left="741"/>
        <w:spacing w:after="0" w:line="241" w:lineRule="auto"/>
        <w:rPr>
          <w:sz w:val="20"/>
          <w:szCs w:val="20"/>
          <w:color w:val="auto"/>
        </w:rPr>
      </w:pPr>
      <w:r>
        <w:rPr>
          <w:rFonts w:ascii="Times New Roman" w:cs="Times New Roman" w:eastAsia="Times New Roman" w:hAnsi="Times New Roman"/>
          <w:sz w:val="18"/>
          <w:szCs w:val="18"/>
          <w:color w:val="auto"/>
        </w:rPr>
        <w:t>Executive shall not, either on Executive’s own account or on behalf of any person, firm, or business entity, recruit, solicit, interfere with, or endeavor to cause any employee of the Company with whom Executive came into contact or about whom Executive obtained confidential information, to leave his or her employment with the Company, or to work in a capacity that is competitive with the Company, or to work in a capacity that is similar to the capacity in which the employee was employed by the Company.</w:t>
      </w:r>
    </w:p>
    <w:p>
      <w:pPr>
        <w:spacing w:after="0" w:line="158" w:lineRule="exact"/>
        <w:rPr>
          <w:sz w:val="20"/>
          <w:szCs w:val="20"/>
          <w:color w:val="auto"/>
        </w:rPr>
      </w:pPr>
    </w:p>
    <w:p>
      <w:pPr>
        <w:jc w:val="right"/>
        <w:ind w:left="741" w:right="280" w:hanging="741"/>
        <w:spacing w:after="0" w:line="244" w:lineRule="auto"/>
        <w:tabs>
          <w:tab w:leader="none" w:pos="3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Inventions and Discoveries. </w:t>
      </w:r>
      <w:r>
        <w:rPr>
          <w:rFonts w:ascii="Times New Roman" w:cs="Times New Roman" w:eastAsia="Times New Roman" w:hAnsi="Times New Roman"/>
          <w:sz w:val="18"/>
          <w:szCs w:val="18"/>
          <w:color w:val="auto"/>
        </w:rPr>
        <w:t>Upon execution of this Agreement and thereafter, Executive shall promptly and fully disclose to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necessary detail for a complete understanding of the same, all existing and future developments, know-how, discoveries, inventions,</w:t>
      </w:r>
    </w:p>
    <w:p>
      <w:pPr>
        <w:ind w:left="5321" w:right="4360" w:hanging="4560"/>
        <w:spacing w:after="0" w:line="241" w:lineRule="auto"/>
        <w:rPr>
          <w:sz w:val="20"/>
          <w:szCs w:val="20"/>
          <w:color w:val="auto"/>
        </w:rPr>
      </w:pPr>
      <w:r>
        <w:rPr>
          <w:rFonts w:ascii="Times New Roman" w:cs="Times New Roman" w:eastAsia="Times New Roman" w:hAnsi="Times New Roman"/>
          <w:sz w:val="18"/>
          <w:szCs w:val="18"/>
          <w:color w:val="auto"/>
        </w:rPr>
        <w:t>improvements, concepts, ideas, writings, formulae, processes and Methods (whether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7168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8" w:name="page19"/>
    <w:bookmarkEnd w:id="18"/>
    <w:p>
      <w:pPr>
        <w:ind w:left="741"/>
        <w:spacing w:after="0" w:line="235" w:lineRule="auto"/>
        <w:rPr>
          <w:sz w:val="20"/>
          <w:szCs w:val="20"/>
          <w:color w:val="auto"/>
        </w:rPr>
      </w:pPr>
      <w:r>
        <w:rPr>
          <w:rFonts w:ascii="Times New Roman" w:cs="Times New Roman" w:eastAsia="Times New Roman" w:hAnsi="Times New Roman"/>
          <w:sz w:val="18"/>
          <w:szCs w:val="18"/>
          <w:color w:val="auto"/>
        </w:rPr>
        <w:t>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or affiliates, solely or jointly with others, in or relating to any activities of the Company or its subsidiaries or affiliates known to him as a consequence of his employment or the rendering of advisory and consulting services hereunder (collectively the "Subject Matter"). The Company and Executive acknowledge that Executive has previously authored a book and other published material, and may do so again in the future, and that any such published material authored by Executive does not constitute Subject Matter subject to this Agreement, provided however, that any such published material does not also constitute Confidential Information and Trade Secrets within the meaning of Section 8(a) above.</w:t>
      </w:r>
    </w:p>
    <w:p>
      <w:pPr>
        <w:spacing w:after="0" w:line="167" w:lineRule="exact"/>
        <w:rPr>
          <w:sz w:val="20"/>
          <w:szCs w:val="20"/>
          <w:color w:val="auto"/>
        </w:rPr>
      </w:pPr>
    </w:p>
    <w:p>
      <w:pPr>
        <w:jc w:val="both"/>
        <w:ind w:left="741"/>
        <w:spacing w:after="0"/>
        <w:rPr>
          <w:sz w:val="20"/>
          <w:szCs w:val="20"/>
          <w:color w:val="auto"/>
        </w:rPr>
      </w:pPr>
      <w:r>
        <w:rPr>
          <w:rFonts w:ascii="Times New Roman" w:cs="Times New Roman" w:eastAsia="Times New Roman" w:hAnsi="Times New Roman"/>
          <w:sz w:val="18"/>
          <w:szCs w:val="18"/>
          <w:color w:val="auto"/>
        </w:rPr>
        <w:t>Except for any previously published material or to be published material authored by Executive,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at the Company’s sole expense.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Employment Term that Executive shall be compensated in a timely manner at the rate of $1,000.00 per day (or portion thereof), plus out-of-pocket expenses incurred in rendering such assistance or giving or preparing to give such testimony if it is required after the termination of this Agreement.</w:t>
      </w:r>
    </w:p>
    <w:p>
      <w:pPr>
        <w:spacing w:after="0" w:line="318" w:lineRule="exact"/>
        <w:rPr>
          <w:sz w:val="20"/>
          <w:szCs w:val="20"/>
          <w:color w:val="auto"/>
        </w:rPr>
      </w:pPr>
    </w:p>
    <w:p>
      <w:pPr>
        <w:jc w:val="both"/>
        <w:ind w:left="741" w:hanging="741"/>
        <w:spacing w:after="0" w:line="234" w:lineRule="auto"/>
        <w:tabs>
          <w:tab w:leader="none" w:pos="74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Except as otherwise required by law, including providing truthful testimony, including opinion testimony,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 any legitimate legal proceeding or investigation (including depositions), each of Executive and the senior executive team of the Company and the Board (the senior executive team of the Company and the Board collectively being the Company’s “Senior Individuals”) covenants and agrees that during the course of Executive’s employment by the Company and at any time thereafter, neither Executive nor the Senior Individuals shall, directly or indirectly, in public or private, willfully deprecate, impugn, disparage, or make any remarks that would tend to or be construed to tend to defame the other, its products or services, or any of its officers, directors, employees, relatives, affiliates or agents; nor shall Executive or the Senior Individuals assist any other person, firm or entity in so doing. For the avoidance of doubt, nothing in this Agreement shall be deemed to limit statements made by Executive in his capacity as a holder of equity interests in the Company with respect to matters of concern related to his equity interests. Nor shall this provision be deemed to limit competitive speech or commercial comparisons regarding services or products by Executive following expiration of the period during which Executive is prohibited from competing with the Company, provided, however, that any such statements made by Executive do not disclose any Confidential Information and Trade secrets within the meaning of Section 8(a) above or any term of this Agreement considered by the Company to be confidential.</w:t>
      </w:r>
    </w:p>
    <w:p>
      <w:pPr>
        <w:spacing w:after="0" w:line="160" w:lineRule="exact"/>
        <w:rPr>
          <w:rFonts w:ascii="Times New Roman" w:cs="Times New Roman" w:eastAsia="Times New Roman" w:hAnsi="Times New Roman"/>
          <w:sz w:val="18"/>
          <w:szCs w:val="18"/>
          <w:b w:val="1"/>
          <w:bCs w:val="1"/>
          <w:color w:val="auto"/>
        </w:rPr>
      </w:pPr>
    </w:p>
    <w:p>
      <w:pPr>
        <w:jc w:val="both"/>
        <w:ind w:left="741" w:hanging="741"/>
        <w:spacing w:after="0" w:line="249" w:lineRule="auto"/>
        <w:tabs>
          <w:tab w:leader="none" w:pos="74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Conflict of Interest. </w:t>
      </w:r>
      <w:r>
        <w:rPr>
          <w:rFonts w:ascii="Times New Roman" w:cs="Times New Roman" w:eastAsia="Times New Roman" w:hAnsi="Times New Roman"/>
          <w:sz w:val="18"/>
          <w:szCs w:val="18"/>
          <w:color w:val="auto"/>
        </w:rPr>
        <w:t>Executive may not use his position at the Company, or knowledge of any of the Company’s Confidential Information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Secrets, or any of the Company’s assets, for personal gain. A direct or indirect financial interest, including joint ventures in or with a supplier,</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9" w:name="page20"/>
    <w:bookmarkEnd w:id="19"/>
    <w:p>
      <w:pPr>
        <w:ind w:left="741"/>
        <w:spacing w:after="0"/>
        <w:rPr>
          <w:sz w:val="20"/>
          <w:szCs w:val="20"/>
          <w:color w:val="auto"/>
        </w:rPr>
      </w:pPr>
      <w:r>
        <w:rPr>
          <w:rFonts w:ascii="Times New Roman" w:cs="Times New Roman" w:eastAsia="Times New Roman" w:hAnsi="Times New Roman"/>
          <w:sz w:val="18"/>
          <w:szCs w:val="18"/>
          <w:color w:val="auto"/>
        </w:rPr>
        <w:t>vendor, customer or prospective customer without disclosure and written approval from the Board is strictly prohibited.</w:t>
      </w:r>
    </w:p>
    <w:p>
      <w:pPr>
        <w:spacing w:after="0" w:line="186" w:lineRule="exact"/>
        <w:rPr>
          <w:sz w:val="20"/>
          <w:szCs w:val="20"/>
          <w:color w:val="auto"/>
        </w:rPr>
      </w:pPr>
    </w:p>
    <w:p>
      <w:pPr>
        <w:jc w:val="both"/>
        <w:ind w:left="741" w:hanging="741"/>
        <w:spacing w:after="0" w:line="249" w:lineRule="auto"/>
        <w:tabs>
          <w:tab w:leader="none" w:pos="74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Restrictive Periods</w:t>
      </w:r>
      <w:r>
        <w:rPr>
          <w:rFonts w:ascii="Times New Roman" w:cs="Times New Roman" w:eastAsia="Times New Roman" w:hAnsi="Times New Roman"/>
          <w:sz w:val="18"/>
          <w:szCs w:val="18"/>
          <w:color w:val="auto"/>
        </w:rPr>
        <w:t>. The restrictive periods set forth in Section 8 of this Agreement shall not expire and shall be tolled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in which Executive is in violation of such restrictive periods, and therefore such restrictive period shall be extended for a period equal to the duration of Executive’s violation thereof.</w:t>
      </w:r>
    </w:p>
    <w:p>
      <w:pPr>
        <w:spacing w:after="0" w:line="150" w:lineRule="exact"/>
        <w:rPr>
          <w:rFonts w:ascii="Times New Roman" w:cs="Times New Roman" w:eastAsia="Times New Roman" w:hAnsi="Times New Roman"/>
          <w:sz w:val="18"/>
          <w:szCs w:val="18"/>
          <w:b w:val="1"/>
          <w:bCs w:val="1"/>
          <w:color w:val="auto"/>
        </w:rPr>
      </w:pPr>
    </w:p>
    <w:p>
      <w:pPr>
        <w:ind w:left="561" w:hanging="373"/>
        <w:spacing w:after="0"/>
        <w:tabs>
          <w:tab w:leader="none" w:pos="561" w:val="left"/>
        </w:tabs>
        <w:numPr>
          <w:ilvl w:val="1"/>
          <w:numId w:val="33"/>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E</w:t>
      </w:r>
      <w:r>
        <w:rPr>
          <w:rFonts w:ascii="Times New Roman" w:cs="Times New Roman" w:eastAsia="Times New Roman" w:hAnsi="Times New Roman"/>
          <w:sz w:val="12"/>
          <w:szCs w:val="12"/>
          <w:b w:val="1"/>
          <w:bCs w:val="1"/>
          <w:color w:val="0000FF"/>
        </w:rPr>
        <w:t>NFORCEMENT OF</w:t>
      </w:r>
      <w:r>
        <w:rPr>
          <w:rFonts w:ascii="Times New Roman" w:cs="Times New Roman" w:eastAsia="Times New Roman" w:hAnsi="Times New Roman"/>
          <w:sz w:val="18"/>
          <w:szCs w:val="18"/>
          <w:b w:val="1"/>
          <w:bCs w:val="1"/>
          <w:color w:val="0000FF"/>
        </w:rPr>
        <w:t xml:space="preserve"> C</w:t>
      </w:r>
      <w:r>
        <w:rPr>
          <w:rFonts w:ascii="Times New Roman" w:cs="Times New Roman" w:eastAsia="Times New Roman" w:hAnsi="Times New Roman"/>
          <w:sz w:val="12"/>
          <w:szCs w:val="12"/>
          <w:b w:val="1"/>
          <w:bCs w:val="1"/>
          <w:color w:val="0000FF"/>
        </w:rPr>
        <w:t>OVENANTS</w:t>
      </w:r>
      <w:r>
        <w:rPr>
          <w:rFonts w:ascii="Times New Roman" w:cs="Times New Roman" w:eastAsia="Times New Roman" w:hAnsi="Times New Roman"/>
          <w:sz w:val="18"/>
          <w:szCs w:val="18"/>
          <w:b w:val="1"/>
          <w:bCs w:val="1"/>
          <w:color w:val="0000FF"/>
        </w:rPr>
        <w:t>.</w:t>
      </w:r>
    </w:p>
    <w:p>
      <w:pPr>
        <w:spacing w:after="0" w:line="190" w:lineRule="exact"/>
        <w:rPr>
          <w:sz w:val="20"/>
          <w:szCs w:val="20"/>
          <w:color w:val="auto"/>
        </w:rPr>
      </w:pPr>
    </w:p>
    <w:p>
      <w:pPr>
        <w:jc w:val="both"/>
        <w:ind w:left="741" w:hanging="741"/>
        <w:spacing w:after="0" w:line="236" w:lineRule="auto"/>
        <w:tabs>
          <w:tab w:leader="none" w:pos="74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and Forfeiture of Compensation. </w:t>
      </w:r>
      <w:r>
        <w:rPr>
          <w:rFonts w:ascii="Times New Roman" w:cs="Times New Roman" w:eastAsia="Times New Roman" w:hAnsi="Times New Roman"/>
          <w:sz w:val="18"/>
          <w:szCs w:val="18"/>
          <w:color w:val="auto"/>
        </w:rPr>
        <w:t>Executive agrees that in the event he has materially breached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set forth in Section 8 above during his employment, the Company shall have the right to terminate his employment for Justifiable Cause, but only if Executive fails to cure such breach within a reasonable period of time following his receipt from the Company of written notice of such breach. In addition, Executive agrees that if he has materially breached any of the covenants set forth in Section 8 at any time, the Company shall have the right to discontinue any or all remaining benefits payable pursuant to Section 7 above, as applicable, but only if Executive fails to cure such breach within a reasonable period of time following his receipt from the Company of written notice of such breach. Such termination of employment or discontinuance of benefits shall be in addition to and shall not limit any and all other rights and remedies that the Company may have against Executive and the release set forth in Section 7(a)(iii) shall remain in full force and effect.</w:t>
      </w:r>
    </w:p>
    <w:p>
      <w:pPr>
        <w:spacing w:after="0" w:line="159" w:lineRule="exact"/>
        <w:rPr>
          <w:rFonts w:ascii="Times New Roman" w:cs="Times New Roman" w:eastAsia="Times New Roman" w:hAnsi="Times New Roman"/>
          <w:sz w:val="18"/>
          <w:szCs w:val="18"/>
          <w:b w:val="1"/>
          <w:bCs w:val="1"/>
          <w:color w:val="auto"/>
        </w:rPr>
      </w:pPr>
    </w:p>
    <w:p>
      <w:pPr>
        <w:jc w:val="both"/>
        <w:ind w:left="741" w:hanging="741"/>
        <w:spacing w:after="0"/>
        <w:tabs>
          <w:tab w:leader="none" w:pos="74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to Injunction. </w:t>
      </w:r>
      <w:r>
        <w:rPr>
          <w:rFonts w:ascii="Times New Roman" w:cs="Times New Roman" w:eastAsia="Times New Roman" w:hAnsi="Times New Roman"/>
          <w:sz w:val="18"/>
          <w:szCs w:val="18"/>
          <w:color w:val="auto"/>
        </w:rPr>
        <w:t>Executive acknowledges and agrees that compliance with the covenants set forth in this Agreement is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the business and goodwill of the Company and any breach of the covenants set forth in Section 8 above will cause irreparable damage to the Company with respect to which the Company’s remedy at law for damages will be inadequate. Therefore, in the event of breach or anticipatory breach of the covenants set forth in this Section 8 by Executive, Executive and the Company agree that the Company shall be entitled to seek the following particular forms of relief, in addition to any remedies otherwise available to it at law or equity and without the need for posting any bond: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Section 8.</w:t>
      </w:r>
    </w:p>
    <w:p>
      <w:pPr>
        <w:spacing w:after="0" w:line="330" w:lineRule="exact"/>
        <w:rPr>
          <w:rFonts w:ascii="Times New Roman" w:cs="Times New Roman" w:eastAsia="Times New Roman" w:hAnsi="Times New Roman"/>
          <w:sz w:val="18"/>
          <w:szCs w:val="18"/>
          <w:b w:val="1"/>
          <w:bCs w:val="1"/>
          <w:color w:val="auto"/>
        </w:rPr>
      </w:pPr>
    </w:p>
    <w:p>
      <w:pPr>
        <w:jc w:val="both"/>
        <w:ind w:left="741" w:hanging="741"/>
        <w:spacing w:after="0" w:line="235" w:lineRule="auto"/>
        <w:tabs>
          <w:tab w:leader="none" w:pos="74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Separability of Covenants. </w:t>
      </w:r>
      <w:r>
        <w:rPr>
          <w:rFonts w:ascii="Times New Roman" w:cs="Times New Roman" w:eastAsia="Times New Roman" w:hAnsi="Times New Roman"/>
          <w:sz w:val="18"/>
          <w:szCs w:val="18"/>
          <w:color w:val="auto"/>
        </w:rPr>
        <w:t>The covenants contained in Section 8 above constitute a series of separate covenants, one for each applicable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and the District of Columbia, and one for each applicable foreign country. If in any judicial proceeding, a court shall hold that any covenant set forth in Section 8 is not permitted by applicable law, then Executive and the Company agree that such provision shall and is hereby reformed to the reasonable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Justifiable Cause of action by Executive against the Company whether predicated on this Agreement or otherwise, shall not constitute a defense to the enforcement by the Company of any of the covenants set forth in Section 8.</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20" w:name="page21"/>
    <w:bookmarkEnd w:id="20"/>
    <w:p>
      <w:pPr>
        <w:ind w:left="560" w:hanging="373"/>
        <w:spacing w:after="0"/>
        <w:tabs>
          <w:tab w:leader="none" w:pos="560" w:val="left"/>
        </w:tabs>
        <w:numPr>
          <w:ilvl w:val="0"/>
          <w:numId w:val="35"/>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W</w:t>
      </w:r>
      <w:r>
        <w:rPr>
          <w:rFonts w:ascii="Times New Roman" w:cs="Times New Roman" w:eastAsia="Times New Roman" w:hAnsi="Times New Roman"/>
          <w:sz w:val="12"/>
          <w:szCs w:val="12"/>
          <w:b w:val="1"/>
          <w:bCs w:val="1"/>
          <w:color w:val="0000FF"/>
        </w:rPr>
        <w:t>ITHHOLDING OF</w:t>
      </w:r>
      <w:r>
        <w:rPr>
          <w:rFonts w:ascii="Times New Roman" w:cs="Times New Roman" w:eastAsia="Times New Roman" w:hAnsi="Times New Roman"/>
          <w:sz w:val="18"/>
          <w:szCs w:val="18"/>
          <w:b w:val="1"/>
          <w:bCs w:val="1"/>
          <w:color w:val="0000FF"/>
        </w:rPr>
        <w:t xml:space="preserve"> T</w:t>
      </w:r>
      <w:r>
        <w:rPr>
          <w:rFonts w:ascii="Times New Roman" w:cs="Times New Roman" w:eastAsia="Times New Roman" w:hAnsi="Times New Roman"/>
          <w:sz w:val="12"/>
          <w:szCs w:val="12"/>
          <w:b w:val="1"/>
          <w:bCs w:val="1"/>
          <w:color w:val="0000FF"/>
        </w:rPr>
        <w:t>AXES</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withhold from any compensation and benefits payable under this Agreement all applicable federal, state, local, or other taxes.</w:t>
      </w:r>
    </w:p>
    <w:p>
      <w:pPr>
        <w:spacing w:after="0" w:line="186" w:lineRule="exact"/>
        <w:rPr>
          <w:sz w:val="20"/>
          <w:szCs w:val="20"/>
          <w:color w:val="auto"/>
        </w:rPr>
      </w:pPr>
    </w:p>
    <w:p>
      <w:pPr>
        <w:ind w:left="560" w:hanging="373"/>
        <w:spacing w:after="0"/>
        <w:tabs>
          <w:tab w:leader="none" w:pos="560" w:val="left"/>
        </w:tabs>
        <w:numPr>
          <w:ilvl w:val="0"/>
          <w:numId w:val="36"/>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N</w:t>
      </w:r>
      <w:r>
        <w:rPr>
          <w:rFonts w:ascii="Times New Roman" w:cs="Times New Roman" w:eastAsia="Times New Roman" w:hAnsi="Times New Roman"/>
          <w:sz w:val="12"/>
          <w:szCs w:val="12"/>
          <w:b w:val="1"/>
          <w:bCs w:val="1"/>
          <w:color w:val="0000FF"/>
        </w:rPr>
        <w:t>O</w:t>
      </w:r>
      <w:r>
        <w:rPr>
          <w:rFonts w:ascii="Times New Roman" w:cs="Times New Roman" w:eastAsia="Times New Roman" w:hAnsi="Times New Roman"/>
          <w:sz w:val="18"/>
          <w:szCs w:val="18"/>
          <w:b w:val="1"/>
          <w:bCs w:val="1"/>
          <w:color w:val="0000FF"/>
        </w:rPr>
        <w:t xml:space="preserve"> C</w:t>
      </w:r>
      <w:r>
        <w:rPr>
          <w:rFonts w:ascii="Times New Roman" w:cs="Times New Roman" w:eastAsia="Times New Roman" w:hAnsi="Times New Roman"/>
          <w:sz w:val="12"/>
          <w:szCs w:val="12"/>
          <w:b w:val="1"/>
          <w:bCs w:val="1"/>
          <w:color w:val="0000FF"/>
        </w:rPr>
        <w:t>LAIM</w:t>
      </w:r>
      <w:r>
        <w:rPr>
          <w:rFonts w:ascii="Times New Roman" w:cs="Times New Roman" w:eastAsia="Times New Roman" w:hAnsi="Times New Roman"/>
          <w:sz w:val="18"/>
          <w:szCs w:val="18"/>
          <w:b w:val="1"/>
          <w:bCs w:val="1"/>
          <w:color w:val="0000FF"/>
        </w:rPr>
        <w:t xml:space="preserve"> A</w:t>
      </w:r>
      <w:r>
        <w:rPr>
          <w:rFonts w:ascii="Times New Roman" w:cs="Times New Roman" w:eastAsia="Times New Roman" w:hAnsi="Times New Roman"/>
          <w:sz w:val="12"/>
          <w:szCs w:val="12"/>
          <w:b w:val="1"/>
          <w:bCs w:val="1"/>
          <w:color w:val="0000FF"/>
        </w:rPr>
        <w:t>GAINST</w:t>
      </w:r>
      <w:r>
        <w:rPr>
          <w:rFonts w:ascii="Times New Roman" w:cs="Times New Roman" w:eastAsia="Times New Roman" w:hAnsi="Times New Roman"/>
          <w:sz w:val="18"/>
          <w:szCs w:val="18"/>
          <w:b w:val="1"/>
          <w:bCs w:val="1"/>
          <w:color w:val="0000FF"/>
        </w:rPr>
        <w:t xml:space="preserve"> A</w:t>
      </w:r>
      <w:r>
        <w:rPr>
          <w:rFonts w:ascii="Times New Roman" w:cs="Times New Roman" w:eastAsia="Times New Roman" w:hAnsi="Times New Roman"/>
          <w:sz w:val="12"/>
          <w:szCs w:val="12"/>
          <w:b w:val="1"/>
          <w:bCs w:val="1"/>
          <w:color w:val="0000FF"/>
        </w:rPr>
        <w:t>SSETS</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Nothing in this Agreement shall be construed as giving Executive any claim against any specific assets of the Company or as imposing any trustee relationship upon the Company in respect of Executive. The Company shall not be required to establish a special or separate fund or to segregate any of its assets in order to provide for the satisfaction of its obligations under this Agreement. Executive’s rights under this Agreement shall be limited to those of an unsecured general creditor of the Company and its affiliates.</w:t>
      </w:r>
    </w:p>
    <w:p>
      <w:pPr>
        <w:spacing w:after="0" w:line="158" w:lineRule="exact"/>
        <w:rPr>
          <w:sz w:val="20"/>
          <w:szCs w:val="20"/>
          <w:color w:val="auto"/>
        </w:rPr>
      </w:pPr>
    </w:p>
    <w:p>
      <w:pPr>
        <w:ind w:left="560" w:hanging="373"/>
        <w:spacing w:after="0"/>
        <w:tabs>
          <w:tab w:leader="none" w:pos="560" w:val="left"/>
        </w:tabs>
        <w:numPr>
          <w:ilvl w:val="0"/>
          <w:numId w:val="37"/>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R</w:t>
      </w:r>
      <w:r>
        <w:rPr>
          <w:rFonts w:ascii="Times New Roman" w:cs="Times New Roman" w:eastAsia="Times New Roman" w:hAnsi="Times New Roman"/>
          <w:sz w:val="12"/>
          <w:szCs w:val="12"/>
          <w:b w:val="1"/>
          <w:bCs w:val="1"/>
          <w:color w:val="0000FF"/>
        </w:rPr>
        <w:t>EPRESENTATIONS</w:t>
      </w:r>
      <w:r>
        <w:rPr>
          <w:rFonts w:ascii="Times New Roman" w:cs="Times New Roman" w:eastAsia="Times New Roman" w:hAnsi="Times New Roman"/>
          <w:sz w:val="18"/>
          <w:szCs w:val="18"/>
          <w:b w:val="1"/>
          <w:bCs w:val="1"/>
          <w:color w:val="0000FF"/>
        </w:rPr>
        <w:t xml:space="preserve"> A</w:t>
      </w:r>
      <w:r>
        <w:rPr>
          <w:rFonts w:ascii="Times New Roman" w:cs="Times New Roman" w:eastAsia="Times New Roman" w:hAnsi="Times New Roman"/>
          <w:sz w:val="12"/>
          <w:szCs w:val="12"/>
          <w:b w:val="1"/>
          <w:bCs w:val="1"/>
          <w:color w:val="0000FF"/>
        </w:rPr>
        <w:t>ND</w:t>
      </w:r>
      <w:r>
        <w:rPr>
          <w:rFonts w:ascii="Times New Roman" w:cs="Times New Roman" w:eastAsia="Times New Roman" w:hAnsi="Times New Roman"/>
          <w:sz w:val="18"/>
          <w:szCs w:val="18"/>
          <w:b w:val="1"/>
          <w:bCs w:val="1"/>
          <w:color w:val="0000FF"/>
        </w:rPr>
        <w:t xml:space="preserve"> A</w:t>
      </w:r>
      <w:r>
        <w:rPr>
          <w:rFonts w:ascii="Times New Roman" w:cs="Times New Roman" w:eastAsia="Times New Roman" w:hAnsi="Times New Roman"/>
          <w:sz w:val="12"/>
          <w:szCs w:val="12"/>
          <w:b w:val="1"/>
          <w:bCs w:val="1"/>
          <w:color w:val="0000FF"/>
        </w:rPr>
        <w:t>GREEMENTS</w:t>
      </w:r>
      <w:r>
        <w:rPr>
          <w:rFonts w:ascii="Times New Roman" w:cs="Times New Roman" w:eastAsia="Times New Roman" w:hAnsi="Times New Roman"/>
          <w:sz w:val="18"/>
          <w:szCs w:val="18"/>
          <w:b w:val="1"/>
          <w:bCs w:val="1"/>
          <w:color w:val="0000FF"/>
        </w:rPr>
        <w:t xml:space="preserve"> O</w:t>
      </w:r>
      <w:r>
        <w:rPr>
          <w:rFonts w:ascii="Times New Roman" w:cs="Times New Roman" w:eastAsia="Times New Roman" w:hAnsi="Times New Roman"/>
          <w:sz w:val="12"/>
          <w:szCs w:val="12"/>
          <w:b w:val="1"/>
          <w:bCs w:val="1"/>
          <w:color w:val="0000FF"/>
        </w:rPr>
        <w:t>F</w:t>
      </w:r>
      <w:r>
        <w:rPr>
          <w:rFonts w:ascii="Times New Roman" w:cs="Times New Roman" w:eastAsia="Times New Roman" w:hAnsi="Times New Roman"/>
          <w:sz w:val="18"/>
          <w:szCs w:val="18"/>
          <w:b w:val="1"/>
          <w:bCs w:val="1"/>
          <w:color w:val="0000FF"/>
        </w:rPr>
        <w:t xml:space="preserve"> E</w:t>
      </w:r>
      <w:r>
        <w:rPr>
          <w:rFonts w:ascii="Times New Roman" w:cs="Times New Roman" w:eastAsia="Times New Roman" w:hAnsi="Times New Roman"/>
          <w:sz w:val="12"/>
          <w:szCs w:val="12"/>
          <w:b w:val="1"/>
          <w:bCs w:val="1"/>
          <w:color w:val="0000FF"/>
        </w:rPr>
        <w:t>XECUTIVE</w:t>
      </w:r>
    </w:p>
    <w:p>
      <w:pPr>
        <w:spacing w:after="0" w:line="194" w:lineRule="exact"/>
        <w:rPr>
          <w:rFonts w:ascii="Times New Roman" w:cs="Times New Roman" w:eastAsia="Times New Roman" w:hAnsi="Times New Roman"/>
          <w:sz w:val="18"/>
          <w:szCs w:val="18"/>
          <w:b w:val="1"/>
          <w:bCs w:val="1"/>
          <w:color w:val="0000FF"/>
        </w:rPr>
      </w:pPr>
    </w:p>
    <w:p>
      <w:pPr>
        <w:jc w:val="both"/>
        <w:ind w:firstLine="727"/>
        <w:spacing w:after="0" w:line="247" w:lineRule="auto"/>
        <w:tabs>
          <w:tab w:leader="none" w:pos="10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55" w:lineRule="exact"/>
        <w:rPr>
          <w:rFonts w:ascii="Times New Roman" w:cs="Times New Roman" w:eastAsia="Times New Roman" w:hAnsi="Times New Roman"/>
          <w:sz w:val="18"/>
          <w:szCs w:val="18"/>
          <w:color w:val="auto"/>
        </w:rPr>
      </w:pPr>
    </w:p>
    <w:p>
      <w:pPr>
        <w:jc w:val="both"/>
        <w:ind w:firstLine="1301"/>
        <w:spacing w:after="0" w:line="247" w:lineRule="auto"/>
        <w:tabs>
          <w:tab w:leader="none" w:pos="166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that he has never been convicted of a felony and he has not been convicted or incarcerated for a misdemeanor within the five years preceding the Commencement Date, other than a first conviction for drunkenness, simple assault, speeding, minor traffic violations, affray, or disturbance of the peace.</w:t>
      </w:r>
    </w:p>
    <w:p>
      <w:pPr>
        <w:spacing w:after="0" w:line="155" w:lineRule="exact"/>
        <w:rPr>
          <w:rFonts w:ascii="Times New Roman" w:cs="Times New Roman" w:eastAsia="Times New Roman" w:hAnsi="Times New Roman"/>
          <w:sz w:val="18"/>
          <w:szCs w:val="18"/>
          <w:color w:val="auto"/>
        </w:rPr>
      </w:pPr>
    </w:p>
    <w:p>
      <w:pPr>
        <w:jc w:val="both"/>
        <w:ind w:firstLine="1301"/>
        <w:spacing w:after="0" w:line="247" w:lineRule="auto"/>
        <w:tabs>
          <w:tab w:leader="none" w:pos="166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that he has never been a party to any judicial or administrative proceeding that resulted in a judgment, decree, or final order (i) enjoining him from future violations of, or prohibiting any violations of any federal or state securities law, or (ii) finding any violations of any federal or state securities law.</w:t>
      </w:r>
    </w:p>
    <w:p>
      <w:pPr>
        <w:spacing w:after="0" w:line="3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breach of any of the above representations and warranties is “Justifiable Cause” for termination under Section 5(c) of this Agreement.</w:t>
      </w:r>
    </w:p>
    <w:p>
      <w:pPr>
        <w:spacing w:after="0" w:line="236" w:lineRule="exact"/>
        <w:rPr>
          <w:sz w:val="20"/>
          <w:szCs w:val="20"/>
          <w:color w:val="auto"/>
        </w:rPr>
      </w:pPr>
    </w:p>
    <w:p>
      <w:pPr>
        <w:ind w:left="560" w:hanging="373"/>
        <w:spacing w:after="0"/>
        <w:tabs>
          <w:tab w:leader="none" w:pos="560" w:val="left"/>
        </w:tabs>
        <w:numPr>
          <w:ilvl w:val="0"/>
          <w:numId w:val="38"/>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S</w:t>
      </w:r>
      <w:r>
        <w:rPr>
          <w:rFonts w:ascii="Times New Roman" w:cs="Times New Roman" w:eastAsia="Times New Roman" w:hAnsi="Times New Roman"/>
          <w:sz w:val="12"/>
          <w:szCs w:val="12"/>
          <w:b w:val="1"/>
          <w:bCs w:val="1"/>
          <w:color w:val="0000FF"/>
        </w:rPr>
        <w:t>UCCESSORS AND</w:t>
      </w:r>
      <w:r>
        <w:rPr>
          <w:rFonts w:ascii="Times New Roman" w:cs="Times New Roman" w:eastAsia="Times New Roman" w:hAnsi="Times New Roman"/>
          <w:sz w:val="18"/>
          <w:szCs w:val="18"/>
          <w:b w:val="1"/>
          <w:bCs w:val="1"/>
          <w:color w:val="0000FF"/>
        </w:rPr>
        <w:t xml:space="preserve"> A</w:t>
      </w:r>
      <w:r>
        <w:rPr>
          <w:rFonts w:ascii="Times New Roman" w:cs="Times New Roman" w:eastAsia="Times New Roman" w:hAnsi="Times New Roman"/>
          <w:sz w:val="12"/>
          <w:szCs w:val="12"/>
          <w:b w:val="1"/>
          <w:bCs w:val="1"/>
          <w:color w:val="0000FF"/>
        </w:rPr>
        <w:t>SSIGNMENT</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Except as otherwise provided in this Agreement, this Agreement shall inure to the benefit of and be binding upon the Parties hereto and their respective heirs, representatives, successors and assigns. The rights and benefits of Executive under this Agreement are personal to him and no such right or benefit shall be subject to voluntary or involuntary alienation, assignment or transfer; provided, however, that nothing in this Section 13 shall preclude Executive from designating a beneficiary or beneficiaries to receive any benefit payable on his death.</w:t>
      </w:r>
    </w:p>
    <w:p>
      <w:pPr>
        <w:spacing w:after="0" w:line="158" w:lineRule="exact"/>
        <w:rPr>
          <w:sz w:val="20"/>
          <w:szCs w:val="20"/>
          <w:color w:val="auto"/>
        </w:rPr>
      </w:pPr>
    </w:p>
    <w:p>
      <w:pPr>
        <w:ind w:left="560" w:hanging="373"/>
        <w:spacing w:after="0"/>
        <w:tabs>
          <w:tab w:leader="none" w:pos="560" w:val="left"/>
        </w:tabs>
        <w:numPr>
          <w:ilvl w:val="0"/>
          <w:numId w:val="39"/>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E</w:t>
      </w:r>
      <w:r>
        <w:rPr>
          <w:rFonts w:ascii="Times New Roman" w:cs="Times New Roman" w:eastAsia="Times New Roman" w:hAnsi="Times New Roman"/>
          <w:sz w:val="12"/>
          <w:szCs w:val="12"/>
          <w:b w:val="1"/>
          <w:bCs w:val="1"/>
          <w:color w:val="0000FF"/>
        </w:rPr>
        <w:t>NTIRE</w:t>
      </w:r>
      <w:r>
        <w:rPr>
          <w:rFonts w:ascii="Times New Roman" w:cs="Times New Roman" w:eastAsia="Times New Roman" w:hAnsi="Times New Roman"/>
          <w:sz w:val="18"/>
          <w:szCs w:val="18"/>
          <w:b w:val="1"/>
          <w:bCs w:val="1"/>
          <w:color w:val="0000FF"/>
        </w:rPr>
        <w:t xml:space="preserve"> A</w:t>
      </w:r>
      <w:r>
        <w:rPr>
          <w:rFonts w:ascii="Times New Roman" w:cs="Times New Roman" w:eastAsia="Times New Roman" w:hAnsi="Times New Roman"/>
          <w:sz w:val="12"/>
          <w:szCs w:val="12"/>
          <w:b w:val="1"/>
          <w:bCs w:val="1"/>
          <w:color w:val="0000FF"/>
        </w:rPr>
        <w:t>GREEMENT</w:t>
      </w:r>
      <w:r>
        <w:rPr>
          <w:rFonts w:ascii="Times New Roman" w:cs="Times New Roman" w:eastAsia="Times New Roman" w:hAnsi="Times New Roman"/>
          <w:sz w:val="18"/>
          <w:szCs w:val="18"/>
          <w:b w:val="1"/>
          <w:bCs w:val="1"/>
          <w:color w:val="0000FF"/>
        </w:rPr>
        <w:t>; A</w:t>
      </w:r>
      <w:r>
        <w:rPr>
          <w:rFonts w:ascii="Times New Roman" w:cs="Times New Roman" w:eastAsia="Times New Roman" w:hAnsi="Times New Roman"/>
          <w:sz w:val="12"/>
          <w:szCs w:val="12"/>
          <w:b w:val="1"/>
          <w:bCs w:val="1"/>
          <w:color w:val="0000FF"/>
        </w:rPr>
        <w:t>MENDMENT</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the Commencement Date, this Agreement, as amended and restated, shall supersede any and all existing oral or written agreements, representations, or warranties between Executive and the Company or any of its subsidiaries or affiliated entities relating to the terms of Executive’s employment. For the avoidance of doubt, the 2016 Plan and LTIP are not incorporated by reference into this Agreement. This Agreement may not be amended except by a written agreement signed by both Parties. Each Party may, in its sole discretion, during the term of Executive’s employment with the Company and thereafter, provide</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184150</wp:posOffset>
            </wp:positionV>
            <wp:extent cx="7168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1" w:name="page22"/>
    <w:bookmarkEnd w:id="21"/>
    <w:p>
      <w:pPr>
        <w:jc w:val="both"/>
        <w:ind w:left="1"/>
        <w:spacing w:after="0" w:line="237" w:lineRule="auto"/>
        <w:rPr>
          <w:sz w:val="20"/>
          <w:szCs w:val="20"/>
          <w:color w:val="auto"/>
        </w:rPr>
      </w:pPr>
      <w:r>
        <w:rPr>
          <w:rFonts w:ascii="Times New Roman" w:cs="Times New Roman" w:eastAsia="Times New Roman" w:hAnsi="Times New Roman"/>
          <w:sz w:val="18"/>
          <w:szCs w:val="18"/>
          <w:color w:val="auto"/>
        </w:rPr>
        <w:t>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Sections 4(f), 4(g), 8 or 9 of this Agreement, which shall remain in full force and effect except as may be modified by a subsequent written agreement. Executive understands that he is advised to consult with an attorney before signing this Agreement, and confirms that he has in fact been represented by an attorney throughout the negotiation of and prior to signing this Agreement.</w:t>
      </w:r>
    </w:p>
    <w:p>
      <w:pPr>
        <w:spacing w:after="0" w:line="160" w:lineRule="exact"/>
        <w:rPr>
          <w:sz w:val="20"/>
          <w:szCs w:val="20"/>
          <w:color w:val="auto"/>
        </w:rPr>
      </w:pPr>
    </w:p>
    <w:p>
      <w:pPr>
        <w:ind w:left="561" w:hanging="373"/>
        <w:spacing w:after="0"/>
        <w:tabs>
          <w:tab w:leader="none" w:pos="561" w:val="left"/>
        </w:tabs>
        <w:numPr>
          <w:ilvl w:val="0"/>
          <w:numId w:val="40"/>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G</w:t>
      </w:r>
      <w:r>
        <w:rPr>
          <w:rFonts w:ascii="Times New Roman" w:cs="Times New Roman" w:eastAsia="Times New Roman" w:hAnsi="Times New Roman"/>
          <w:sz w:val="12"/>
          <w:szCs w:val="12"/>
          <w:b w:val="1"/>
          <w:bCs w:val="1"/>
          <w:color w:val="0000FF"/>
        </w:rPr>
        <w:t>OVERNING</w:t>
      </w:r>
      <w:r>
        <w:rPr>
          <w:rFonts w:ascii="Times New Roman" w:cs="Times New Roman" w:eastAsia="Times New Roman" w:hAnsi="Times New Roman"/>
          <w:sz w:val="18"/>
          <w:szCs w:val="18"/>
          <w:b w:val="1"/>
          <w:bCs w:val="1"/>
          <w:color w:val="0000FF"/>
        </w:rPr>
        <w:t xml:space="preserve"> L</w:t>
      </w:r>
      <w:r>
        <w:rPr>
          <w:rFonts w:ascii="Times New Roman" w:cs="Times New Roman" w:eastAsia="Times New Roman" w:hAnsi="Times New Roman"/>
          <w:sz w:val="12"/>
          <w:szCs w:val="12"/>
          <w:b w:val="1"/>
          <w:bCs w:val="1"/>
          <w:color w:val="0000FF"/>
        </w:rPr>
        <w:t>AW</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jc w:val="both"/>
        <w:ind w:left="1"/>
        <w:spacing w:after="0" w:line="235" w:lineRule="auto"/>
        <w:rPr>
          <w:sz w:val="20"/>
          <w:szCs w:val="20"/>
          <w:color w:val="auto"/>
        </w:rPr>
      </w:pPr>
      <w:r>
        <w:rPr>
          <w:rFonts w:ascii="Times New Roman" w:cs="Times New Roman" w:eastAsia="Times New Roman" w:hAnsi="Times New Roman"/>
          <w:sz w:val="18"/>
          <w:szCs w:val="18"/>
          <w:color w:val="auto"/>
        </w:rPr>
        <w:t xml:space="preserve">This Agreement shall be governed by and construed in accordance with the domestic substantive laws of the Commonwealth of Massachusetts, without giving effect to any conflicts or choice of laws rule or provision that would result in the application of the domestic substantive laws of any other jurisdiction. 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federal court in Boston or in Superior Court in Suffolk or Norfolk County, Commonwealth of Massachusetts, which courts shall have exclusive jurisdiction, and each party consents to the personal jurisdiction of any such state or federal court. Executive agrees and acknowledges that this is a proper and convenient forum and will not raise objections to this venue based on inconvenient forum, improper venue or similar grounds. </w:t>
      </w:r>
      <w:r>
        <w:rPr>
          <w:rFonts w:ascii="Times New Roman" w:cs="Times New Roman" w:eastAsia="Times New Roman" w:hAnsi="Times New Roman"/>
          <w:sz w:val="18"/>
          <w:szCs w:val="18"/>
          <w:b w:val="1"/>
          <w:bCs w:val="1"/>
          <w:color w:val="auto"/>
        </w:rPr>
        <w:t>By signing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both parties expressly waive their right to a trial by jury in any such actions filed.</w:t>
      </w:r>
    </w:p>
    <w:p>
      <w:pPr>
        <w:spacing w:after="0" w:line="163" w:lineRule="exact"/>
        <w:rPr>
          <w:sz w:val="20"/>
          <w:szCs w:val="20"/>
          <w:color w:val="auto"/>
        </w:rPr>
      </w:pPr>
    </w:p>
    <w:p>
      <w:pPr>
        <w:ind w:left="561" w:hanging="373"/>
        <w:spacing w:after="0"/>
        <w:tabs>
          <w:tab w:leader="none" w:pos="561" w:val="left"/>
        </w:tabs>
        <w:numPr>
          <w:ilvl w:val="1"/>
          <w:numId w:val="41"/>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S</w:t>
      </w:r>
      <w:r>
        <w:rPr>
          <w:rFonts w:ascii="Times New Roman" w:cs="Times New Roman" w:eastAsia="Times New Roman" w:hAnsi="Times New Roman"/>
          <w:sz w:val="12"/>
          <w:szCs w:val="12"/>
          <w:b w:val="1"/>
          <w:bCs w:val="1"/>
          <w:color w:val="0000FF"/>
        </w:rPr>
        <w:t>ECTION</w:t>
      </w:r>
      <w:r>
        <w:rPr>
          <w:rFonts w:ascii="Times New Roman" w:cs="Times New Roman" w:eastAsia="Times New Roman" w:hAnsi="Times New Roman"/>
          <w:sz w:val="18"/>
          <w:szCs w:val="18"/>
          <w:b w:val="1"/>
          <w:bCs w:val="1"/>
          <w:color w:val="0000FF"/>
        </w:rPr>
        <w:t xml:space="preserve"> 409</w:t>
      </w:r>
      <w:r>
        <w:rPr>
          <w:rFonts w:ascii="Times New Roman" w:cs="Times New Roman" w:eastAsia="Times New Roman" w:hAnsi="Times New Roman"/>
          <w:sz w:val="12"/>
          <w:szCs w:val="12"/>
          <w:b w:val="1"/>
          <w:bCs w:val="1"/>
          <w:color w:val="0000FF"/>
        </w:rPr>
        <w:t>A</w:t>
      </w:r>
    </w:p>
    <w:p>
      <w:pPr>
        <w:spacing w:after="0" w:line="194" w:lineRule="exact"/>
        <w:rPr>
          <w:rFonts w:ascii="Times New Roman" w:cs="Times New Roman" w:eastAsia="Times New Roman" w:hAnsi="Times New Roman"/>
          <w:sz w:val="18"/>
          <w:szCs w:val="18"/>
          <w:b w:val="1"/>
          <w:bCs w:val="1"/>
          <w:color w:val="0000FF"/>
        </w:rPr>
      </w:pPr>
    </w:p>
    <w:p>
      <w:pPr>
        <w:jc w:val="both"/>
        <w:ind w:left="741" w:hanging="741"/>
        <w:spacing w:after="0" w:line="237" w:lineRule="auto"/>
        <w:tabs>
          <w:tab w:leader="none" w:pos="7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does not guarantee the tax treatment of any payments under the Agreement, the intent of the Parties is that the payments and benefits under this Agreement be exempt from, or comply with, Section 409A of the Code and all Treasury Regulations and guidance promulgated thereunder (“</w:t>
      </w:r>
      <w:r>
        <w:rPr>
          <w:rFonts w:ascii="Times New Roman" w:cs="Times New Roman" w:eastAsia="Times New Roman" w:hAnsi="Times New Roman"/>
          <w:sz w:val="18"/>
          <w:szCs w:val="18"/>
          <w:i w:val="1"/>
          <w:iCs w:val="1"/>
          <w:u w:val="single" w:color="auto"/>
          <w:color w:val="auto"/>
        </w:rPr>
        <w:t>Code Section 409A</w:t>
      </w:r>
      <w:r>
        <w:rPr>
          <w:rFonts w:ascii="Times New Roman" w:cs="Times New Roman" w:eastAsia="Times New Roman" w:hAnsi="Times New Roman"/>
          <w:sz w:val="18"/>
          <w:szCs w:val="18"/>
          <w:color w:val="auto"/>
        </w:rPr>
        <w:t>”) and to the maximum extent permitted the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Executive by Code Section 409A or damages for failing to comply with Code Section 409A.</w:t>
      </w:r>
    </w:p>
    <w:p>
      <w:pPr>
        <w:spacing w:after="0" w:line="160" w:lineRule="exact"/>
        <w:rPr>
          <w:rFonts w:ascii="Times New Roman" w:cs="Times New Roman" w:eastAsia="Times New Roman" w:hAnsi="Times New Roman"/>
          <w:sz w:val="18"/>
          <w:szCs w:val="18"/>
          <w:b w:val="1"/>
          <w:bCs w:val="1"/>
          <w:color w:val="auto"/>
        </w:rPr>
      </w:pPr>
    </w:p>
    <w:p>
      <w:pPr>
        <w:jc w:val="both"/>
        <w:ind w:left="741" w:hanging="741"/>
        <w:spacing w:after="0" w:line="239" w:lineRule="auto"/>
        <w:tabs>
          <w:tab w:leader="none" w:pos="7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Agreement to the contrary, to the extent that any reimbursement of expenses constitutes “</w:t>
      </w:r>
      <w:r>
        <w:rPr>
          <w:rFonts w:ascii="Times New Roman" w:cs="Times New Roman" w:eastAsia="Times New Roman" w:hAnsi="Times New Roman"/>
          <w:sz w:val="18"/>
          <w:szCs w:val="18"/>
          <w:i w:val="1"/>
          <w:iCs w:val="1"/>
          <w:u w:val="single" w:color="auto"/>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compensation</w:t>
      </w:r>
      <w:r>
        <w:rPr>
          <w:rFonts w:ascii="Times New Roman" w:cs="Times New Roman" w:eastAsia="Times New Roman" w:hAnsi="Times New Roman"/>
          <w:sz w:val="18"/>
          <w:szCs w:val="18"/>
          <w:color w:val="auto"/>
        </w:rPr>
        <w:t>” under Code Section 409A, such reimbursement shall be provided no later than December 31 of the year following the year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65" w:lineRule="exact"/>
        <w:rPr>
          <w:rFonts w:ascii="Times New Roman" w:cs="Times New Roman" w:eastAsia="Times New Roman" w:hAnsi="Times New Roman"/>
          <w:sz w:val="18"/>
          <w:szCs w:val="18"/>
          <w:b w:val="1"/>
          <w:bCs w:val="1"/>
          <w:color w:val="auto"/>
        </w:rPr>
      </w:pPr>
    </w:p>
    <w:p>
      <w:pPr>
        <w:jc w:val="both"/>
        <w:ind w:left="741" w:hanging="741"/>
        <w:spacing w:after="0" w:line="241" w:lineRule="auto"/>
        <w:tabs>
          <w:tab w:leader="none" w:pos="7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Code Section 409A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 Whenever a payment under this Agreement may be paid within a specified period, the actual date of payment within the specified period shall be within the sole discretion of the Company.</w:t>
      </w:r>
    </w:p>
    <w:p>
      <w:pPr>
        <w:spacing w:after="0" w:line="161" w:lineRule="exact"/>
        <w:rPr>
          <w:rFonts w:ascii="Times New Roman" w:cs="Times New Roman" w:eastAsia="Times New Roman" w:hAnsi="Times New Roman"/>
          <w:sz w:val="18"/>
          <w:szCs w:val="18"/>
          <w:b w:val="1"/>
          <w:bCs w:val="1"/>
          <w:color w:val="auto"/>
        </w:rPr>
      </w:pPr>
    </w:p>
    <w:p>
      <w:pPr>
        <w:ind w:left="741" w:hanging="741"/>
        <w:spacing w:after="0" w:line="264" w:lineRule="auto"/>
        <w:tabs>
          <w:tab w:leader="none" w:pos="7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Agreement to the contrary, if at the time of Executive’s separation from service (as defined in Code Section 409A), Executive is a “</w:t>
      </w:r>
      <w:r>
        <w:rPr>
          <w:rFonts w:ascii="Times New Roman" w:cs="Times New Roman" w:eastAsia="Times New Roman" w:hAnsi="Times New Roman"/>
          <w:sz w:val="18"/>
          <w:szCs w:val="18"/>
          <w:i w:val="1"/>
          <w:iCs w:val="1"/>
          <w:u w:val="single" w:color="auto"/>
          <w:color w:val="auto"/>
        </w:rPr>
        <w:t>Specified Employee</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22" w:name="page23"/>
    <w:bookmarkEnd w:id="22"/>
    <w:p>
      <w:pPr>
        <w:jc w:val="both"/>
        <w:ind w:left="741"/>
        <w:spacing w:after="0" w:line="235" w:lineRule="auto"/>
        <w:rPr>
          <w:sz w:val="20"/>
          <w:szCs w:val="20"/>
          <w:color w:val="auto"/>
        </w:rPr>
      </w:pPr>
      <w:r>
        <w:rPr>
          <w:rFonts w:ascii="Times New Roman" w:cs="Times New Roman" w:eastAsia="Times New Roman" w:hAnsi="Times New Roman"/>
          <w:sz w:val="18"/>
          <w:szCs w:val="18"/>
          <w:color w:val="auto"/>
        </w:rPr>
        <w:t>then the Company will defer the payment or commencement of any nonqualified deferred compensation subject to Code Section 409A payable upon separation from service (without any reduction in such payments or benefits ultimately paid or provided to Executive) until the 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 Executive will be a “</w:t>
      </w:r>
      <w:r>
        <w:rPr>
          <w:rFonts w:ascii="Times New Roman" w:cs="Times New Roman" w:eastAsia="Times New Roman" w:hAnsi="Times New Roman"/>
          <w:sz w:val="18"/>
          <w:szCs w:val="18"/>
          <w:i w:val="1"/>
          <w:iCs w:val="1"/>
          <w:u w:val="single" w:color="auto"/>
          <w:color w:val="auto"/>
        </w:rPr>
        <w:t>Specified Employee</w:t>
      </w:r>
      <w:r>
        <w:rPr>
          <w:rFonts w:ascii="Times New Roman" w:cs="Times New Roman" w:eastAsia="Times New Roman" w:hAnsi="Times New Roman"/>
          <w:sz w:val="18"/>
          <w:szCs w:val="18"/>
          <w:color w:val="auto"/>
        </w:rPr>
        <w:t>” for purposes of this Agreement if, on the date of Executive’s separation from service, Executive is an individual who is, under the method of determination adopted by the Company designated as, or within the category of employees deemed to be, a “</w:t>
      </w:r>
      <w:r>
        <w:rPr>
          <w:rFonts w:ascii="Times New Roman" w:cs="Times New Roman" w:eastAsia="Times New Roman" w:hAnsi="Times New Roman"/>
          <w:sz w:val="18"/>
          <w:szCs w:val="18"/>
          <w:i w:val="1"/>
          <w:iCs w:val="1"/>
          <w:u w:val="single" w:color="auto"/>
          <w:color w:val="auto"/>
        </w:rPr>
        <w:t>Specified Employee</w:t>
      </w:r>
      <w:r>
        <w:rPr>
          <w:rFonts w:ascii="Times New Roman" w:cs="Times New Roman" w:eastAsia="Times New Roman" w:hAnsi="Times New Roman"/>
          <w:sz w:val="18"/>
          <w:szCs w:val="18"/>
          <w:color w:val="auto"/>
        </w:rPr>
        <w:t>” within the meaning and in accordance with Treasury Regulation Section 1.409A-1(i). The Company shall determine in its sole discretion all matters relating to who is a “</w:t>
      </w:r>
      <w:r>
        <w:rPr>
          <w:rFonts w:ascii="Times New Roman" w:cs="Times New Roman" w:eastAsia="Times New Roman" w:hAnsi="Times New Roman"/>
          <w:sz w:val="18"/>
          <w:szCs w:val="18"/>
          <w:i w:val="1"/>
          <w:iCs w:val="1"/>
          <w:u w:val="single" w:color="auto"/>
          <w:color w:val="auto"/>
        </w:rPr>
        <w:t>Specified Employee</w:t>
      </w:r>
      <w:r>
        <w:rPr>
          <w:rFonts w:ascii="Times New Roman" w:cs="Times New Roman" w:eastAsia="Times New Roman" w:hAnsi="Times New Roman"/>
          <w:sz w:val="18"/>
          <w:szCs w:val="18"/>
          <w:color w:val="auto"/>
        </w:rPr>
        <w:t>” and the application of and effects of the change in such determination.</w:t>
      </w:r>
    </w:p>
    <w:p>
      <w:pPr>
        <w:spacing w:after="0" w:line="163" w:lineRule="exact"/>
        <w:rPr>
          <w:sz w:val="20"/>
          <w:szCs w:val="20"/>
          <w:color w:val="auto"/>
        </w:rPr>
      </w:pPr>
    </w:p>
    <w:p>
      <w:pPr>
        <w:jc w:val="both"/>
        <w:ind w:left="741" w:hanging="741"/>
        <w:spacing w:after="0" w:line="237" w:lineRule="auto"/>
        <w:tabs>
          <w:tab w:leader="none" w:pos="74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Agreement or elsewhere to the contrary, a termination of employment shall not be deemed to have occurred for purposes of any provision of this Agreement providing for the payment of any amounts or benefits that constitute “non-qualified deferred compensation” within the meaning of Code Section 409A upon or following a termination of the Employee’s employment unless such termination is also a “separation from service” within the meaning of Code Section 409A and, for purposes of any such provision of this Agreement, references to a “termination,” “termination of employment” or like terms shall mean “separation from service” and the date of such separation from service shall be the date of termination for purposes of any such payment or benefits.</w:t>
      </w:r>
    </w:p>
    <w:p>
      <w:pPr>
        <w:spacing w:after="0" w:line="160" w:lineRule="exact"/>
        <w:rPr>
          <w:rFonts w:ascii="Times New Roman" w:cs="Times New Roman" w:eastAsia="Times New Roman" w:hAnsi="Times New Roman"/>
          <w:sz w:val="18"/>
          <w:szCs w:val="18"/>
          <w:b w:val="1"/>
          <w:bCs w:val="1"/>
          <w:color w:val="auto"/>
        </w:rPr>
      </w:pPr>
    </w:p>
    <w:p>
      <w:pPr>
        <w:ind w:left="561" w:hanging="373"/>
        <w:spacing w:after="0"/>
        <w:tabs>
          <w:tab w:leader="none" w:pos="561" w:val="left"/>
        </w:tabs>
        <w:numPr>
          <w:ilvl w:val="1"/>
          <w:numId w:val="43"/>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L</w:t>
      </w:r>
      <w:r>
        <w:rPr>
          <w:rFonts w:ascii="Times New Roman" w:cs="Times New Roman" w:eastAsia="Times New Roman" w:hAnsi="Times New Roman"/>
          <w:sz w:val="12"/>
          <w:szCs w:val="12"/>
          <w:b w:val="1"/>
          <w:bCs w:val="1"/>
          <w:color w:val="0000FF"/>
        </w:rPr>
        <w:t>IMITATION ON</w:t>
      </w:r>
      <w:r>
        <w:rPr>
          <w:rFonts w:ascii="Times New Roman" w:cs="Times New Roman" w:eastAsia="Times New Roman" w:hAnsi="Times New Roman"/>
          <w:sz w:val="18"/>
          <w:szCs w:val="18"/>
          <w:b w:val="1"/>
          <w:bCs w:val="1"/>
          <w:color w:val="0000FF"/>
        </w:rPr>
        <w:t xml:space="preserve"> P</w:t>
      </w:r>
      <w:r>
        <w:rPr>
          <w:rFonts w:ascii="Times New Roman" w:cs="Times New Roman" w:eastAsia="Times New Roman" w:hAnsi="Times New Roman"/>
          <w:sz w:val="12"/>
          <w:szCs w:val="12"/>
          <w:b w:val="1"/>
          <w:bCs w:val="1"/>
          <w:color w:val="0000FF"/>
        </w:rPr>
        <w:t>AYMENTS</w:t>
      </w:r>
    </w:p>
    <w:p>
      <w:pPr>
        <w:spacing w:after="0" w:line="194" w:lineRule="exact"/>
        <w:rPr>
          <w:sz w:val="20"/>
          <w:szCs w:val="20"/>
          <w:color w:val="auto"/>
        </w:rPr>
      </w:pPr>
    </w:p>
    <w:p>
      <w:pPr>
        <w:ind w:left="741" w:right="280" w:hanging="741"/>
        <w:spacing w:after="0" w:line="247" w:lineRule="auto"/>
        <w:tabs>
          <w:tab w:leader="none" w:pos="74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any payments and other benefits provided for in this Agreement or otherwise payable to Executive (i) constitute “parachute payments” within the meaning of Section 280G of the Code, and (ii) but for this Section 17, would be subject to the excise tax imposed by Section 4999 of the Code, then any amounts payable under this Agreement or otherwise will be either:</w:t>
      </w:r>
    </w:p>
    <w:p>
      <w:pPr>
        <w:spacing w:after="0" w:line="155" w:lineRule="exact"/>
        <w:rPr>
          <w:rFonts w:ascii="Times New Roman" w:cs="Times New Roman" w:eastAsia="Times New Roman" w:hAnsi="Times New Roman"/>
          <w:sz w:val="18"/>
          <w:szCs w:val="18"/>
          <w:b w:val="1"/>
          <w:bCs w:val="1"/>
          <w:color w:val="auto"/>
        </w:rPr>
      </w:pPr>
    </w:p>
    <w:p>
      <w:pPr>
        <w:ind w:left="1121" w:hanging="746"/>
        <w:spacing w:after="0"/>
        <w:tabs>
          <w:tab w:leader="none" w:pos="1121"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delivered in full, or</w:t>
      </w:r>
    </w:p>
    <w:p>
      <w:pPr>
        <w:spacing w:after="0" w:line="190" w:lineRule="exact"/>
        <w:rPr>
          <w:rFonts w:ascii="Times New Roman" w:cs="Times New Roman" w:eastAsia="Times New Roman" w:hAnsi="Times New Roman"/>
          <w:sz w:val="18"/>
          <w:szCs w:val="18"/>
          <w:b w:val="1"/>
          <w:bCs w:val="1"/>
          <w:color w:val="auto"/>
        </w:rPr>
      </w:pPr>
    </w:p>
    <w:p>
      <w:pPr>
        <w:ind w:left="1121" w:right="220" w:hanging="746"/>
        <w:spacing w:after="0" w:line="264" w:lineRule="auto"/>
        <w:tabs>
          <w:tab w:leader="none" w:pos="1121"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delivered as to such lesser extent which would result in no portion of such benefits being subject to excise tax under Section 4999 of the Code,</w:t>
      </w:r>
    </w:p>
    <w:p>
      <w:pPr>
        <w:spacing w:after="0" w:line="140" w:lineRule="exact"/>
        <w:rPr>
          <w:rFonts w:ascii="Times New Roman" w:cs="Times New Roman" w:eastAsia="Times New Roman" w:hAnsi="Times New Roman"/>
          <w:sz w:val="18"/>
          <w:szCs w:val="18"/>
          <w:b w:val="1"/>
          <w:bCs w:val="1"/>
          <w:color w:val="auto"/>
        </w:rPr>
      </w:pPr>
    </w:p>
    <w:p>
      <w:pPr>
        <w:ind w:left="1121" w:right="20" w:hanging="746"/>
        <w:spacing w:after="0" w:line="247" w:lineRule="auto"/>
        <w:tabs>
          <w:tab w:leader="none" w:pos="1121"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w:t>
      </w:r>
    </w:p>
    <w:p>
      <w:pPr>
        <w:spacing w:after="0" w:line="155" w:lineRule="exact"/>
        <w:rPr>
          <w:rFonts w:ascii="Times New Roman" w:cs="Times New Roman" w:eastAsia="Times New Roman" w:hAnsi="Times New Roman"/>
          <w:sz w:val="18"/>
          <w:szCs w:val="18"/>
          <w:b w:val="1"/>
          <w:bCs w:val="1"/>
          <w:color w:val="auto"/>
        </w:rPr>
      </w:pPr>
    </w:p>
    <w:p>
      <w:pPr>
        <w:ind w:left="741" w:right="60" w:hanging="741"/>
        <w:spacing w:after="0" w:line="241" w:lineRule="auto"/>
        <w:tabs>
          <w:tab w:leader="none" w:pos="74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reduction in severance and other benefits constituting “parachute payments” is necessary so that benefits are delivered to a lesser extent, reduction will occur in the following order: (i) reduction of cash payments not subject to Code Section 409A and then cash payments subject to Code Section 409A; (ii) cancellation of accelerated vesting of equity awards (by cutting back performance-based awards first and then time-based awards, based on reverse order of vesting dates (rather than grant dates)), if applicable; and (iii) reduction of employee benefits.</w:t>
      </w:r>
    </w:p>
    <w:p>
      <w:pPr>
        <w:spacing w:after="0" w:line="161" w:lineRule="exact"/>
        <w:rPr>
          <w:rFonts w:ascii="Times New Roman" w:cs="Times New Roman" w:eastAsia="Times New Roman" w:hAnsi="Times New Roman"/>
          <w:sz w:val="18"/>
          <w:szCs w:val="18"/>
          <w:b w:val="1"/>
          <w:bCs w:val="1"/>
          <w:color w:val="auto"/>
        </w:rPr>
      </w:pPr>
    </w:p>
    <w:p>
      <w:pPr>
        <w:ind w:left="741" w:right="60" w:hanging="741"/>
        <w:spacing w:after="0" w:line="247" w:lineRule="auto"/>
        <w:tabs>
          <w:tab w:leader="none" w:pos="74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17 will be made in writing by the Company’s independent public accountants or by such other person or entity to which the parties mutually agree (the “Firm”), whose determination</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23" w:name="page24"/>
    <w:bookmarkEnd w:id="23"/>
    <w:p>
      <w:pPr>
        <w:ind w:left="741" w:right="40"/>
        <w:spacing w:after="0" w:line="239" w:lineRule="auto"/>
        <w:rPr>
          <w:sz w:val="20"/>
          <w:szCs w:val="20"/>
          <w:color w:val="auto"/>
        </w:rPr>
      </w:pPr>
      <w:r>
        <w:rPr>
          <w:rFonts w:ascii="Times New Roman" w:cs="Times New Roman" w:eastAsia="Times New Roman" w:hAnsi="Times New Roman"/>
          <w:sz w:val="18"/>
          <w:szCs w:val="18"/>
          <w:color w:val="auto"/>
        </w:rPr>
        <w:t>will be conclusive and binding upon Executive and the Company. For purposes of making the calculations required by this Section 17,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17.</w:t>
      </w:r>
    </w:p>
    <w:p>
      <w:pPr>
        <w:spacing w:after="0" w:line="157" w:lineRule="exact"/>
        <w:rPr>
          <w:sz w:val="20"/>
          <w:szCs w:val="20"/>
          <w:color w:val="auto"/>
        </w:rPr>
      </w:pPr>
    </w:p>
    <w:p>
      <w:pPr>
        <w:ind w:left="561" w:hanging="373"/>
        <w:spacing w:after="0"/>
        <w:tabs>
          <w:tab w:leader="none" w:pos="561" w:val="left"/>
        </w:tabs>
        <w:numPr>
          <w:ilvl w:val="0"/>
          <w:numId w:val="45"/>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N</w:t>
      </w:r>
      <w:r>
        <w:rPr>
          <w:rFonts w:ascii="Times New Roman" w:cs="Times New Roman" w:eastAsia="Times New Roman" w:hAnsi="Times New Roman"/>
          <w:sz w:val="12"/>
          <w:szCs w:val="12"/>
          <w:b w:val="1"/>
          <w:bCs w:val="1"/>
          <w:color w:val="0000FF"/>
        </w:rPr>
        <w:t>OTICES</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jc w:val="both"/>
        <w:ind w:left="1"/>
        <w:spacing w:after="0" w:line="241" w:lineRule="auto"/>
        <w:rPr>
          <w:sz w:val="20"/>
          <w:szCs w:val="20"/>
          <w:color w:val="auto"/>
        </w:rPr>
      </w:pPr>
      <w:r>
        <w:rPr>
          <w:rFonts w:ascii="Times New Roman" w:cs="Times New Roman" w:eastAsia="Times New Roman" w:hAnsi="Times New Roman"/>
          <w:sz w:val="18"/>
          <w:szCs w:val="18"/>
          <w:color w:val="auto"/>
        </w:rPr>
        <w:t>Any notice, consent, request or other communication made or given in connection with this Agreement shall be in writing and shall be deemed to have been duly given when delivered or mailed by nationally recognized overnight courier services, by registered or certified mail, return receipt requested, by facsimile or by hand delivery, to those listed below at their following respective addresses or at such other address as each may specify by notice to the others:</w:t>
      </w:r>
    </w:p>
    <w:p>
      <w:pPr>
        <w:spacing w:after="0" w:line="361" w:lineRule="exact"/>
        <w:rPr>
          <w:sz w:val="20"/>
          <w:szCs w:val="20"/>
          <w:color w:val="auto"/>
        </w:rPr>
      </w:pPr>
    </w:p>
    <w:p>
      <w:pPr>
        <w:ind w:left="741"/>
        <w:spacing w:after="0"/>
        <w:rPr>
          <w:sz w:val="20"/>
          <w:szCs w:val="20"/>
          <w:color w:val="auto"/>
        </w:rPr>
      </w:pPr>
      <w:r>
        <w:rPr>
          <w:rFonts w:ascii="Times New Roman" w:cs="Times New Roman" w:eastAsia="Times New Roman" w:hAnsi="Times New Roman"/>
          <w:sz w:val="18"/>
          <w:szCs w:val="18"/>
          <w:color w:val="auto"/>
        </w:rPr>
        <w:t>To the Company:</w:t>
      </w:r>
    </w:p>
    <w:p>
      <w:pPr>
        <w:spacing w:after="0" w:line="190" w:lineRule="exact"/>
        <w:rPr>
          <w:sz w:val="20"/>
          <w:szCs w:val="20"/>
          <w:color w:val="auto"/>
        </w:rPr>
      </w:pPr>
    </w:p>
    <w:p>
      <w:pPr>
        <w:ind w:left="1501"/>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 w:lineRule="exact"/>
        <w:rPr>
          <w:sz w:val="20"/>
          <w:szCs w:val="20"/>
          <w:color w:val="auto"/>
        </w:rPr>
      </w:pPr>
    </w:p>
    <w:p>
      <w:pPr>
        <w:ind w:left="1501"/>
        <w:spacing w:after="0"/>
        <w:rPr>
          <w:sz w:val="20"/>
          <w:szCs w:val="20"/>
          <w:color w:val="auto"/>
        </w:rPr>
      </w:pPr>
      <w:r>
        <w:rPr>
          <w:rFonts w:ascii="Times New Roman" w:cs="Times New Roman" w:eastAsia="Times New Roman" w:hAnsi="Times New Roman"/>
          <w:sz w:val="18"/>
          <w:szCs w:val="18"/>
          <w:color w:val="auto"/>
        </w:rPr>
        <w:t>555 Turnpike Street</w:t>
      </w:r>
    </w:p>
    <w:p>
      <w:pPr>
        <w:ind w:left="1501"/>
        <w:spacing w:after="0" w:line="230" w:lineRule="auto"/>
        <w:rPr>
          <w:sz w:val="20"/>
          <w:szCs w:val="20"/>
          <w:color w:val="auto"/>
        </w:rPr>
      </w:pPr>
      <w:r>
        <w:rPr>
          <w:rFonts w:ascii="Times New Roman" w:cs="Times New Roman" w:eastAsia="Times New Roman" w:hAnsi="Times New Roman"/>
          <w:sz w:val="18"/>
          <w:szCs w:val="18"/>
          <w:color w:val="auto"/>
        </w:rPr>
        <w:t>Canton, MA 02021</w:t>
      </w:r>
    </w:p>
    <w:p>
      <w:pPr>
        <w:ind w:left="1501"/>
        <w:spacing w:after="0"/>
        <w:rPr>
          <w:sz w:val="20"/>
          <w:szCs w:val="20"/>
          <w:color w:val="auto"/>
        </w:rPr>
      </w:pPr>
      <w:r>
        <w:rPr>
          <w:rFonts w:ascii="Times New Roman" w:cs="Times New Roman" w:eastAsia="Times New Roman" w:hAnsi="Times New Roman"/>
          <w:sz w:val="18"/>
          <w:szCs w:val="18"/>
          <w:color w:val="auto"/>
        </w:rPr>
        <w:t>Attention: Chair of the Board of Directors</w:t>
      </w:r>
    </w:p>
    <w:p>
      <w:pPr>
        <w:spacing w:after="0" w:line="170" w:lineRule="exact"/>
        <w:rPr>
          <w:sz w:val="20"/>
          <w:szCs w:val="20"/>
          <w:color w:val="auto"/>
        </w:rPr>
      </w:pPr>
    </w:p>
    <w:p>
      <w:pPr>
        <w:ind w:left="741"/>
        <w:spacing w:after="0"/>
        <w:rPr>
          <w:sz w:val="20"/>
          <w:szCs w:val="20"/>
          <w:color w:val="auto"/>
        </w:rPr>
      </w:pPr>
      <w:r>
        <w:rPr>
          <w:rFonts w:ascii="Times New Roman" w:cs="Times New Roman" w:eastAsia="Times New Roman" w:hAnsi="Times New Roman"/>
          <w:sz w:val="18"/>
          <w:szCs w:val="18"/>
          <w:color w:val="auto"/>
        </w:rPr>
        <w:t>To Executive:</w:t>
      </w:r>
    </w:p>
    <w:p>
      <w:pPr>
        <w:spacing w:after="0" w:line="190" w:lineRule="exact"/>
        <w:rPr>
          <w:sz w:val="20"/>
          <w:szCs w:val="20"/>
          <w:color w:val="auto"/>
        </w:rPr>
      </w:pPr>
    </w:p>
    <w:p>
      <w:pPr>
        <w:ind w:left="1501"/>
        <w:spacing w:after="0"/>
        <w:rPr>
          <w:sz w:val="20"/>
          <w:szCs w:val="20"/>
          <w:color w:val="auto"/>
        </w:rPr>
      </w:pPr>
      <w:r>
        <w:rPr>
          <w:rFonts w:ascii="Times New Roman" w:cs="Times New Roman" w:eastAsia="Times New Roman" w:hAnsi="Times New Roman"/>
          <w:sz w:val="18"/>
          <w:szCs w:val="18"/>
          <w:color w:val="auto"/>
        </w:rPr>
        <w:t>Harvey S. Kanter</w:t>
      </w:r>
    </w:p>
    <w:p>
      <w:pPr>
        <w:spacing w:after="0" w:line="12" w:lineRule="exact"/>
        <w:rPr>
          <w:sz w:val="20"/>
          <w:szCs w:val="20"/>
          <w:color w:val="auto"/>
        </w:rPr>
      </w:pPr>
    </w:p>
    <w:p>
      <w:pPr>
        <w:ind w:left="1501"/>
        <w:spacing w:after="0"/>
        <w:rPr>
          <w:sz w:val="20"/>
          <w:szCs w:val="20"/>
          <w:color w:val="auto"/>
        </w:rPr>
      </w:pPr>
      <w:r>
        <w:rPr>
          <w:rFonts w:ascii="Times New Roman" w:cs="Times New Roman" w:eastAsia="Times New Roman" w:hAnsi="Times New Roman"/>
          <w:sz w:val="18"/>
          <w:szCs w:val="18"/>
          <w:color w:val="auto"/>
        </w:rPr>
        <w:t>At Executive’s current address, as set forth in the payroll records of the Company</w:t>
      </w:r>
    </w:p>
    <w:p>
      <w:pPr>
        <w:spacing w:after="0" w:line="166" w:lineRule="exact"/>
        <w:rPr>
          <w:sz w:val="20"/>
          <w:szCs w:val="20"/>
          <w:color w:val="auto"/>
        </w:rPr>
      </w:pPr>
    </w:p>
    <w:p>
      <w:pPr>
        <w:ind w:left="561" w:hanging="373"/>
        <w:spacing w:after="0"/>
        <w:tabs>
          <w:tab w:leader="none" w:pos="561" w:val="left"/>
        </w:tabs>
        <w:numPr>
          <w:ilvl w:val="0"/>
          <w:numId w:val="46"/>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I</w:t>
      </w:r>
      <w:r>
        <w:rPr>
          <w:rFonts w:ascii="Times New Roman" w:cs="Times New Roman" w:eastAsia="Times New Roman" w:hAnsi="Times New Roman"/>
          <w:sz w:val="12"/>
          <w:szCs w:val="12"/>
          <w:b w:val="1"/>
          <w:bCs w:val="1"/>
          <w:color w:val="0000FF"/>
        </w:rPr>
        <w:t>NTERPRETATION OF</w:t>
      </w:r>
      <w:r>
        <w:rPr>
          <w:rFonts w:ascii="Times New Roman" w:cs="Times New Roman" w:eastAsia="Times New Roman" w:hAnsi="Times New Roman"/>
          <w:sz w:val="18"/>
          <w:szCs w:val="18"/>
          <w:b w:val="1"/>
          <w:bCs w:val="1"/>
          <w:color w:val="0000FF"/>
        </w:rPr>
        <w:t xml:space="preserve"> 2016 P</w:t>
      </w:r>
      <w:r>
        <w:rPr>
          <w:rFonts w:ascii="Times New Roman" w:cs="Times New Roman" w:eastAsia="Times New Roman" w:hAnsi="Times New Roman"/>
          <w:sz w:val="12"/>
          <w:szCs w:val="12"/>
          <w:b w:val="1"/>
          <w:bCs w:val="1"/>
          <w:color w:val="0000FF"/>
        </w:rPr>
        <w:t>LAN</w:t>
      </w:r>
      <w:r>
        <w:rPr>
          <w:rFonts w:ascii="Times New Roman" w:cs="Times New Roman" w:eastAsia="Times New Roman" w:hAnsi="Times New Roman"/>
          <w:sz w:val="18"/>
          <w:szCs w:val="18"/>
          <w:b w:val="1"/>
          <w:bCs w:val="1"/>
          <w:color w:val="0000FF"/>
        </w:rPr>
        <w:t>.</w:t>
      </w:r>
    </w:p>
    <w:p>
      <w:pPr>
        <w:spacing w:after="0" w:line="194" w:lineRule="exact"/>
        <w:rPr>
          <w:sz w:val="20"/>
          <w:szCs w:val="20"/>
          <w:color w:val="auto"/>
        </w:rPr>
      </w:pPr>
    </w:p>
    <w:p>
      <w:pPr>
        <w:ind w:left="1" w:right="20"/>
        <w:spacing w:after="0" w:line="264" w:lineRule="auto"/>
        <w:rPr>
          <w:sz w:val="20"/>
          <w:szCs w:val="20"/>
          <w:color w:val="auto"/>
        </w:rPr>
      </w:pPr>
      <w:r>
        <w:rPr>
          <w:rFonts w:ascii="Times New Roman" w:cs="Times New Roman" w:eastAsia="Times New Roman" w:hAnsi="Times New Roman"/>
          <w:sz w:val="18"/>
          <w:szCs w:val="18"/>
          <w:color w:val="auto"/>
        </w:rPr>
        <w:t>For the avoidance of doubt, Executive’s good faith error in judgment in the normal course of business shall not be deemed “activity that is in conflict with or adverse to the interest of the Company or any Subsidiary” as that phrase is used in Section 8(f)(ii) of the 2016 Plan.</w:t>
      </w:r>
    </w:p>
    <w:p>
      <w:pPr>
        <w:spacing w:after="0" w:line="137" w:lineRule="exact"/>
        <w:rPr>
          <w:sz w:val="20"/>
          <w:szCs w:val="20"/>
          <w:color w:val="auto"/>
        </w:rPr>
      </w:pPr>
    </w:p>
    <w:p>
      <w:pPr>
        <w:ind w:left="561" w:hanging="373"/>
        <w:spacing w:after="0"/>
        <w:tabs>
          <w:tab w:leader="none" w:pos="561" w:val="left"/>
        </w:tabs>
        <w:numPr>
          <w:ilvl w:val="1"/>
          <w:numId w:val="47"/>
        </w:numPr>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M</w:t>
      </w:r>
      <w:r>
        <w:rPr>
          <w:rFonts w:ascii="Times New Roman" w:cs="Times New Roman" w:eastAsia="Times New Roman" w:hAnsi="Times New Roman"/>
          <w:sz w:val="12"/>
          <w:szCs w:val="12"/>
          <w:b w:val="1"/>
          <w:bCs w:val="1"/>
          <w:color w:val="0000FF"/>
        </w:rPr>
        <w:t>ISCELLANEOUS</w:t>
      </w:r>
      <w:r>
        <w:rPr>
          <w:rFonts w:ascii="Times New Roman" w:cs="Times New Roman" w:eastAsia="Times New Roman" w:hAnsi="Times New Roman"/>
          <w:sz w:val="18"/>
          <w:szCs w:val="18"/>
          <w:b w:val="1"/>
          <w:bCs w:val="1"/>
          <w:color w:val="0000FF"/>
        </w:rPr>
        <w:t>.</w:t>
      </w:r>
    </w:p>
    <w:p>
      <w:pPr>
        <w:spacing w:after="0" w:line="190" w:lineRule="exact"/>
        <w:rPr>
          <w:rFonts w:ascii="Times New Roman" w:cs="Times New Roman" w:eastAsia="Times New Roman" w:hAnsi="Times New Roman"/>
          <w:sz w:val="18"/>
          <w:szCs w:val="18"/>
          <w:b w:val="1"/>
          <w:bCs w:val="1"/>
          <w:color w:val="0000FF"/>
        </w:rPr>
      </w:pPr>
    </w:p>
    <w:p>
      <w:pPr>
        <w:ind w:left="741" w:hanging="741"/>
        <w:spacing w:after="0" w:line="268" w:lineRule="auto"/>
        <w:tabs>
          <w:tab w:leader="none" w:pos="74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The failure of a party to insist upon strict adherence to any term of this Agreement on any occasion shall not be considered a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deprive that party of the right thereafter to insist upon strict adherence to that term or any other term of this Agreement.</w:t>
      </w:r>
    </w:p>
    <w:p>
      <w:pPr>
        <w:spacing w:after="0" w:line="133" w:lineRule="exact"/>
        <w:rPr>
          <w:rFonts w:ascii="Times New Roman" w:cs="Times New Roman" w:eastAsia="Times New Roman" w:hAnsi="Times New Roman"/>
          <w:sz w:val="18"/>
          <w:szCs w:val="18"/>
          <w:b w:val="1"/>
          <w:bCs w:val="1"/>
          <w:color w:val="auto"/>
        </w:rPr>
      </w:pPr>
    </w:p>
    <w:p>
      <w:pPr>
        <w:jc w:val="both"/>
        <w:ind w:left="741" w:hanging="741"/>
        <w:spacing w:after="0" w:line="249" w:lineRule="auto"/>
        <w:tabs>
          <w:tab w:leader="none" w:pos="74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Separability</w:t>
      </w:r>
      <w:r>
        <w:rPr>
          <w:rFonts w:ascii="Times New Roman" w:cs="Times New Roman" w:eastAsia="Times New Roman" w:hAnsi="Times New Roman"/>
          <w:sz w:val="18"/>
          <w:szCs w:val="18"/>
          <w:color w:val="auto"/>
        </w:rPr>
        <w:t>. If any term or provision of this Agreement above is declared illegal or unenforceable by any court of competent jurisdiction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cannot be modified to be enforceable, such term or provision shall immediately become null and void, leaving the remainder of this Agreement in full force and effect.</w:t>
      </w:r>
    </w:p>
    <w:p>
      <w:pPr>
        <w:spacing w:after="0" w:line="150" w:lineRule="exact"/>
        <w:rPr>
          <w:rFonts w:ascii="Times New Roman" w:cs="Times New Roman" w:eastAsia="Times New Roman" w:hAnsi="Times New Roman"/>
          <w:sz w:val="18"/>
          <w:szCs w:val="18"/>
          <w:b w:val="1"/>
          <w:bCs w:val="1"/>
          <w:color w:val="auto"/>
        </w:rPr>
      </w:pPr>
    </w:p>
    <w:p>
      <w:pPr>
        <w:ind w:left="741" w:hanging="741"/>
        <w:spacing w:after="0" w:line="268" w:lineRule="auto"/>
        <w:tabs>
          <w:tab w:leader="none" w:pos="74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Section headings are used herein for convenience of reference only and shall not affect the meaning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33" w:lineRule="exact"/>
        <w:rPr>
          <w:rFonts w:ascii="Times New Roman" w:cs="Times New Roman" w:eastAsia="Times New Roman" w:hAnsi="Times New Roman"/>
          <w:sz w:val="18"/>
          <w:szCs w:val="18"/>
          <w:b w:val="1"/>
          <w:bCs w:val="1"/>
          <w:color w:val="auto"/>
        </w:rPr>
      </w:pPr>
    </w:p>
    <w:p>
      <w:pPr>
        <w:ind w:left="741" w:hanging="741"/>
        <w:spacing w:after="0"/>
        <w:tabs>
          <w:tab w:leader="none" w:pos="74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Rules of Construction</w:t>
      </w:r>
      <w:r>
        <w:rPr>
          <w:rFonts w:ascii="Times New Roman" w:cs="Times New Roman" w:eastAsia="Times New Roman" w:hAnsi="Times New Roman"/>
          <w:sz w:val="18"/>
          <w:szCs w:val="18"/>
          <w:color w:val="auto"/>
        </w:rPr>
        <w:t>. Whenever the context so requires, the use of the singular shall be deemed to include the plural and vice versa.</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24" w:name="page25"/>
    <w:bookmarkEnd w:id="24"/>
    <w:p>
      <w:pPr>
        <w:ind w:left="741" w:hanging="741"/>
        <w:spacing w:after="0" w:line="268" w:lineRule="auto"/>
        <w:tabs>
          <w:tab w:leader="none" w:pos="74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via electronic signature and in any number of counterparts, each of which so executed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be an original, and such counterparts will together constitute but one Agreement.</w:t>
      </w:r>
    </w:p>
    <w:p>
      <w:pPr>
        <w:spacing w:after="0" w:line="133" w:lineRule="exact"/>
        <w:rPr>
          <w:rFonts w:ascii="Times New Roman" w:cs="Times New Roman" w:eastAsia="Times New Roman" w:hAnsi="Times New Roman"/>
          <w:sz w:val="18"/>
          <w:szCs w:val="18"/>
          <w:b w:val="1"/>
          <w:bCs w:val="1"/>
          <w:color w:val="auto"/>
        </w:rPr>
      </w:pPr>
    </w:p>
    <w:p>
      <w:pPr>
        <w:ind w:left="741" w:right="60" w:hanging="741"/>
        <w:spacing w:after="0" w:line="249" w:lineRule="auto"/>
        <w:tabs>
          <w:tab w:leader="none" w:pos="74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Any provision of this Agreement which, by its nature, does or may require complete or partial performance or satisfaction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this Agreement (including, without limitation, Sections 4(f), 4(g), 6, 7, 8, 9, 15, 17 and 19 hereof), shall survive the termination of this Agreement.</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Agreement as of the day and year set forth below.</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240"/>
        </w:trPr>
        <w:tc>
          <w:tcPr>
            <w:tcW w:w="47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tc>
        <w:tc>
          <w:tcPr>
            <w:tcW w:w="648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HARVEY S. KANTER</w:t>
            </w:r>
          </w:p>
        </w:tc>
        <w:tc>
          <w:tcPr>
            <w:tcW w:w="0" w:type="dxa"/>
            <w:vAlign w:val="bottom"/>
          </w:tcPr>
          <w:p>
            <w:pPr>
              <w:spacing w:after="0"/>
              <w:rPr>
                <w:sz w:val="1"/>
                <w:szCs w:val="1"/>
                <w:color w:val="auto"/>
              </w:rPr>
            </w:pPr>
          </w:p>
        </w:tc>
      </w:tr>
      <w:tr>
        <w:trPr>
          <w:trHeight w:val="703"/>
        </w:trPr>
        <w:tc>
          <w:tcPr>
            <w:tcW w:w="47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By: /s/ Willem Mesdag______</w:t>
            </w:r>
          </w:p>
        </w:tc>
        <w:tc>
          <w:tcPr>
            <w:tcW w:w="648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/s/ Harvey S. Kanter</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7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Willem Mesdag_____</w:t>
            </w:r>
          </w:p>
        </w:tc>
        <w:tc>
          <w:tcPr>
            <w:tcW w:w="648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Date: April 1, 2022</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7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Title: Director and Chairman, Compensation Committee</w:t>
            </w:r>
          </w:p>
        </w:tc>
        <w:tc>
          <w:tcPr>
            <w:tcW w:w="648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9"/>
                <w:szCs w:val="19"/>
                <w:color w:val="auto"/>
              </w:rPr>
              <w:t>12 Meadow Lane</w:t>
            </w:r>
          </w:p>
        </w:tc>
        <w:tc>
          <w:tcPr>
            <w:tcW w:w="0" w:type="dxa"/>
            <w:vAlign w:val="bottom"/>
          </w:tcPr>
          <w:p>
            <w:pPr>
              <w:spacing w:after="0"/>
              <w:rPr>
                <w:sz w:val="1"/>
                <w:szCs w:val="1"/>
                <w:color w:val="auto"/>
              </w:rPr>
            </w:pPr>
          </w:p>
        </w:tc>
      </w:tr>
      <w:tr>
        <w:trPr>
          <w:trHeight w:val="259"/>
        </w:trPr>
        <w:tc>
          <w:tcPr>
            <w:tcW w:w="4760" w:type="dxa"/>
            <w:vAlign w:val="bottom"/>
            <w:gridSpan w:val="6"/>
            <w:vMerge w:val="restart"/>
          </w:tcPr>
          <w:p>
            <w:pPr>
              <w:ind w:left="80"/>
              <w:spacing w:after="0"/>
              <w:rPr>
                <w:sz w:val="20"/>
                <w:szCs w:val="20"/>
                <w:color w:val="auto"/>
              </w:rPr>
            </w:pPr>
            <w:r>
              <w:rPr>
                <w:rFonts w:ascii="Times New Roman" w:cs="Times New Roman" w:eastAsia="Times New Roman" w:hAnsi="Times New Roman"/>
                <w:sz w:val="18"/>
                <w:szCs w:val="18"/>
                <w:color w:val="auto"/>
              </w:rPr>
              <w:t>Date: April 1, 2022</w:t>
            </w:r>
          </w:p>
        </w:tc>
        <w:tc>
          <w:tcPr>
            <w:tcW w:w="6480" w:type="dxa"/>
            <w:vAlign w:val="bottom"/>
            <w:gridSpan w:val="5"/>
          </w:tcPr>
          <w:p>
            <w:pPr>
              <w:ind w:left="960"/>
              <w:spacing w:after="0"/>
              <w:rPr>
                <w:sz w:val="20"/>
                <w:szCs w:val="20"/>
                <w:color w:val="auto"/>
              </w:rPr>
            </w:pPr>
            <w:r>
              <w:rPr>
                <w:rFonts w:ascii="Times New Roman" w:cs="Times New Roman" w:eastAsia="Times New Roman" w:hAnsi="Times New Roman"/>
                <w:sz w:val="20"/>
                <w:szCs w:val="20"/>
                <w:color w:val="auto"/>
              </w:rPr>
              <w:t>Mercer Island, WA 98040-5340</w:t>
            </w:r>
          </w:p>
        </w:tc>
        <w:tc>
          <w:tcPr>
            <w:tcW w:w="0" w:type="dxa"/>
            <w:vAlign w:val="bottom"/>
          </w:tcPr>
          <w:p>
            <w:pPr>
              <w:spacing w:after="0"/>
              <w:rPr>
                <w:sz w:val="1"/>
                <w:szCs w:val="1"/>
                <w:color w:val="auto"/>
              </w:rPr>
            </w:pPr>
          </w:p>
        </w:tc>
      </w:tr>
      <w:tr>
        <w:trPr>
          <w:trHeight w:val="113"/>
        </w:trPr>
        <w:tc>
          <w:tcPr>
            <w:tcW w:w="4760" w:type="dxa"/>
            <w:vAlign w:val="bottom"/>
            <w:gridSpan w:val="6"/>
            <w:vMerge w:val="continue"/>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4"/>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4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Page 20</w:t>
            </w:r>
          </w:p>
        </w:tc>
        <w:tc>
          <w:tcPr>
            <w:tcW w:w="0" w:type="dxa"/>
            <w:vAlign w:val="bottom"/>
          </w:tcPr>
          <w:p>
            <w:pPr>
              <w:spacing w:after="0"/>
              <w:rPr>
                <w:sz w:val="1"/>
                <w:szCs w:val="1"/>
                <w:color w:val="auto"/>
              </w:rPr>
            </w:pPr>
          </w:p>
        </w:tc>
      </w:tr>
      <w:tr>
        <w:trPr>
          <w:trHeight w:val="286"/>
        </w:trPr>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1"/>
          </w:cols>
          <w:pgMar w:left="319" w:top="31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Long-Term Incentive Plan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290195</wp:posOffset>
            </wp:positionV>
            <wp:extent cx="716851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313"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 AND GENERAL RELEASE OF CLAIMS</w:t>
      </w:r>
    </w:p>
    <w:p>
      <w:pPr>
        <w:spacing w:after="0" w:line="190" w:lineRule="exact"/>
        <w:rPr>
          <w:sz w:val="20"/>
          <w:szCs w:val="20"/>
          <w:color w:val="auto"/>
        </w:rPr>
      </w:pPr>
    </w:p>
    <w:p>
      <w:pPr>
        <w:jc w:val="both"/>
        <w:ind w:firstLine="749"/>
        <w:spacing w:after="0" w:line="232"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INSERT EXECUTIVE’S NAME]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for him- or herself and his or her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B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does hereby release and forever discharge, to the maximum extent permitted by law, Destination XL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xml:space="preserve">”) from any and all actions, causes of action, suits, controversies, claims and demands whatsoever, for or by reason of any matter, cause or thing whatsoever, whether known or unknown including, but not limited to, the Age Discrimination in Employment Act (the “ADEA”); the Massachusetts Law Against Discrimination, G.L. c. 151B; the Massachusetts Wage Payment Statute, G.L. c. 149, §§ 148, 148A, 148B, 149, 150, 150A-150C, 151, 152, 152A,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Massachusetts Wage and Hour laws, G.L. c. 151§1A et seq;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advises Executive to consult with his or her attorney with respect to possible claims, including but not limited to claims under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or she may have as of the date hereof. Executive further understands that by signing this General Release of Claims he or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or she will not be able to recover any monetary benefits in connection with any such claim, charge or proceeding.</w:t>
      </w:r>
    </w:p>
    <w:p>
      <w:pPr>
        <w:spacing w:after="0" w:line="164" w:lineRule="exact"/>
        <w:rPr>
          <w:rFonts w:ascii="Times New Roman" w:cs="Times New Roman" w:eastAsia="Times New Roman" w:hAnsi="Times New Roman"/>
          <w:sz w:val="18"/>
          <w:szCs w:val="18"/>
          <w:color w:val="auto"/>
        </w:rPr>
      </w:pPr>
    </w:p>
    <w:p>
      <w:pPr>
        <w:jc w:val="both"/>
        <w:ind w:firstLine="749"/>
        <w:spacing w:after="0" w:line="239"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that he or she has not filed against the Released Parties any complaints, charges, or lawsuits arising out of his or her employment, or any other matter arising on or prior to the date of this General Release of Claims, and covenants and agrees that he or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Executive shall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292100</wp:posOffset>
            </wp:positionV>
            <wp:extent cx="71685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7" w:name="page28"/>
    <w:bookmarkEnd w:id="27"/>
    <w:p>
      <w:pPr>
        <w:ind w:left="1"/>
        <w:spacing w:after="0"/>
        <w:rPr>
          <w:sz w:val="20"/>
          <w:szCs w:val="20"/>
          <w:color w:val="auto"/>
        </w:rPr>
      </w:pPr>
      <w:r>
        <w:rPr>
          <w:rFonts w:ascii="Times New Roman" w:cs="Times New Roman" w:eastAsia="Times New Roman" w:hAnsi="Times New Roman"/>
          <w:sz w:val="18"/>
          <w:szCs w:val="18"/>
          <w:color w:val="auto"/>
        </w:rPr>
        <w:t>relinquished his or her right to commence a Proceeding to challenge whether Executive knowingly and voluntarily waived his or her rights under ADEA.</w:t>
      </w:r>
    </w:p>
    <w:p>
      <w:pPr>
        <w:spacing w:after="0" w:line="186" w:lineRule="exact"/>
        <w:rPr>
          <w:sz w:val="20"/>
          <w:szCs w:val="20"/>
          <w:color w:val="auto"/>
        </w:rPr>
      </w:pPr>
    </w:p>
    <w:p>
      <w:pPr>
        <w:jc w:val="both"/>
        <w:ind w:left="1" w:firstLine="749"/>
        <w:spacing w:after="0"/>
        <w:tabs>
          <w:tab w:leader="none" w:pos="112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Restrictive Covenants and No Competitive Activity. </w:t>
      </w:r>
      <w:r>
        <w:rPr>
          <w:rFonts w:ascii="Times New Roman" w:cs="Times New Roman" w:eastAsia="Times New Roman" w:hAnsi="Times New Roman"/>
          <w:sz w:val="18"/>
          <w:szCs w:val="18"/>
          <w:color w:val="auto"/>
        </w:rPr>
        <w:t>Executive agrees that Executive remains bound by the restrictive covenants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Sections 8(a) – 8(c) and Sections 8(e) – 8(j) of Executive’s Employment Agreement, all of which are specifically incorporated into this Agreement and General Release Of Claims. Executive further acknowledges and agrees that the Company is engaged in a highly competitive business and that by virtue of Executive’s position and responsibilities with the Company and Executive’s access to the Confidential Information and Trade Secrets, engaging in any business which is directly competitive with the Company will cause Company great and irreparable harm. Therefore, in consideration for the LTIP awards referenced in Section 4(i) of Executive’s Employment Agreement signed by Executive on April 1, 2022 and the good and valuable consideration to be paid after the date of Executive’s termination as set forth in the Employment Agreement, Executive further covenants and agrees that at all times during the period beginning on the date of termination of his employment (whether such termination was voluntary or involuntary, with Good Reason or without Good Reason, for Justifiable Cause or without Justifiable Cause, due to a Structured Retirement or otherwise) and ending on the </w:t>
      </w:r>
      <w:r>
        <w:rPr>
          <w:rFonts w:ascii="Times New Roman" w:cs="Times New Roman" w:eastAsia="Times New Roman" w:hAnsi="Times New Roman"/>
          <w:sz w:val="18"/>
          <w:szCs w:val="18"/>
          <w:u w:val="single" w:color="auto"/>
          <w:color w:val="auto"/>
        </w:rPr>
        <w:t>later of</w:t>
      </w:r>
      <w:r>
        <w:rPr>
          <w:rFonts w:ascii="Times New Roman" w:cs="Times New Roman" w:eastAsia="Times New Roman" w:hAnsi="Times New Roman"/>
          <w:sz w:val="18"/>
          <w:szCs w:val="18"/>
          <w:color w:val="auto"/>
        </w:rPr>
        <w:t xml:space="preserve"> (A) one (1) year following Executive’s date of termination or (B) the expiration of any tolling period extending the one year period in clause (A), Executive shall not, directly or indirectly, engage in, assist, or have any active interest or involvement - whether as an employee, agent, consultant, creditor, advisor, officer, director, stockholder (excluding holding of less than 3% of the stock of a public company), partner, proprietor or any type of principal whatsoever) or in any other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three percent (3%)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for less than 12 months) of the Company or any of its subsidiaries or affiliates. For purposes of this provision,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 or any other business line the Company may enter into in the future and during Executive’s employment. However, nothing in Section 8 of Executive’s Employment Agreement shall be deemed to prohibit Executive from providing services to or becoming involved with any entity with a division or subsidiary that engages in a business competitive with the products and services of the Company (or any subsidiary or affiliate of the Company), as long as Executive is not the chief executive officer of the entity and/or does not work in that competitive division or subsidiary.</w:t>
      </w:r>
    </w:p>
    <w:p>
      <w:pPr>
        <w:spacing w:after="0" w:line="168" w:lineRule="exact"/>
        <w:rPr>
          <w:rFonts w:ascii="Times New Roman" w:cs="Times New Roman" w:eastAsia="Times New Roman" w:hAnsi="Times New Roman"/>
          <w:sz w:val="18"/>
          <w:szCs w:val="18"/>
          <w:color w:val="auto"/>
        </w:rPr>
      </w:pPr>
    </w:p>
    <w:p>
      <w:pPr>
        <w:jc w:val="both"/>
        <w:ind w:left="1" w:firstLine="749"/>
        <w:spacing w:after="0" w:line="238" w:lineRule="auto"/>
        <w:tabs>
          <w:tab w:leader="none" w:pos="11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w:t>
      </w:r>
    </w:p>
    <w:p>
      <w:pPr>
        <w:ind w:left="1" w:hanging="1"/>
        <w:spacing w:after="0" w:line="241" w:lineRule="auto"/>
        <w:tabs>
          <w:tab w:leader="none" w:pos="3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consideration period shall be enlarged to up to forty-five (45) calendar days, and Executive shall be provided with additional disclosures required by the Older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291465</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28" w:name="page29"/>
    <w:bookmarkEnd w:id="28"/>
    <w:p>
      <w:pPr>
        <w:jc w:val="both"/>
        <w:spacing w:after="0" w:line="239" w:lineRule="auto"/>
        <w:rPr>
          <w:sz w:val="20"/>
          <w:szCs w:val="20"/>
          <w:color w:val="auto"/>
        </w:rPr>
      </w:pPr>
      <w:r>
        <w:rPr>
          <w:rFonts w:ascii="Times New Roman" w:cs="Times New Roman" w:eastAsia="Times New Roman" w:hAnsi="Times New Roman"/>
          <w:sz w:val="18"/>
          <w:szCs w:val="18"/>
          <w:color w:val="auto"/>
        </w:rPr>
        <w:t>Benefit Protection Act prior to the start of the up to forty-five (45) calendar day consideration period. In either case, Executive also shall have seven (7) calendar days following the date on which Executive signs this General Release of Claims within which to revoke it by providing a written notice of his or her revocation to the Company. Any such revocation shall be directed to the VP, Managing Director-Human Resources and must be delivered to the VP, Managing Director-Human Resources within that seven (7) day revocation period, or mailed to Destination XL Group, Inc., Attn: VP, Managing Director-Human Resources, 555 Turnpike Street, Canton, MA 02021 and postmarked within the seven (7) day revocation period.</w:t>
      </w:r>
    </w:p>
    <w:p>
      <w:pPr>
        <w:spacing w:after="0" w:line="161" w:lineRule="exact"/>
        <w:rPr>
          <w:sz w:val="20"/>
          <w:szCs w:val="20"/>
          <w:color w:val="auto"/>
        </w:rPr>
      </w:pPr>
    </w:p>
    <w:p>
      <w:pPr>
        <w:ind w:right="20" w:firstLine="749"/>
        <w:spacing w:after="0" w:line="264" w:lineRule="auto"/>
        <w:tabs>
          <w:tab w:leader="none" w:pos="11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40" w:lineRule="exact"/>
        <w:rPr>
          <w:rFonts w:ascii="Times New Roman" w:cs="Times New Roman" w:eastAsia="Times New Roman" w:hAnsi="Times New Roman"/>
          <w:sz w:val="18"/>
          <w:szCs w:val="18"/>
          <w:color w:val="auto"/>
        </w:rPr>
      </w:pPr>
    </w:p>
    <w:p>
      <w:pPr>
        <w:jc w:val="both"/>
        <w:ind w:firstLine="749"/>
        <w:spacing w:after="0" w:line="247" w:lineRule="auto"/>
        <w:tabs>
          <w:tab w:leader="none" w:pos="11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or she has read this General Release of Claims, has been advised that he or she should consult with an attorney before executing this general release of claims, and that he or she understands all of its terms and executes it voluntarily and with full knowledge of its significance and the consequences thereof.</w:t>
      </w:r>
    </w:p>
    <w:p>
      <w:pPr>
        <w:spacing w:after="0" w:line="155" w:lineRule="exact"/>
        <w:rPr>
          <w:rFonts w:ascii="Times New Roman" w:cs="Times New Roman" w:eastAsia="Times New Roman" w:hAnsi="Times New Roman"/>
          <w:sz w:val="18"/>
          <w:szCs w:val="18"/>
          <w:color w:val="auto"/>
        </w:rPr>
      </w:pPr>
    </w:p>
    <w:p>
      <w:pPr>
        <w:ind w:right="20" w:firstLine="749"/>
        <w:spacing w:after="0" w:line="264" w:lineRule="auto"/>
        <w:tabs>
          <w:tab w:leader="none" w:pos="11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339090</wp:posOffset>
            </wp:positionV>
            <wp:extent cx="2311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140" cy="76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3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Date:_________________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373380</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9" w:name="page30"/>
    <w:bookmarkEnd w:id="29"/>
    <w:p>
      <w:pPr>
        <w:ind w:left="10360"/>
        <w:spacing w:after="0"/>
        <w:rPr>
          <w:sz w:val="20"/>
          <w:szCs w:val="20"/>
          <w:color w:val="auto"/>
        </w:rPr>
      </w:pPr>
      <w:r>
        <w:rPr>
          <w:rFonts w:ascii="Calibri" w:cs="Calibri" w:eastAsia="Calibri" w:hAnsi="Calibri"/>
          <w:sz w:val="18"/>
          <w:szCs w:val="18"/>
          <w:color w:val="auto"/>
        </w:rPr>
        <w:t>Exhibit 10.2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DXL GROUP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Amended and Restated Destination XL Group,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Long-Term Incentive Plan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i w:val="1"/>
          <w:iCs w:val="1"/>
          <w:u w:val="single" w:color="auto"/>
          <w:color w:val="auto"/>
        </w:rPr>
        <w:t>Establishment and Purpose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Destination XL Group, Inc. (the “Company”) hereby establishes this Fourth Amended and Restated Destination XL Group, Inc. Long-Term Incentive Plan (the “Plan”)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b w:val="1"/>
          <w:bCs w:val="1"/>
          <w:i w:val="1"/>
          <w:iCs w:val="1"/>
          <w:u w:val="single" w:color="auto"/>
          <w:color w:val="auto"/>
        </w:rPr>
        <w:t>Definitions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When used herein, the following capitalized terms shall have the meanings assigned to them, unless the context clearly indicates otherwise. Capitalized terms used herein and not defined shall have the meanings assigned to them in the Incentive Compensation Plan, as defined below.</w:t>
      </w:r>
    </w:p>
    <w:p>
      <w:pPr>
        <w:spacing w:after="0" w:line="148" w:lineRule="exact"/>
        <w:rPr>
          <w:sz w:val="20"/>
          <w:szCs w:val="20"/>
          <w:color w:val="auto"/>
        </w:rPr>
      </w:pPr>
    </w:p>
    <w:p>
      <w:pPr>
        <w:ind w:left="1500" w:hanging="751"/>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Affiliate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any entity that controls, is controlled by, or is under common control with, the Company.</w:t>
      </w:r>
    </w:p>
    <w:p>
      <w:pPr>
        <w:spacing w:after="0" w:line="192"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Applicable Performance Target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Performance Target(s) selected by the Committee of the Board to be met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during a Performance Period pursuant to the Plan.</w:t>
      </w:r>
    </w:p>
    <w:p>
      <w:pPr>
        <w:spacing w:after="0" w:line="130" w:lineRule="exact"/>
        <w:rPr>
          <w:rFonts w:ascii="Times New Roman" w:cs="Times New Roman" w:eastAsia="Times New Roman" w:hAnsi="Times New Roman"/>
          <w:sz w:val="20"/>
          <w:szCs w:val="20"/>
          <w:color w:val="auto"/>
        </w:rPr>
      </w:pPr>
    </w:p>
    <w:p>
      <w:pPr>
        <w:jc w:val="both"/>
        <w:ind w:firstLine="749"/>
        <w:spacing w:after="0" w:line="251"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Award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an award under the Plan that is payable in the form of Cash, Options, Restricted Stock, Restricted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Units or any other form of Award available under the Company’s Incentive Compensation Plan, pursuant to the terms and conditions set forth in this Plan.</w:t>
      </w:r>
    </w:p>
    <w:p>
      <w:pPr>
        <w:spacing w:after="0" w:line="147" w:lineRule="exact"/>
        <w:rPr>
          <w:rFonts w:ascii="Times New Roman" w:cs="Times New Roman" w:eastAsia="Times New Roman" w:hAnsi="Times New Roman"/>
          <w:sz w:val="20"/>
          <w:szCs w:val="20"/>
          <w:color w:val="auto"/>
        </w:rPr>
      </w:pPr>
    </w:p>
    <w:p>
      <w:pPr>
        <w:jc w:val="both"/>
        <w:ind w:firstLine="749"/>
        <w:spacing w:after="0" w:line="251"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Black-Scholes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value of an Option as of the date of the valuation calculated utilizing the same formula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assumptions as the Company utilized for the purpose of valuing outstanding options in its most recently (meaning at the time of the valuation) prepared audited annual financial statement.</w:t>
      </w:r>
    </w:p>
    <w:p>
      <w:pPr>
        <w:spacing w:after="0" w:line="147" w:lineRule="exact"/>
        <w:rPr>
          <w:rFonts w:ascii="Times New Roman" w:cs="Times New Roman" w:eastAsia="Times New Roman" w:hAnsi="Times New Roman"/>
          <w:sz w:val="20"/>
          <w:szCs w:val="20"/>
          <w:color w:val="auto"/>
        </w:rPr>
      </w:pPr>
    </w:p>
    <w:p>
      <w:pPr>
        <w:ind w:left="1500" w:hanging="751"/>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Board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Board of Directors of the Company.</w:t>
      </w:r>
    </w:p>
    <w:p>
      <w:pPr>
        <w:spacing w:after="0" w:line="192" w:lineRule="exact"/>
        <w:rPr>
          <w:rFonts w:ascii="Times New Roman" w:cs="Times New Roman" w:eastAsia="Times New Roman" w:hAnsi="Times New Roman"/>
          <w:sz w:val="20"/>
          <w:szCs w:val="20"/>
          <w:color w:val="auto"/>
        </w:rPr>
      </w:pPr>
    </w:p>
    <w:p>
      <w:pPr>
        <w:ind w:left="1900" w:hanging="1151"/>
        <w:spacing w:after="0"/>
        <w:tabs>
          <w:tab w:leader="none" w:pos="19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U.S. dollars.</w:t>
      </w:r>
    </w:p>
    <w:p>
      <w:pPr>
        <w:spacing w:after="0" w:line="192" w:lineRule="exact"/>
        <w:rPr>
          <w:rFonts w:ascii="Times New Roman" w:cs="Times New Roman" w:eastAsia="Times New Roman" w:hAnsi="Times New Roman"/>
          <w:sz w:val="20"/>
          <w:szCs w:val="20"/>
          <w:color w:val="auto"/>
        </w:rPr>
      </w:pPr>
    </w:p>
    <w:p>
      <w:pPr>
        <w:ind w:left="1500" w:hanging="751"/>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Committee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Compensation Committee of the Board.</w:t>
      </w:r>
    </w:p>
    <w:p>
      <w:pPr>
        <w:spacing w:after="0" w:line="192"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Effective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date on which the metrics for a Performance Period have been finally approved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Committee, or such later date as shall be designated by the Committee.</w:t>
      </w:r>
    </w:p>
    <w:p>
      <w:pPr>
        <w:spacing w:after="0" w:line="130" w:lineRule="exact"/>
        <w:rPr>
          <w:rFonts w:ascii="Times New Roman" w:cs="Times New Roman" w:eastAsia="Times New Roman" w:hAnsi="Times New Roman"/>
          <w:sz w:val="20"/>
          <w:szCs w:val="20"/>
          <w:color w:val="auto"/>
        </w:rPr>
      </w:pPr>
    </w:p>
    <w:p>
      <w:pPr>
        <w:jc w:val="both"/>
        <w:ind w:firstLine="749"/>
        <w:spacing w:after="0" w:line="251" w:lineRule="auto"/>
        <w:tabs>
          <w:tab w:leader="none" w:pos="177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Effective Date of Participation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date on which a Participant became a Participant in the Plan with respect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Performance Period. For those initial Participants on the Effective Date, their Effective Date of Participation shall be the first day of the Applicable Performance Period.</w:t>
      </w:r>
    </w:p>
    <w:p>
      <w:pPr>
        <w:spacing w:after="0" w:line="147" w:lineRule="exact"/>
        <w:rPr>
          <w:rFonts w:ascii="Times New Roman" w:cs="Times New Roman" w:eastAsia="Times New Roman" w:hAnsi="Times New Roman"/>
          <w:sz w:val="20"/>
          <w:szCs w:val="20"/>
          <w:color w:val="auto"/>
        </w:rPr>
      </w:pPr>
    </w:p>
    <w:p>
      <w:pPr>
        <w:ind w:left="1740" w:hanging="991"/>
        <w:spacing w:after="0"/>
        <w:tabs>
          <w:tab w:leader="none" w:pos="17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Fiscal Quarter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each fiscal quarter that ends within a fiscal year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318135</wp:posOffset>
            </wp:positionV>
            <wp:extent cx="7168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30" w:name="page31"/>
    <w:bookmarkEnd w:id="30"/>
    <w:p>
      <w:pPr>
        <w:ind w:left="1500" w:hanging="751"/>
        <w:spacing w:after="0"/>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FYE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last day of each fiscal year of the Company.</w:t>
      </w:r>
    </w:p>
    <w:p>
      <w:pPr>
        <w:spacing w:after="0" w:line="192" w:lineRule="exact"/>
        <w:rPr>
          <w:rFonts w:ascii="Times New Roman" w:cs="Times New Roman" w:eastAsia="Times New Roman" w:hAnsi="Times New Roman"/>
          <w:sz w:val="20"/>
          <w:szCs w:val="20"/>
          <w:color w:val="auto"/>
        </w:rPr>
      </w:pPr>
    </w:p>
    <w:p>
      <w:pPr>
        <w:jc w:val="both"/>
        <w:ind w:firstLine="749"/>
        <w:spacing w:after="0" w:line="238" w:lineRule="auto"/>
        <w:tabs>
          <w:tab w:leader="none" w:pos="192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Gain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(i) to the extent that the Award was satisfied with a grant of Options, the amount by which the Fair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 Value per share of the Shares underlying such Option as of the date on which the Participant exercised the Option exceeded the exercise price of the Option; (ii)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(iii) to the extent that the Award was satisfied by the grant of Restricted Stock Units that became vested, the Fair Market Value of the vested Shares on the earlier of the date on which the Participant incurred a Termination of Employment or the date on which the Participant sold the Shares; (iv) to the extent that the Award was satisfied in Cash, the amount of Cash paid to satisfy the Award; or (v) to the extent that the Award is satisfied in some other form, the value of the amount used to satisfy the Award (as determined by the Committee).</w:t>
      </w:r>
    </w:p>
    <w:p>
      <w:pPr>
        <w:spacing w:after="0" w:line="157" w:lineRule="exact"/>
        <w:rPr>
          <w:rFonts w:ascii="Times New Roman" w:cs="Times New Roman" w:eastAsia="Times New Roman" w:hAnsi="Times New Roman"/>
          <w:sz w:val="20"/>
          <w:szCs w:val="20"/>
          <w:color w:val="auto"/>
        </w:rPr>
      </w:pPr>
    </w:p>
    <w:p>
      <w:pPr>
        <w:jc w:val="both"/>
        <w:ind w:firstLine="749"/>
        <w:spacing w:after="0" w:line="248" w:lineRule="auto"/>
        <w:tabs>
          <w:tab w:leader="none" w:pos="15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Good Reason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means the same definition of Good Reason, or any substantially similar term, in the Participant’s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16(a) of this Plan) if the definition of Good Reason, or any substantially similar term, in the Participant’s employment agreement at that time is applied to the Participant’s Termination of Employment, then Good Reason means the occurrence of any of the following without a Participant’s consent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or (ii)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and (ii)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62" w:lineRule="exact"/>
        <w:rPr>
          <w:rFonts w:ascii="Times New Roman" w:cs="Times New Roman" w:eastAsia="Times New Roman" w:hAnsi="Times New Roman"/>
          <w:sz w:val="19"/>
          <w:szCs w:val="19"/>
          <w:color w:val="auto"/>
        </w:rPr>
      </w:pPr>
    </w:p>
    <w:p>
      <w:pPr>
        <w:ind w:firstLine="749"/>
        <w:spacing w:after="0" w:line="269" w:lineRule="auto"/>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Grant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date on which an Award is granted to a Participant under the Plan, or such later date as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determined by the Committee.</w:t>
      </w:r>
    </w:p>
    <w:p>
      <w:pPr>
        <w:spacing w:after="0" w:line="130"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Incentive Compensation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Company’s 2016 Incentive Compensation Plan or any shareholder-approved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successor plan to the Company’s 2016 Incentive Compensation Plan.</w:t>
      </w:r>
    </w:p>
    <w:p>
      <w:pPr>
        <w:spacing w:after="0" w:line="130"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Justifiable Cause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same definition as used in the Participant’s employment agreement, if any, that is in effect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time the determination is being made. If the</w:t>
      </w:r>
    </w:p>
    <w:p>
      <w:pPr>
        <w:spacing w:after="0" w:line="12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1" w:name="page32"/>
    <w:bookmarkEnd w:id="31"/>
    <w:p>
      <w:pPr>
        <w:jc w:val="both"/>
        <w:spacing w:after="0" w:line="250" w:lineRule="auto"/>
        <w:rPr>
          <w:sz w:val="20"/>
          <w:szCs w:val="20"/>
          <w:color w:val="auto"/>
        </w:rPr>
      </w:pPr>
      <w:r>
        <w:rPr>
          <w:rFonts w:ascii="Times New Roman" w:cs="Times New Roman" w:eastAsia="Times New Roman" w:hAnsi="Times New Roman"/>
          <w:sz w:val="19"/>
          <w:szCs w:val="19"/>
          <w:color w:val="auto"/>
        </w:rPr>
        <w:t>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52" w:lineRule="exact"/>
        <w:rPr>
          <w:sz w:val="20"/>
          <w:szCs w:val="20"/>
          <w:color w:val="auto"/>
        </w:rPr>
      </w:pPr>
    </w:p>
    <w:p>
      <w:pPr>
        <w:ind w:firstLine="749"/>
        <w:spacing w:after="0" w:line="269" w:lineRule="auto"/>
        <w:tabs>
          <w:tab w:leader="none" w:pos="15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Performance-Vesting Benefit Amount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the meaning given to that term in Section 6(b) hereof, and includes not only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dollar value but also any Awards made with respect thereto.</w:t>
      </w:r>
    </w:p>
    <w:p>
      <w:pPr>
        <w:spacing w:after="0" w:line="130" w:lineRule="exact"/>
        <w:rPr>
          <w:rFonts w:ascii="Times New Roman" w:cs="Times New Roman" w:eastAsia="Times New Roman" w:hAnsi="Times New Roman"/>
          <w:sz w:val="20"/>
          <w:szCs w:val="20"/>
          <w:color w:val="auto"/>
        </w:rPr>
      </w:pPr>
    </w:p>
    <w:p>
      <w:pPr>
        <w:jc w:val="both"/>
        <w:ind w:firstLine="749"/>
        <w:spacing w:after="0" w:line="251" w:lineRule="auto"/>
        <w:tabs>
          <w:tab w:leader="none" w:pos="184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Performance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each three-year fiscal period which begins on the first day of the fiscal year in which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Date occurs and ends at FYE of the third fiscal year. For example, if the Effective Date is April 1, 2022, the Performance Period would be January 30, 2022 to February 1, 2025.</w:t>
      </w:r>
    </w:p>
    <w:p>
      <w:pPr>
        <w:spacing w:after="0" w:line="147" w:lineRule="exact"/>
        <w:rPr>
          <w:rFonts w:ascii="Times New Roman" w:cs="Times New Roman" w:eastAsia="Times New Roman" w:hAnsi="Times New Roman"/>
          <w:sz w:val="20"/>
          <w:szCs w:val="20"/>
          <w:color w:val="auto"/>
        </w:rPr>
      </w:pPr>
    </w:p>
    <w:p>
      <w:pPr>
        <w:jc w:val="both"/>
        <w:ind w:firstLine="749"/>
        <w:spacing w:after="0" w:line="237" w:lineRule="auto"/>
        <w:tabs>
          <w:tab w:leader="none" w:pos="171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Performance Target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any business criteria for the Company, on a consolidated basis, and/or for Related Entities,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for business or geographical units of the Company and/or a Related Entity that the Committee, in its sole discretion, uses to establish performance goals for Awards. Any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As set forth in Section 3, the Committee may establish threshold, target and maximum goals for each Performance Target. Except as otherwise specified by the Committee at the time the goals are set, the Committee shall exclude the impact of: (i) restructurings, impairments,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2" w:lineRule="exact"/>
        <w:rPr>
          <w:rFonts w:ascii="Times New Roman" w:cs="Times New Roman" w:eastAsia="Times New Roman" w:hAnsi="Times New Roman"/>
          <w:sz w:val="20"/>
          <w:szCs w:val="20"/>
          <w:color w:val="auto"/>
        </w:rPr>
      </w:pPr>
    </w:p>
    <w:p>
      <w:pPr>
        <w:ind w:left="1840" w:hanging="1091"/>
        <w:spacing w:after="0"/>
        <w:tabs>
          <w:tab w:leader="none" w:pos="18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this Destination XL Group, Inc. Long-Term Incentive Plan, as it may be amended from time to time.</w:t>
      </w:r>
    </w:p>
    <w:p>
      <w:pPr>
        <w:spacing w:after="0" w:line="192" w:lineRule="exact"/>
        <w:rPr>
          <w:rFonts w:ascii="Times New Roman" w:cs="Times New Roman" w:eastAsia="Times New Roman" w:hAnsi="Times New Roman"/>
          <w:sz w:val="20"/>
          <w:szCs w:val="20"/>
          <w:color w:val="auto"/>
        </w:rPr>
      </w:pPr>
    </w:p>
    <w:p>
      <w:pPr>
        <w:ind w:left="1500" w:hanging="751"/>
        <w:spacing w:after="0"/>
        <w:tabs>
          <w:tab w:leader="none" w:pos="15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Projected Benefit Amount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the meaning given to that term in Section 5 hereof.</w:t>
      </w:r>
    </w:p>
    <w:p>
      <w:pPr>
        <w:spacing w:after="0" w:line="192" w:lineRule="exact"/>
        <w:rPr>
          <w:rFonts w:ascii="Times New Roman" w:cs="Times New Roman" w:eastAsia="Times New Roman" w:hAnsi="Times New Roman"/>
          <w:sz w:val="20"/>
          <w:szCs w:val="20"/>
          <w:color w:val="auto"/>
        </w:rPr>
      </w:pPr>
    </w:p>
    <w:p>
      <w:pPr>
        <w:jc w:val="both"/>
        <w:ind w:firstLine="749"/>
        <w:spacing w:after="0" w:line="251" w:lineRule="auto"/>
        <w:tabs>
          <w:tab w:leader="none" w:pos="15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Pro-Rata Vesting Percentage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percentage that (1) the number of days from the Participant’s Effective Date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Participation until the date of the Participant’s Termination of Employment bears to (2) the number of days from the Participant’s Effective Date of</w:t>
      </w:r>
    </w:p>
    <w:p>
      <w:pPr>
        <w:spacing w:after="0" w:line="1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2" w:name="page33"/>
    <w:bookmarkEnd w:id="32"/>
    <w:p>
      <w:pPr>
        <w:jc w:val="both"/>
        <w:spacing w:after="0" w:line="243" w:lineRule="auto"/>
        <w:rPr>
          <w:sz w:val="20"/>
          <w:szCs w:val="20"/>
          <w:color w:val="auto"/>
        </w:rPr>
      </w:pPr>
      <w:r>
        <w:rPr>
          <w:rFonts w:ascii="Times New Roman" w:cs="Times New Roman" w:eastAsia="Times New Roman" w:hAnsi="Times New Roman"/>
          <w:sz w:val="20"/>
          <w:szCs w:val="20"/>
          <w:color w:val="auto"/>
        </w:rPr>
        <w:t>Participation until the end of the Performance Period. If the Participant receives more than one Award pursuant to Section 6(c) hereof, then the Pro-Rata Percentage shall be determined separately with respect to each separate Award based upon the particular Grant Date (which is to be treated as the Participant’s Effective Date of Participation with respect to that Award) and Performance-Vesting Benefit Amount for each such Award.</w:t>
      </w:r>
    </w:p>
    <w:p>
      <w:pPr>
        <w:spacing w:after="0" w:line="155" w:lineRule="exact"/>
        <w:rPr>
          <w:sz w:val="20"/>
          <w:szCs w:val="20"/>
          <w:color w:val="auto"/>
        </w:rPr>
      </w:pPr>
    </w:p>
    <w:p>
      <w:pPr>
        <w:jc w:val="both"/>
        <w:ind w:left="100" w:firstLine="650"/>
        <w:spacing w:after="0" w:line="251" w:lineRule="auto"/>
        <w:tabs>
          <w:tab w:leader="none" w:pos="141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Retirement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Termination of Employment of the Participant, other than by reason of the Participant’s death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Disability and other than by the Company for Justifiable Cause or by the Participant for Good Reason, after the Participant has attained age 65 and completed at least 5 years of employment with the Company and its Subsidiaries and Affiliates.</w:t>
      </w:r>
    </w:p>
    <w:p>
      <w:pPr>
        <w:spacing w:after="0" w:line="147"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Section 16 Officer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an officer of the Company who is subject to the requirements of Section 16 of the Securities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Exchange Act of 1934.</w:t>
      </w:r>
    </w:p>
    <w:p>
      <w:pPr>
        <w:spacing w:after="0" w:line="130"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Structured Retirement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 Termination of Employment other than by reason of the Participant’s death or Disability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other than by the Company for Justifiable Cause that meets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of the following conditions:</w:t>
      </w:r>
    </w:p>
    <w:p>
      <w:pPr>
        <w:spacing w:after="0" w:line="136" w:lineRule="exact"/>
        <w:rPr>
          <w:rFonts w:ascii="Times New Roman" w:cs="Times New Roman" w:eastAsia="Times New Roman" w:hAnsi="Times New Roman"/>
          <w:sz w:val="20"/>
          <w:szCs w:val="20"/>
          <w:color w:val="auto"/>
        </w:rPr>
      </w:pPr>
    </w:p>
    <w:p>
      <w:pPr>
        <w:jc w:val="both"/>
        <w:ind w:left="2000" w:hanging="740"/>
        <w:spacing w:after="0" w:line="248" w:lineRule="auto"/>
        <w:tabs>
          <w:tab w:leader="none" w:pos="20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Employment occurs on or after the date a Participant has completed at least 5 years (or 3 years in the case of the Chief Executive Officer of the Company) of employment with the Company and its Subsidiaries and Affiliates;</w:t>
      </w:r>
    </w:p>
    <w:p>
      <w:pPr>
        <w:spacing w:after="0" w:line="156" w:lineRule="exact"/>
        <w:rPr>
          <w:rFonts w:ascii="Times New Roman" w:cs="Times New Roman" w:eastAsia="Times New Roman" w:hAnsi="Times New Roman"/>
          <w:sz w:val="20"/>
          <w:szCs w:val="20"/>
          <w:color w:val="auto"/>
        </w:rPr>
      </w:pPr>
    </w:p>
    <w:p>
      <w:pPr>
        <w:ind w:left="2000" w:hanging="740"/>
        <w:spacing w:after="0"/>
        <w:tabs>
          <w:tab w:leader="none" w:pos="20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Employment occurs on or after the date the Participant has attained at least age 59;</w:t>
      </w:r>
    </w:p>
    <w:p>
      <w:pPr>
        <w:spacing w:after="0" w:line="192" w:lineRule="exact"/>
        <w:rPr>
          <w:rFonts w:ascii="Times New Roman" w:cs="Times New Roman" w:eastAsia="Times New Roman" w:hAnsi="Times New Roman"/>
          <w:sz w:val="20"/>
          <w:szCs w:val="20"/>
          <w:color w:val="auto"/>
        </w:rPr>
      </w:pPr>
    </w:p>
    <w:p>
      <w:pPr>
        <w:jc w:val="both"/>
        <w:ind w:left="2000" w:hanging="740"/>
        <w:spacing w:after="0" w:line="243" w:lineRule="auto"/>
        <w:tabs>
          <w:tab w:leader="none" w:pos="20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determines through proper corporate action, in its sole discretion, that the Participant has satisfied all of the succession planning objectives set by the Committee for the Participant, including any requirement that a proper successor to the Participant is ready, willing and able to replace the Participant as of the Participant’s Termination of Employment; and</w:t>
      </w:r>
    </w:p>
    <w:p>
      <w:pPr>
        <w:spacing w:after="0" w:line="161" w:lineRule="exact"/>
        <w:rPr>
          <w:rFonts w:ascii="Times New Roman" w:cs="Times New Roman" w:eastAsia="Times New Roman" w:hAnsi="Times New Roman"/>
          <w:sz w:val="20"/>
          <w:szCs w:val="20"/>
          <w:color w:val="auto"/>
        </w:rPr>
      </w:pPr>
    </w:p>
    <w:p>
      <w:pPr>
        <w:jc w:val="both"/>
        <w:ind w:left="2000" w:hanging="740"/>
        <w:spacing w:after="0" w:line="248" w:lineRule="auto"/>
        <w:tabs>
          <w:tab w:leader="none" w:pos="20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continues to work through the termination date approved by the Committee as the Termination of Employment date for the Participant’s Structured Retirement (which date may not exceed sixty (60) days following the date that the Committee makes the determination in (iii) above).</w:t>
      </w:r>
    </w:p>
    <w:p>
      <w:pPr>
        <w:spacing w:after="0" w:line="156" w:lineRule="exact"/>
        <w:rPr>
          <w:sz w:val="20"/>
          <w:szCs w:val="20"/>
          <w:color w:val="auto"/>
        </w:rPr>
      </w:pPr>
    </w:p>
    <w:p>
      <w:pPr>
        <w:jc w:val="both"/>
        <w:ind w:left="740"/>
        <w:spacing w:after="0"/>
        <w:rPr>
          <w:sz w:val="20"/>
          <w:szCs w:val="20"/>
          <w:color w:val="auto"/>
        </w:rPr>
      </w:pPr>
      <w:r>
        <w:rPr>
          <w:rFonts w:ascii="Times New Roman" w:cs="Times New Roman" w:eastAsia="Times New Roman" w:hAnsi="Times New Roman"/>
          <w:sz w:val="20"/>
          <w:szCs w:val="20"/>
          <w:color w:val="auto"/>
        </w:rPr>
        <w:t>Notwithstanding any provision of this Plan to the contrary, in order to terminate in a Structured Retirement, a Participant must execute and not revoke a release of claims in favor of the Company within the time required by the Company (but not to exceed 45 days following Termination of Employment). A Participant whose Termination of Employment meets the conditions to be a Structured Retirement will be deemed to be terminated in a Structured Retirement for purposes of the Plan even if such Termination of Employment also meets other termination provisions under the Plan.</w:t>
      </w:r>
    </w:p>
    <w:p>
      <w:pPr>
        <w:spacing w:after="0" w:line="160" w:lineRule="exact"/>
        <w:rPr>
          <w:sz w:val="20"/>
          <w:szCs w:val="20"/>
          <w:color w:val="auto"/>
        </w:rPr>
      </w:pPr>
    </w:p>
    <w:p>
      <w:pPr>
        <w:jc w:val="both"/>
        <w:ind w:firstLine="749"/>
        <w:spacing w:after="0" w:line="251" w:lineRule="auto"/>
        <w:tabs>
          <w:tab w:leader="none" w:pos="114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Subsidiary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any corporation or other entity in which the Company has a direct or indirect ownership interest of 50%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more of the total combined voting power of the then outstanding securities or interests of such corporation or other entity entitled to vote generally in</w:t>
      </w:r>
    </w:p>
    <w:p>
      <w:pPr>
        <w:spacing w:after="0" w:line="1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3" w:name="page34"/>
    <w:bookmarkEnd w:id="33"/>
    <w:p>
      <w:pPr>
        <w:spacing w:after="0" w:line="263" w:lineRule="auto"/>
        <w:rPr>
          <w:sz w:val="20"/>
          <w:szCs w:val="20"/>
          <w:color w:val="auto"/>
        </w:rPr>
      </w:pPr>
      <w:r>
        <w:rPr>
          <w:rFonts w:ascii="Times New Roman" w:cs="Times New Roman" w:eastAsia="Times New Roman" w:hAnsi="Times New Roman"/>
          <w:sz w:val="20"/>
          <w:szCs w:val="20"/>
          <w:color w:val="auto"/>
        </w:rPr>
        <w:t>the election of directors or in which the Company has the right to receive 50% or more of the distribution of profits or 50% or more of the assets on liquidation or dissolution.</w:t>
      </w:r>
    </w:p>
    <w:p>
      <w:pPr>
        <w:spacing w:after="0" w:line="136" w:lineRule="exact"/>
        <w:rPr>
          <w:sz w:val="20"/>
          <w:szCs w:val="20"/>
          <w:color w:val="auto"/>
        </w:rPr>
      </w:pPr>
    </w:p>
    <w:p>
      <w:pPr>
        <w:jc w:val="both"/>
        <w:ind w:firstLine="749"/>
        <w:spacing w:after="0" w:line="245" w:lineRule="auto"/>
        <w:tabs>
          <w:tab w:leader="none" w:pos="11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Target Cash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amount in U.S. dollars determined by: multiplying (i) the Participant’s annual base salary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 on the Participant’s Effective Date of Participation by (ii) the long-term incentive program percentage designated in the Participant’s executed employment agreement with the Company (or the percentage as otherwise designated in the Company’s records) or such other amount as shall be determined by the Committee.</w:t>
      </w:r>
    </w:p>
    <w:p>
      <w:pPr>
        <w:spacing w:after="0" w:line="153" w:lineRule="exact"/>
        <w:rPr>
          <w:rFonts w:ascii="Times New Roman" w:cs="Times New Roman" w:eastAsia="Times New Roman" w:hAnsi="Times New Roman"/>
          <w:sz w:val="20"/>
          <w:szCs w:val="20"/>
          <w:color w:val="auto"/>
        </w:rPr>
      </w:pPr>
    </w:p>
    <w:p>
      <w:pPr>
        <w:ind w:firstLine="749"/>
        <w:spacing w:after="0" w:line="269" w:lineRule="auto"/>
        <w:tabs>
          <w:tab w:leader="none" w:pos="11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Termination of Employment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means the termination of the Participant’s employment with the Company and its Subsidiaries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Affiliates for any reason.</w:t>
      </w:r>
    </w:p>
    <w:p>
      <w:pPr>
        <w:spacing w:after="0" w:line="130" w:lineRule="exact"/>
        <w:rPr>
          <w:rFonts w:ascii="Times New Roman" w:cs="Times New Roman" w:eastAsia="Times New Roman" w:hAnsi="Times New Roman"/>
          <w:sz w:val="20"/>
          <w:szCs w:val="20"/>
          <w:color w:val="auto"/>
        </w:rPr>
      </w:pPr>
    </w:p>
    <w:p>
      <w:pPr>
        <w:ind w:firstLine="749"/>
        <w:spacing w:after="0" w:line="269" w:lineRule="auto"/>
        <w:tabs>
          <w:tab w:leader="none" w:pos="114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Time-Vesting Benefit Amount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the meaning given to that term in Section 6(a) hereof, and includes not only its dollar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but also any Awards made with respect thereto.</w:t>
      </w:r>
    </w:p>
    <w:p>
      <w:pPr>
        <w:spacing w:after="0" w:line="1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i w:val="1"/>
          <w:iCs w:val="1"/>
          <w:u w:val="single" w:color="auto"/>
          <w:color w:val="auto"/>
        </w:rPr>
        <w:t>Establishment of Fiscal Year Applicable Performance Target and Awards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Committee will establish the Performance Target(s) (in the aggregate, the Applicable Performance Target) in no event later than the expiration of 25% of the applicable performance period. The Committee may establish threshold, target and maximum goals for each Performance Target and the weight of each Performance Target may vary and may be dependent on achievement of another Performance Target. At that time, the Committee will establish whether Awards will be granted in Cash, a form of equity (for example, Restricted Stock, Restricted Stock Units and/or Options), or a combination thereof.</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i w:val="1"/>
          <w:iCs w:val="1"/>
          <w:u w:val="single" w:color="auto"/>
          <w:color w:val="auto"/>
        </w:rPr>
        <w:t>Eligibility</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The Committee shall designate those employees of the Company and its Subsidiaries and Affiliates who shall be eligible to become Participants in the Plan and the date during the Performance Period on which they shall become Participants. The initial Participants shall become Participants on the Effective Date for the applicable Performance Period notwithstanding when the applicable Plan metrics are approved. Except as otherwise provided in Section 7(a)(ii) hereof, unless otherwise determined by the Committee, no portion of any Award shall become vested pursuant to Section 7 hereof, unless and until a Participant has completed at least 1 year of employment with the Company and its Subsidiaries and Affiliates. No one shall be eligible to be a Participant during an existing Performance Period unless he or she was employed by, or is promoted by, the Company by the first day of the fourth fiscal quarter in the third year of a Performance Period.</w:t>
      </w:r>
    </w:p>
    <w:p>
      <w:pPr>
        <w:spacing w:after="0" w:line="1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b w:val="1"/>
          <w:bCs w:val="1"/>
          <w:i w:val="1"/>
          <w:iCs w:val="1"/>
          <w:u w:val="single" w:color="auto"/>
          <w:color w:val="auto"/>
        </w:rPr>
        <w:t>Amount of Benefit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 benefit payable to a Participant pursuant to an Award under this Plan shall be equal to the sum of the vested portions, if any, of the Participant’s Time-Vesting Benefit Amount and Performance-Vesting Benefit Amount. Those amounts shall be determined in accordance with Section 7 of this Plan, based upon the Participant’s Target Cash Value for the Performance Period (or, in the case of an individual that becomes a Participant after the Effective Date of a Performance Period, an amount (the “Projected Benefit Amount”) equal to the Target Cash Value for the Performance Period multiplied by a fraction, the numerator of which shall be the number of calendar days from the Participant’s Effective Date of Participation to the end of the Performance Period and the denominator of which shall be the total number of days in Performance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b w:val="1"/>
          <w:bCs w:val="1"/>
          <w:i w:val="1"/>
          <w:iCs w:val="1"/>
          <w:u w:val="single" w:color="auto"/>
          <w:color w:val="auto"/>
        </w:rPr>
        <w:t>Form of Payment</w:t>
      </w:r>
      <w:r>
        <w:rPr>
          <w:rFonts w:ascii="Times New Roman" w:cs="Times New Roman" w:eastAsia="Times New Roman" w:hAnsi="Times New Roman"/>
          <w:sz w:val="20"/>
          <w:szCs w:val="20"/>
          <w:b w:val="1"/>
          <w:bCs w:val="1"/>
          <w:i w:val="1"/>
          <w:iCs w:val="1"/>
          <w:color w:val="auto"/>
        </w:rPr>
        <w:t>.</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4" w:name="page35"/>
    <w:bookmarkEnd w:id="34"/>
    <w:p>
      <w:pPr>
        <w:jc w:val="both"/>
        <w:ind w:firstLine="749"/>
        <w:spacing w:after="0" w:line="251" w:lineRule="auto"/>
        <w:tabs>
          <w:tab w:leader="none" w:pos="15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Grant of Time-Based Awards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Upon a Participant’s Effective Date of Participation, the Committee shall grant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Participant the portion of the Award having a total dollar value equal to 50% of the Participant’s Projected Benefit Amount for the Performance Period (the “Time-Vesting Benefit Amount”) which shall vest over time. In the event all or a portion of the Award will be Restricted Stock or a Restricted Stock Unit, the number of shares to be granted will be determined by taking the dollar value of the Restricted Stock or Restricted Stock Unit Award and dividing by the closing price of the Company’s common stock on Grant Date. In the event all or a portion of the Award will be Options, then the number of Options to be granted will be determined by taking the lesser of (i) the dollar value of the Stock Option Award divided by the closing price of the Company’s common stock on Grant Date, this quotient then multiplied by a factor of 1.1 to 1.8 as determined by the Committee or (ii) the dollar value of the Stock Option Award divided by the Black-Scholes Value on the Grant Date. The exercise price of each Option shall be equal to the closing price of the Company’s common stock on the Grant Date.</w:t>
      </w:r>
    </w:p>
    <w:p>
      <w:pPr>
        <w:spacing w:after="0" w:line="153" w:lineRule="exact"/>
        <w:rPr>
          <w:rFonts w:ascii="Times New Roman" w:cs="Times New Roman" w:eastAsia="Times New Roman" w:hAnsi="Times New Roman"/>
          <w:sz w:val="19"/>
          <w:szCs w:val="19"/>
          <w:color w:val="auto"/>
        </w:rPr>
      </w:pPr>
    </w:p>
    <w:p>
      <w:pPr>
        <w:jc w:val="both"/>
        <w:ind w:firstLine="749"/>
        <w:spacing w:after="0" w:line="237" w:lineRule="auto"/>
        <w:tabs>
          <w:tab w:leader="none" w:pos="1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Grant of Performance-Based Awards</w:t>
      </w:r>
      <w:r>
        <w:rPr>
          <w:rFonts w:ascii="Times New Roman" w:cs="Times New Roman" w:eastAsia="Times New Roman" w:hAnsi="Times New Roman"/>
          <w:sz w:val="20"/>
          <w:szCs w:val="20"/>
          <w:color w:val="auto"/>
        </w:rPr>
        <w:t>. 50% of the Projected Benefit Amount shall be converted into a dollar value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accordance with Section 7(b), based upon the achievement of performance criteria during the Performance Period, which dollar value is sometimes hereinafter referred to as the “Performance-Vesting Benefit Amount”. After completion of an audit of the Company’s financial statements after the respective Performance Period ends and the Committee’s review and approval that the Applicable Performance Targets were met the Committee shall grant to the Participant one or more Awards in the form of Restricted Stock, Restricted Stock Units or Cash, having an aggregate dollar value equal to the Performance-Vesting Benefit Amount as so calculated. Options are not available for performance-based awards. Except as otherwise provided in Section 7(b)(ii), all grants of performance-based awards are subject to a post-grant vesting period, as set forth in Section 7(b). In the event all or a portion of the Award will be Restricted Stock or Restricted Stock Units, the number of shares or units to be granted will be determined by taking the dollar value of the Performance-Vesting Benefit Amount as so calculated and dividing by the closing price of the Company’s common stock on the Grant Date.</w:t>
      </w:r>
    </w:p>
    <w:p>
      <w:pPr>
        <w:spacing w:after="0" w:line="162" w:lineRule="exact"/>
        <w:rPr>
          <w:rFonts w:ascii="Times New Roman" w:cs="Times New Roman" w:eastAsia="Times New Roman" w:hAnsi="Times New Roman"/>
          <w:sz w:val="20"/>
          <w:szCs w:val="20"/>
          <w:color w:val="auto"/>
        </w:rPr>
      </w:pPr>
    </w:p>
    <w:p>
      <w:pPr>
        <w:jc w:val="both"/>
        <w:ind w:firstLine="749"/>
        <w:spacing w:after="0" w:line="237" w:lineRule="auto"/>
        <w:tabs>
          <w:tab w:leader="none" w:pos="1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Additional Grants for Promotions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a Participant is promoted during the Performance Period (prior to the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day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fourth quarter of the third fiscal year) and entitled to a higher long-term incentive program percentage 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Performance Period and the denominator of which shall be the total number of days from the Participant’s Effective Date of Participation to the last day of the Performance Period. In the event that a Participant is promoted and entitled to a higher long-term incentive program percentage as a result of such promotion more than once during the Performance Period, each additional Award shall be determined by the Committee, in its sole and absolute discretion, under the principles set forth above in this Section 6(c).</w:t>
      </w:r>
    </w:p>
    <w:p>
      <w:pPr>
        <w:spacing w:after="0" w:line="158"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Forms of Award Agreements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Restricted Stock, Restricted Stock Units and Options granted pursuant to the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made pursuant to the forms of Restricted Stock</w:t>
      </w:r>
    </w:p>
    <w:p>
      <w:pPr>
        <w:spacing w:after="0" w:line="12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5" w:name="page36"/>
    <w:bookmarkEnd w:id="35"/>
    <w:p>
      <w:pPr>
        <w:spacing w:after="0" w:line="263" w:lineRule="auto"/>
        <w:rPr>
          <w:sz w:val="20"/>
          <w:szCs w:val="20"/>
          <w:color w:val="auto"/>
        </w:rPr>
      </w:pPr>
      <w:r>
        <w:rPr>
          <w:rFonts w:ascii="Times New Roman" w:cs="Times New Roman" w:eastAsia="Times New Roman" w:hAnsi="Times New Roman"/>
          <w:sz w:val="20"/>
          <w:szCs w:val="20"/>
          <w:color w:val="auto"/>
        </w:rPr>
        <w:t>Agreement, Restricted Stock Unit and Stock Option Agreement, respectively, attached as Exhibits A, B and C hereto (with such modifications as the Committee may deem to be appropriate).</w:t>
      </w:r>
    </w:p>
    <w:p>
      <w:pPr>
        <w:spacing w:after="0" w:line="136" w:lineRule="exact"/>
        <w:rPr>
          <w:sz w:val="20"/>
          <w:szCs w:val="20"/>
          <w:color w:val="auto"/>
        </w:rPr>
      </w:pPr>
    </w:p>
    <w:p>
      <w:pPr>
        <w:jc w:val="both"/>
        <w:ind w:firstLine="749"/>
        <w:spacing w:after="0" w:line="242" w:lineRule="auto"/>
        <w:tabs>
          <w:tab w:leader="none" w:pos="1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Payment of Cash/Settlement of Restricted Stock Units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portion of any Projected Benefit Amount that vests and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payable in Cash shall be payable as soon as practicable after the date on which that portion of the benefit vests under Section 7(a) or 7(b) as applicable (but in any case, in no event more than 2 1/2 months after the end of the calendar year in which the portion of the Projected Benefit Amount vests). All Restricted Stock Units shall be settled in no event more than 2 1/2 months after the end of the calendar year in which the portion of the Projected Benefit Amount vests.</w:t>
      </w:r>
    </w:p>
    <w:p>
      <w:pPr>
        <w:spacing w:after="0" w:line="156" w:lineRule="exact"/>
        <w:rPr>
          <w:rFonts w:ascii="Times New Roman" w:cs="Times New Roman" w:eastAsia="Times New Roman" w:hAnsi="Times New Roman"/>
          <w:sz w:val="20"/>
          <w:szCs w:val="20"/>
          <w:color w:val="auto"/>
        </w:rPr>
      </w:pPr>
    </w:p>
    <w:p>
      <w:pPr>
        <w:jc w:val="both"/>
        <w:ind w:firstLine="749"/>
        <w:spacing w:after="0" w:line="242" w:lineRule="auto"/>
        <w:tabs>
          <w:tab w:leader="none" w:pos="184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If Insufficient Shares Available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Notwithstanding the foregoing, if and to the extent that, at the time an Award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the Company does not have a sufficient number of Shares remaining available for Awards under the Incentive Compensation Plan to issue such Award in the form of Restricted Stock, Restricted Stock Units and/or Options, or the Shares are available for Awards under the Incentive Compensation Plan subject to shareholder approval, and such approval is not obtained and the grant of Restricted Stock, Restricted Stock Units and/or Options therefore are cancelled, then such Award shall be settled in Cash to the extent of such insufficiency.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b w:val="1"/>
          <w:bCs w:val="1"/>
          <w:i w:val="1"/>
          <w:iCs w:val="1"/>
          <w:color w:val="auto"/>
        </w:rPr>
        <w:t>Vesting of Benefit.</w:t>
      </w:r>
    </w:p>
    <w:p>
      <w:pPr>
        <w:spacing w:after="0" w:line="192" w:lineRule="exact"/>
        <w:rPr>
          <w:sz w:val="20"/>
          <w:szCs w:val="20"/>
          <w:color w:val="auto"/>
        </w:rPr>
      </w:pPr>
    </w:p>
    <w:p>
      <w:pPr>
        <w:ind w:left="1500" w:hanging="751"/>
        <w:spacing w:after="0"/>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Vesting of Time-Vesting Benefit Amount</w:t>
      </w:r>
      <w:r>
        <w:rPr>
          <w:rFonts w:ascii="Times New Roman" w:cs="Times New Roman" w:eastAsia="Times New Roman" w:hAnsi="Times New Roman"/>
          <w:sz w:val="20"/>
          <w:szCs w:val="20"/>
          <w:color w:val="auto"/>
        </w:rPr>
        <w:t>:</w:t>
      </w:r>
    </w:p>
    <w:p>
      <w:pPr>
        <w:spacing w:after="0" w:line="298" w:lineRule="exact"/>
        <w:rPr>
          <w:sz w:val="20"/>
          <w:szCs w:val="20"/>
          <w:color w:val="auto"/>
        </w:rPr>
      </w:pPr>
    </w:p>
    <w:p>
      <w:pPr>
        <w:ind w:firstLine="1500"/>
        <w:spacing w:after="0" w:line="263" w:lineRule="auto"/>
        <w:rPr>
          <w:sz w:val="20"/>
          <w:szCs w:val="20"/>
          <w:color w:val="auto"/>
        </w:rPr>
      </w:pPr>
      <w:r>
        <w:rPr>
          <w:rFonts w:ascii="Times New Roman" w:cs="Times New Roman" w:eastAsia="Times New Roman" w:hAnsi="Times New Roman"/>
          <w:sz w:val="20"/>
          <w:szCs w:val="20"/>
          <w:color w:val="auto"/>
        </w:rPr>
        <w:t>(i) The Time-Vesting Benefit Amount shall vest according to the following four-year vesting schedule, provided that the Participant does not have a Termination of Employment on or before the applicable vesting date:</w:t>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Vesting Date</w:t>
            </w:r>
          </w:p>
        </w:tc>
        <w:tc>
          <w:tcPr>
            <w:tcW w:w="3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Percentage of Time-Vesting</w:t>
            </w:r>
          </w:p>
        </w:tc>
      </w:tr>
      <w:tr>
        <w:trPr>
          <w:trHeight w:val="179"/>
        </w:trPr>
        <w:tc>
          <w:tcPr>
            <w:tcW w:w="1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20"/>
                <w:szCs w:val="20"/>
                <w:color w:val="auto"/>
              </w:rPr>
              <w:t>Benefit Amount that Vests</w:t>
            </w:r>
          </w:p>
        </w:tc>
        <w:tc>
          <w:tcPr>
            <w:tcW w:w="2580" w:type="dxa"/>
            <w:vAlign w:val="bottom"/>
          </w:tcPr>
          <w:p>
            <w:pPr>
              <w:spacing w:after="0"/>
              <w:rPr>
                <w:sz w:val="15"/>
                <w:szCs w:val="15"/>
                <w:color w:val="auto"/>
              </w:rPr>
            </w:pPr>
          </w:p>
        </w:tc>
      </w:tr>
      <w:tr>
        <w:trPr>
          <w:trHeight w:val="20"/>
        </w:trPr>
        <w:tc>
          <w:tcPr>
            <w:tcW w:w="58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427"/>
        </w:trPr>
        <w:tc>
          <w:tcPr>
            <w:tcW w:w="5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The latter of one year from the Grant Date or April 1 following the</w:t>
            </w:r>
          </w:p>
        </w:tc>
        <w:tc>
          <w:tcPr>
            <w:tcW w:w="600" w:type="dxa"/>
            <w:vAlign w:val="bottom"/>
          </w:tcPr>
          <w:p>
            <w:pPr>
              <w:spacing w:after="0"/>
              <w:rPr>
                <w:sz w:val="24"/>
                <w:szCs w:val="24"/>
                <w:color w:val="auto"/>
              </w:rPr>
            </w:pPr>
          </w:p>
        </w:tc>
        <w:tc>
          <w:tcPr>
            <w:tcW w:w="4800" w:type="dxa"/>
            <w:vAlign w:val="bottom"/>
            <w:gridSpan w:val="3"/>
          </w:tcPr>
          <w:p>
            <w:pPr>
              <w:jc w:val="right"/>
              <w:ind w:right="2520"/>
              <w:spacing w:after="0"/>
              <w:rPr>
                <w:sz w:val="20"/>
                <w:szCs w:val="20"/>
                <w:color w:val="auto"/>
              </w:rPr>
            </w:pPr>
            <w:r>
              <w:rPr>
                <w:rFonts w:ascii="Times New Roman" w:cs="Times New Roman" w:eastAsia="Times New Roman" w:hAnsi="Times New Roman"/>
                <w:sz w:val="20"/>
                <w:szCs w:val="20"/>
                <w:color w:val="auto"/>
              </w:rPr>
              <w:t>25%</w:t>
            </w:r>
          </w:p>
        </w:tc>
      </w:tr>
      <w:tr>
        <w:trPr>
          <w:trHeight w:val="259"/>
        </w:trPr>
        <w:tc>
          <w:tcPr>
            <w:tcW w:w="5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FYE which marks the end of the first year of the Performance Period</w:t>
            </w:r>
          </w:p>
        </w:tc>
        <w:tc>
          <w:tcPr>
            <w:tcW w:w="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449"/>
        </w:trPr>
        <w:tc>
          <w:tcPr>
            <w:tcW w:w="5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April 1 following the FYE which marks the end of the second year of</w:t>
            </w:r>
          </w:p>
        </w:tc>
        <w:tc>
          <w:tcPr>
            <w:tcW w:w="5400" w:type="dxa"/>
            <w:vAlign w:val="bottom"/>
            <w:gridSpan w:val="4"/>
          </w:tcPr>
          <w:p>
            <w:pPr>
              <w:jc w:val="right"/>
              <w:ind w:right="2520"/>
              <w:spacing w:after="0"/>
              <w:rPr>
                <w:sz w:val="20"/>
                <w:szCs w:val="20"/>
                <w:color w:val="auto"/>
              </w:rPr>
            </w:pPr>
            <w:r>
              <w:rPr>
                <w:rFonts w:ascii="Times New Roman" w:cs="Times New Roman" w:eastAsia="Times New Roman" w:hAnsi="Times New Roman"/>
                <w:sz w:val="20"/>
                <w:szCs w:val="20"/>
                <w:color w:val="auto"/>
              </w:rPr>
              <w:t>25%</w:t>
            </w:r>
          </w:p>
        </w:tc>
      </w:tr>
      <w:tr>
        <w:trPr>
          <w:trHeight w:val="25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the Performance Period</w:t>
            </w:r>
          </w:p>
        </w:tc>
        <w:tc>
          <w:tcPr>
            <w:tcW w:w="3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449"/>
        </w:trPr>
        <w:tc>
          <w:tcPr>
            <w:tcW w:w="5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April 1 following the FYE which marks the end of the Performance</w:t>
            </w:r>
          </w:p>
        </w:tc>
        <w:tc>
          <w:tcPr>
            <w:tcW w:w="5400" w:type="dxa"/>
            <w:vAlign w:val="bottom"/>
            <w:gridSpan w:val="4"/>
          </w:tcPr>
          <w:p>
            <w:pPr>
              <w:jc w:val="right"/>
              <w:ind w:right="2520"/>
              <w:spacing w:after="0"/>
              <w:rPr>
                <w:sz w:val="20"/>
                <w:szCs w:val="20"/>
                <w:color w:val="auto"/>
              </w:rPr>
            </w:pPr>
            <w:r>
              <w:rPr>
                <w:rFonts w:ascii="Times New Roman" w:cs="Times New Roman" w:eastAsia="Times New Roman" w:hAnsi="Times New Roman"/>
                <w:sz w:val="20"/>
                <w:szCs w:val="20"/>
                <w:color w:val="auto"/>
              </w:rPr>
              <w:t>25%</w:t>
            </w:r>
          </w:p>
        </w:tc>
      </w:tr>
      <w:tr>
        <w:trPr>
          <w:trHeight w:val="25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3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449"/>
        </w:trPr>
        <w:tc>
          <w:tcPr>
            <w:tcW w:w="58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April 1 in the succeeding year (meaning, one year after the third</w:t>
            </w:r>
          </w:p>
        </w:tc>
        <w:tc>
          <w:tcPr>
            <w:tcW w:w="5400" w:type="dxa"/>
            <w:vAlign w:val="bottom"/>
            <w:gridSpan w:val="4"/>
          </w:tcPr>
          <w:p>
            <w:pPr>
              <w:jc w:val="right"/>
              <w:ind w:right="2520"/>
              <w:spacing w:after="0"/>
              <w:rPr>
                <w:sz w:val="20"/>
                <w:szCs w:val="20"/>
                <w:color w:val="auto"/>
              </w:rPr>
            </w:pPr>
            <w:r>
              <w:rPr>
                <w:rFonts w:ascii="Times New Roman" w:cs="Times New Roman" w:eastAsia="Times New Roman" w:hAnsi="Times New Roman"/>
                <w:sz w:val="20"/>
                <w:szCs w:val="20"/>
                <w:color w:val="auto"/>
              </w:rPr>
              <w:t>25%</w:t>
            </w:r>
          </w:p>
        </w:tc>
      </w:tr>
      <w:tr>
        <w:trPr>
          <w:trHeight w:val="25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tranche vests)</w:t>
            </w:r>
          </w:p>
        </w:tc>
        <w:tc>
          <w:tcPr>
            <w:tcW w:w="3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486"/>
        </w:trPr>
        <w:tc>
          <w:tcPr>
            <w:tcW w:w="1220" w:type="dxa"/>
            <w:vAlign w:val="bottom"/>
          </w:tcPr>
          <w:p>
            <w:pPr>
              <w:spacing w:after="0"/>
              <w:rPr>
                <w:sz w:val="24"/>
                <w:szCs w:val="24"/>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(ii)</w:t>
            </w:r>
          </w:p>
        </w:tc>
        <w:tc>
          <w:tcPr>
            <w:tcW w:w="30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Notwithstanding the foregoing,</w:t>
            </w:r>
          </w:p>
        </w:tc>
        <w:tc>
          <w:tcPr>
            <w:tcW w:w="5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if a Participant has a Termination of Employment during a</w:t>
            </w:r>
          </w:p>
        </w:tc>
      </w:tr>
      <w:tr>
        <w:trPr>
          <w:trHeight w:val="259"/>
        </w:trPr>
        <w:tc>
          <w:tcPr>
            <w:tcW w:w="112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Performance Period, then notwithstanding anything to the contrary in the Participant’s employment agreement, if any:</w:t>
            </w:r>
          </w:p>
        </w:tc>
      </w:tr>
      <w:tr>
        <w:trPr>
          <w:trHeight w:val="409"/>
        </w:trPr>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8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If such Termination of Employment is by reason of the Participant’s death or by the</w:t>
            </w:r>
          </w:p>
        </w:tc>
      </w:tr>
    </w:tbl>
    <w:p>
      <w:pPr>
        <w:jc w:val="both"/>
        <w:spacing w:after="0" w:line="236" w:lineRule="auto"/>
        <w:rPr>
          <w:sz w:val="20"/>
          <w:szCs w:val="20"/>
          <w:color w:val="auto"/>
        </w:rPr>
      </w:pPr>
      <w:r>
        <w:rPr>
          <w:rFonts w:ascii="Times New Roman" w:cs="Times New Roman" w:eastAsia="Times New Roman" w:hAnsi="Times New Roman"/>
          <w:sz w:val="20"/>
          <w:szCs w:val="20"/>
          <w:color w:val="auto"/>
        </w:rPr>
        <w:t>Company due to Disability, then the Participant shall, upon such Termination of Employment, (x) become fully vested in the entire Time-Vesting Benefit Amount for any Performance Period that ended on or before such Termination of Employment but that had not yet vested or been paid and (y) become vested in the Pro-Rata Vesting Percentage of the Time-Vesting Benefit Amount for any Performance Period(s) in which such Termination of Employment occurs.</w:t>
      </w:r>
    </w:p>
    <w:p>
      <w:pPr>
        <w:spacing w:after="0" w:line="166" w:lineRule="exact"/>
        <w:rPr>
          <w:sz w:val="20"/>
          <w:szCs w:val="20"/>
          <w:color w:val="auto"/>
        </w:rPr>
      </w:pPr>
    </w:p>
    <w:p>
      <w:pPr>
        <w:jc w:val="both"/>
        <w:ind w:firstLine="2250"/>
        <w:spacing w:after="0" w:line="243" w:lineRule="auto"/>
        <w:rPr>
          <w:sz w:val="20"/>
          <w:szCs w:val="20"/>
          <w:color w:val="auto"/>
        </w:rPr>
      </w:pPr>
      <w:r>
        <w:rPr>
          <w:rFonts w:ascii="Times New Roman" w:cs="Times New Roman" w:eastAsia="Times New Roman" w:hAnsi="Times New Roman"/>
          <w:sz w:val="20"/>
          <w:szCs w:val="20"/>
          <w:color w:val="auto"/>
        </w:rPr>
        <w:t>(B) If such Termination of Employment is by reason of the Participant’s Retirement, then the Participant shall, upon such Termination of Employment, (x) become fully vested in the entire Time-Vesting Benefit Amount for the Performance Period ended before such Termination of Employment that has not yet vested or been paid, (y) for any Performance Period that is in its first year of the Performance Period when such Termination of Employment occurs,</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7" w:name="page38"/>
    <w:bookmarkEnd w:id="37"/>
    <w:p>
      <w:pPr>
        <w:jc w:val="both"/>
        <w:spacing w:after="0" w:line="248" w:lineRule="auto"/>
        <w:rPr>
          <w:sz w:val="20"/>
          <w:szCs w:val="20"/>
          <w:color w:val="auto"/>
        </w:rPr>
      </w:pPr>
      <w:r>
        <w:rPr>
          <w:rFonts w:ascii="Times New Roman" w:cs="Times New Roman" w:eastAsia="Times New Roman" w:hAnsi="Times New Roman"/>
          <w:sz w:val="20"/>
          <w:szCs w:val="20"/>
          <w:color w:val="auto"/>
        </w:rPr>
        <w:t>forfeit the Time-Vesting Benefit Amount for that Performance Period and (z) to the extent not forfeited pursuant to (y), become vested in the portion of the Time-Vesting Benefit Amount that would have been paid as of the April 1 immediately following the end of the fiscal year in which such Termination of Employment occurs; and</w:t>
      </w:r>
    </w:p>
    <w:p>
      <w:pPr>
        <w:spacing w:after="0" w:line="156" w:lineRule="exact"/>
        <w:rPr>
          <w:sz w:val="20"/>
          <w:szCs w:val="20"/>
          <w:color w:val="auto"/>
        </w:rPr>
      </w:pPr>
    </w:p>
    <w:p>
      <w:pPr>
        <w:jc w:val="both"/>
        <w:ind w:firstLine="2250"/>
        <w:spacing w:after="0" w:line="239" w:lineRule="auto"/>
        <w:rPr>
          <w:sz w:val="20"/>
          <w:szCs w:val="20"/>
          <w:color w:val="auto"/>
        </w:rPr>
      </w:pPr>
      <w:r>
        <w:rPr>
          <w:rFonts w:ascii="Times New Roman" w:cs="Times New Roman" w:eastAsia="Times New Roman" w:hAnsi="Times New Roman"/>
          <w:sz w:val="20"/>
          <w:szCs w:val="20"/>
          <w:color w:val="auto"/>
        </w:rPr>
        <w:t>(C) If such Termination of Employment is by reason of a Structured Retirement, then the Participant shall, upon Termination of Employment, (x) become fully vested in any Time-Vesting Benefit Amount for the entire Performance Period that ended on or before such Termination of Employment that has not yet vested or been paid and (y) for any Performance Period that is in its first year of the Performance Period when the Termination of Employment occurs, forfeit the Time-Vesting Benefit Amount for that Performance Period and (z) for any Performance Period that is in its second or third year of the Performance Period when the Termination of Employment occurs, become fully vested in the Time-Vesting Benefit Amount for that Performance Period; and</w:t>
      </w:r>
    </w:p>
    <w:p>
      <w:pPr>
        <w:spacing w:after="0" w:line="166" w:lineRule="exact"/>
        <w:rPr>
          <w:sz w:val="20"/>
          <w:szCs w:val="20"/>
          <w:color w:val="auto"/>
        </w:rPr>
      </w:pPr>
    </w:p>
    <w:p>
      <w:pPr>
        <w:jc w:val="both"/>
        <w:ind w:firstLine="2250"/>
        <w:spacing w:after="0" w:line="238" w:lineRule="auto"/>
        <w:rPr>
          <w:sz w:val="20"/>
          <w:szCs w:val="20"/>
          <w:color w:val="auto"/>
        </w:rPr>
      </w:pPr>
      <w:r>
        <w:rPr>
          <w:rFonts w:ascii="Times New Roman" w:cs="Times New Roman" w:eastAsia="Times New Roman" w:hAnsi="Times New Roman"/>
          <w:sz w:val="20"/>
          <w:szCs w:val="20"/>
          <w:color w:val="auto"/>
        </w:rPr>
        <w:t>(D) If such Termination of Employment is by reason of a termination by the Company without Justifiable Cause (and other than by reason of the Participant’s Disability) or is by the Participant for Good Reason, then the Participant shall, upon Termination of Employment, (x) become fully vested in any Time-Vesting Benefit Amount for the entire Performance Period that ended on or before such Termination of Employment that has not yet vested or been paid and (y) for any Performance Period that is in its first year of the Performance Period when the Termination of Employment occurs, forfeit the Time-Vesting Benefit Amount for that Performance Period and (z) for any Performance Period that is in its second or third year of the Performance Period when the Termination of Employment occurs, become vested in the Pro-Rata Vesting Percentage of the Time-Vesting Benefit Amount for that Performance Period.</w:t>
      </w:r>
    </w:p>
    <w:p>
      <w:pPr>
        <w:spacing w:after="0" w:line="161" w:lineRule="exact"/>
        <w:rPr>
          <w:sz w:val="20"/>
          <w:szCs w:val="20"/>
          <w:color w:val="auto"/>
        </w:rPr>
      </w:pPr>
    </w:p>
    <w:p>
      <w:pPr>
        <w:ind w:left="1500" w:hanging="751"/>
        <w:spacing w:after="0"/>
        <w:tabs>
          <w:tab w:leader="none" w:pos="15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Vesting of Performance-Vesting Benefit Amount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1500"/>
        <w:spacing w:after="0" w:line="237" w:lineRule="auto"/>
        <w:rPr>
          <w:sz w:val="20"/>
          <w:szCs w:val="20"/>
          <w:color w:val="auto"/>
        </w:rPr>
      </w:pPr>
      <w:r>
        <w:rPr>
          <w:rFonts w:ascii="Times New Roman" w:cs="Times New Roman" w:eastAsia="Times New Roman" w:hAnsi="Times New Roman"/>
          <w:sz w:val="20"/>
          <w:szCs w:val="20"/>
          <w:color w:val="auto"/>
        </w:rPr>
        <w:t>(i) After the respective Performance Period ends and an audit of the Company’s financial statements has been completed, the Committee will calculate the amount of the “Performance-Vesting Benefit Amount” for each Participant. If there is more than one Performance Target, the Performance-Vesting Benefit Amount will be determined by first calculating the portion of 50% of the Projected Benefit Amount for the Performance Period that is to be attributable to each Performance Target and then adding those results together. To do so, the Committee will first multiply 50% of the Projected Benefit Amount for the Performance Period by the weight of each individual Performance Target and then by the percentage of target actually achieved for each Performance Target. If results for an individual Performance Target falls below the threshold established, there will be no Award with respect to the portion of the Projected Benefit Amount to which that Performance Target relates. The Performance-Vesting Benefit Amount shall vest on August 31 following the end of the applicable Performance Period if the Participant’s employment continues through such August 3l.</w:t>
      </w:r>
    </w:p>
    <w:p>
      <w:pPr>
        <w:spacing w:after="0" w:line="166" w:lineRule="exact"/>
        <w:rPr>
          <w:sz w:val="20"/>
          <w:szCs w:val="20"/>
          <w:color w:val="auto"/>
        </w:rPr>
      </w:pPr>
    </w:p>
    <w:p>
      <w:pPr>
        <w:jc w:val="both"/>
        <w:ind w:firstLine="1500"/>
        <w:spacing w:after="0" w:line="263" w:lineRule="auto"/>
        <w:rPr>
          <w:sz w:val="20"/>
          <w:szCs w:val="20"/>
          <w:color w:val="auto"/>
        </w:rPr>
      </w:pPr>
      <w:r>
        <w:rPr>
          <w:rFonts w:ascii="Times New Roman" w:cs="Times New Roman" w:eastAsia="Times New Roman" w:hAnsi="Times New Roman"/>
          <w:sz w:val="20"/>
          <w:szCs w:val="20"/>
          <w:color w:val="auto"/>
        </w:rPr>
        <w:t>For example, assume the Performance Targets were Goal A and Goal B and that each was weighted 50%, with a threshold payment at 80% of target and a maximum payout at 150% of target:</w:t>
      </w:r>
    </w:p>
    <w:p>
      <w:pPr>
        <w:spacing w:after="0" w:line="142" w:lineRule="exact"/>
        <w:rPr>
          <w:sz w:val="20"/>
          <w:szCs w:val="20"/>
          <w:color w:val="auto"/>
        </w:rPr>
      </w:pPr>
    </w:p>
    <w:p>
      <w:pPr>
        <w:jc w:val="both"/>
        <w:ind w:firstLine="2250"/>
        <w:spacing w:after="0" w:line="263" w:lineRule="auto"/>
        <w:rPr>
          <w:sz w:val="20"/>
          <w:szCs w:val="20"/>
          <w:color w:val="auto"/>
        </w:rPr>
      </w:pPr>
      <w:r>
        <w:rPr>
          <w:rFonts w:ascii="Times New Roman" w:cs="Times New Roman" w:eastAsia="Times New Roman" w:hAnsi="Times New Roman"/>
          <w:sz w:val="20"/>
          <w:szCs w:val="20"/>
          <w:color w:val="auto"/>
        </w:rPr>
        <w:t>(A) if Goal A and Goal B are both less than 80% of their respective target, then no Award shall be made for the Performance-Vesting Benefit Amount;</w:t>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8" w:name="page39"/>
    <w:bookmarkEnd w:id="38"/>
    <w:p>
      <w:pPr>
        <w:jc w:val="both"/>
        <w:ind w:firstLine="2250"/>
        <w:spacing w:after="0" w:line="243" w:lineRule="auto"/>
        <w:rPr>
          <w:sz w:val="20"/>
          <w:szCs w:val="20"/>
          <w:color w:val="auto"/>
        </w:rPr>
      </w:pPr>
      <w:r>
        <w:rPr>
          <w:rFonts w:ascii="Times New Roman" w:cs="Times New Roman" w:eastAsia="Times New Roman" w:hAnsi="Times New Roman"/>
          <w:sz w:val="20"/>
          <w:szCs w:val="20"/>
          <w:color w:val="auto"/>
        </w:rPr>
        <w:t>(B) if Goal A is 100% of its target and Goal B is 100% of its target, and a Participant has a Projected Benefit Amount of $140,000, then 50% of that amount, or $70,000, would be subject to the achievement of the Applicable Performance Target, and the Performance-Vesting Benefit Amount would be $70,000 (100% X $70,000 X 50%) + (100% X $70,000 X 50%); and</w:t>
      </w:r>
    </w:p>
    <w:p>
      <w:pPr>
        <w:spacing w:after="0" w:line="394" w:lineRule="exact"/>
        <w:rPr>
          <w:sz w:val="20"/>
          <w:szCs w:val="20"/>
          <w:color w:val="auto"/>
        </w:rPr>
      </w:pPr>
    </w:p>
    <w:p>
      <w:pPr>
        <w:jc w:val="both"/>
        <w:ind w:firstLine="2250"/>
        <w:spacing w:after="0" w:line="243" w:lineRule="auto"/>
        <w:rPr>
          <w:sz w:val="20"/>
          <w:szCs w:val="20"/>
          <w:color w:val="auto"/>
        </w:rPr>
      </w:pPr>
      <w:r>
        <w:rPr>
          <w:rFonts w:ascii="Times New Roman" w:cs="Times New Roman" w:eastAsia="Times New Roman" w:hAnsi="Times New Roman"/>
          <w:sz w:val="20"/>
          <w:szCs w:val="20"/>
          <w:color w:val="auto"/>
        </w:rPr>
        <w:t>(C) if Goal A is 180% of its target and Goal B is 125% of its target, and a Participant has a Projected Benefit Amount of $140,000, then 50% of that amount, or $70,000, would be subject to the achievement of the Applicable Performance Target, and the Performance-Vesting Benefit Amount would be $96,250 (150% (cap) X $70,000 X 50%) + (125% X $70,000 X 50%).</w:t>
      </w:r>
    </w:p>
    <w:p>
      <w:pPr>
        <w:spacing w:after="0" w:line="394" w:lineRule="exact"/>
        <w:rPr>
          <w:sz w:val="20"/>
          <w:szCs w:val="20"/>
          <w:color w:val="auto"/>
        </w:rPr>
      </w:pPr>
    </w:p>
    <w:p>
      <w:pPr>
        <w:ind w:right="20" w:firstLine="937"/>
        <w:spacing w:after="0" w:line="263" w:lineRule="auto"/>
        <w:tabs>
          <w:tab w:leader="none" w:pos="212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 Participant has a Termination of Employment during a Performance Period, then notwithstanding anything to the contrary in the Participant’s employment agreement, if any:</w:t>
      </w:r>
    </w:p>
    <w:p>
      <w:pPr>
        <w:spacing w:after="0" w:line="142" w:lineRule="exact"/>
        <w:rPr>
          <w:sz w:val="20"/>
          <w:szCs w:val="20"/>
          <w:color w:val="auto"/>
        </w:rPr>
      </w:pPr>
    </w:p>
    <w:p>
      <w:pPr>
        <w:jc w:val="both"/>
        <w:ind w:firstLine="2250"/>
        <w:spacing w:after="0" w:line="239" w:lineRule="auto"/>
        <w:rPr>
          <w:sz w:val="20"/>
          <w:szCs w:val="20"/>
          <w:color w:val="auto"/>
        </w:rPr>
      </w:pPr>
      <w:r>
        <w:rPr>
          <w:rFonts w:ascii="Times New Roman" w:cs="Times New Roman" w:eastAsia="Times New Roman" w:hAnsi="Times New Roman"/>
          <w:sz w:val="20"/>
          <w:szCs w:val="20"/>
          <w:color w:val="auto"/>
        </w:rPr>
        <w:t>(A) If such Termination of Employment is by reason of the Participant’s death or by the Company due to Disability, then the Participant shall, upon Termination of Employment, become (x) fully vested in the entire Performance-Vesting Benefit Amount for any Performance Period that ended on or before such Termination of Employment but that had not yet vested or been paid, and (y) vested in the Pro-Rata Vesting Percentage of the Performance-Vesting Benefit Target for any Performance Period that has not ended on or before the Termination of Employment, regardless of whether the Applicable Performance Target for the current Performance Period has been met.</w:t>
      </w:r>
    </w:p>
    <w:p>
      <w:pPr>
        <w:spacing w:after="0" w:line="166" w:lineRule="exact"/>
        <w:rPr>
          <w:sz w:val="20"/>
          <w:szCs w:val="20"/>
          <w:color w:val="auto"/>
        </w:rPr>
      </w:pPr>
    </w:p>
    <w:p>
      <w:pPr>
        <w:jc w:val="both"/>
        <w:ind w:firstLine="2250"/>
        <w:spacing w:after="0" w:line="237" w:lineRule="auto"/>
        <w:rPr>
          <w:sz w:val="20"/>
          <w:szCs w:val="20"/>
          <w:color w:val="auto"/>
        </w:rPr>
      </w:pPr>
      <w:r>
        <w:rPr>
          <w:rFonts w:ascii="Times New Roman" w:cs="Times New Roman" w:eastAsia="Times New Roman" w:hAnsi="Times New Roman"/>
          <w:sz w:val="20"/>
          <w:szCs w:val="20"/>
          <w:color w:val="auto"/>
        </w:rPr>
        <w:t>(B) If such Termination of Employment is by reason of the Participant’s Retirement, then the Participant shall (x) upon Termination of Employment, become fully vested in the entire Performance-Vesting Benefit Amount for any Performance Period that ended on or before such Termination of Employment but that had not yet vested or been paid and (y) upon Termination of Employment, for any Performance Period that is in its first year of the Performance Period when the Termination of Employment occurs, forfeit the Performance-Vesting Benefit Amount for such Performance Period and (z) for any Performance Period that is in at least the second year of the Performance period when the Termination of Employment occurs, become vested in the Pro-Rata Vesting Percentage of the Performance-Vesting Benefit Amount, if any, determined based upon the actual level of achievement of the Applicable Performance Targets for the entire Performance Period if and when the Applicable Performance Target has been met as determined by the Committee through proper corporate action.</w:t>
      </w:r>
    </w:p>
    <w:p>
      <w:pPr>
        <w:spacing w:after="0" w:line="166" w:lineRule="exact"/>
        <w:rPr>
          <w:sz w:val="20"/>
          <w:szCs w:val="20"/>
          <w:color w:val="auto"/>
        </w:rPr>
      </w:pPr>
    </w:p>
    <w:p>
      <w:pPr>
        <w:jc w:val="both"/>
        <w:ind w:left="100" w:firstLine="2157"/>
        <w:spacing w:after="0" w:line="238" w:lineRule="auto"/>
        <w:rPr>
          <w:sz w:val="20"/>
          <w:szCs w:val="20"/>
          <w:color w:val="auto"/>
        </w:rPr>
      </w:pPr>
      <w:r>
        <w:rPr>
          <w:rFonts w:ascii="Times New Roman" w:cs="Times New Roman" w:eastAsia="Times New Roman" w:hAnsi="Times New Roman"/>
          <w:sz w:val="20"/>
          <w:szCs w:val="20"/>
          <w:color w:val="auto"/>
        </w:rPr>
        <w:t>(C) If such Termination of Employment is by reason of a Structured Retirement, then the Participant shall (x) upon Termination of Employment, become fully vested in the entire Performance-Vesting Benefit Amount for any Performance Period that ended on or before the Termination of Employment but that has not yet vested or been paid and (y) upon Termination of Employment, for any Performance Period that is in its first year of the Performance Period when the Termination of Employment occurs, forfeit the Performance-Vesting Benefit Amount for such Performance Period and (z) for any Performance Period that is in its second or third year of the Performance Period when the Termination of Employment occurs, become vested in the Performance-Vesting Benefit Amount, if any, determined based upon the actual level of achievement of the Applicable Performance Targets for the entire</w:t>
      </w:r>
    </w:p>
    <w:p>
      <w:pPr>
        <w:spacing w:after="0" w:line="1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9" w:name="page40"/>
    <w:bookmarkEnd w:id="39"/>
    <w:p>
      <w:pPr>
        <w:jc w:val="both"/>
        <w:ind w:left="100"/>
        <w:spacing w:after="0" w:line="263" w:lineRule="auto"/>
        <w:rPr>
          <w:sz w:val="20"/>
          <w:szCs w:val="20"/>
          <w:color w:val="auto"/>
        </w:rPr>
      </w:pPr>
      <w:r>
        <w:rPr>
          <w:rFonts w:ascii="Times New Roman" w:cs="Times New Roman" w:eastAsia="Times New Roman" w:hAnsi="Times New Roman"/>
          <w:sz w:val="20"/>
          <w:szCs w:val="20"/>
          <w:color w:val="auto"/>
        </w:rPr>
        <w:t>Performance Period if and when the Applicable Performance Target has been met as determined by the Committee through proper corporate action.</w:t>
      </w:r>
    </w:p>
    <w:p>
      <w:pPr>
        <w:spacing w:after="0" w:line="142" w:lineRule="exact"/>
        <w:rPr>
          <w:sz w:val="20"/>
          <w:szCs w:val="20"/>
          <w:color w:val="auto"/>
        </w:rPr>
      </w:pPr>
    </w:p>
    <w:p>
      <w:pPr>
        <w:jc w:val="both"/>
        <w:ind w:left="100" w:firstLine="2157"/>
        <w:spacing w:after="0" w:line="236" w:lineRule="auto"/>
        <w:rPr>
          <w:sz w:val="20"/>
          <w:szCs w:val="20"/>
          <w:color w:val="auto"/>
        </w:rPr>
      </w:pPr>
      <w:r>
        <w:rPr>
          <w:rFonts w:ascii="Times New Roman" w:cs="Times New Roman" w:eastAsia="Times New Roman" w:hAnsi="Times New Roman"/>
          <w:sz w:val="20"/>
          <w:szCs w:val="20"/>
          <w:color w:val="auto"/>
        </w:rPr>
        <w:t>(D) If such Termination of Employment is by reason of a termination by the Company without Justifiable Cause (and other than by reason of the Participant’s Disability) or by the Participant for Good Reason, then the Participant shall (x) upon Termination of Employment, become fully vested in the entire Performance-Vesting Benefit Amount for any Performance Period that ended on or before the Termination of Employment but that has not yet vested or been paid and (y) upon Termination of Employment, for any Performance Period that is in its first year of the Performance Period when the Termination of Employment occurs, forfeit the Performance-Vesting Benefit Amount for such Performance Period and (z) for any Performance Period that is in its second or third year of the Performance Period when the Termination of Employment occurs, become vested in the Pro-Rata Vesting Percentage of the Performance-Vesting Benefit Amount, if any, determined based upon the actual level of achievement of the Applicable Performance Targets for the entire Performance Period if and when the Applicable Performance Target has been met as determined by the Committee through proper corporate action.</w:t>
      </w:r>
    </w:p>
    <w:p>
      <w:pPr>
        <w:spacing w:after="0" w:line="166" w:lineRule="exact"/>
        <w:rPr>
          <w:sz w:val="20"/>
          <w:szCs w:val="20"/>
          <w:color w:val="auto"/>
        </w:rPr>
      </w:pPr>
    </w:p>
    <w:p>
      <w:pPr>
        <w:jc w:val="both"/>
        <w:ind w:firstLine="749"/>
        <w:spacing w:after="0" w:line="239" w:lineRule="auto"/>
        <w:tabs>
          <w:tab w:leader="none" w:pos="1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Forfeitures</w:t>
      </w:r>
      <w:r>
        <w:rPr>
          <w:rFonts w:ascii="Times New Roman" w:cs="Times New Roman" w:eastAsia="Times New Roman" w:hAnsi="Times New Roman"/>
          <w:sz w:val="20"/>
          <w:szCs w:val="20"/>
          <w:color w:val="auto"/>
        </w:rPr>
        <w:t>. Except as otherwise provided in Section 7(a)(ii) and 7(b)(ii) hereof, any portion of any Awards for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Performance Period that was not vested on the date on which the Participant incurs a Termination of Employment and that does not vest or remain eligible to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60" w:lineRule="exact"/>
        <w:rPr>
          <w:rFonts w:ascii="Times New Roman" w:cs="Times New Roman" w:eastAsia="Times New Roman" w:hAnsi="Times New Roman"/>
          <w:sz w:val="20"/>
          <w:szCs w:val="20"/>
          <w:color w:val="auto"/>
        </w:rPr>
      </w:pPr>
    </w:p>
    <w:p>
      <w:pPr>
        <w:jc w:val="both"/>
        <w:ind w:firstLine="749"/>
        <w:spacing w:after="0" w:line="242" w:lineRule="auto"/>
        <w:tabs>
          <w:tab w:leader="none" w:pos="1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Clawback of Gains on Termination for Justifiable Cause. </w:t>
      </w:r>
      <w:r>
        <w:rPr>
          <w:rFonts w:ascii="Times New Roman" w:cs="Times New Roman" w:eastAsia="Times New Roman" w:hAnsi="Times New Roman"/>
          <w:sz w:val="20"/>
          <w:szCs w:val="20"/>
          <w:color w:val="auto"/>
        </w:rPr>
        <w:t>In the event that a Participant has a Termination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Employment, and such Termination of Employment was by the Company for Justifiable Cause, then in addition to any other remedy that may be available to the Company in law or in equity, and/or pursuant to the provisions of the Participant’s employment agreement, if any, the Participant also shall be required to pay to the Company, immediately upon written demand by the Committee or the Board, any Gains resulting from the grant, vesting, exercise or payment of any Award in the previous twelve months.</w:t>
      </w:r>
    </w:p>
    <w:p>
      <w:pPr>
        <w:spacing w:after="0" w:line="156" w:lineRule="exact"/>
        <w:rPr>
          <w:rFonts w:ascii="Times New Roman" w:cs="Times New Roman" w:eastAsia="Times New Roman" w:hAnsi="Times New Roman"/>
          <w:sz w:val="20"/>
          <w:szCs w:val="20"/>
          <w:color w:val="auto"/>
        </w:rPr>
      </w:pPr>
    </w:p>
    <w:p>
      <w:pPr>
        <w:jc w:val="both"/>
        <w:ind w:firstLine="749"/>
        <w:spacing w:after="0" w:line="236" w:lineRule="auto"/>
        <w:tabs>
          <w:tab w:leader="none" w:pos="1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Change in Control. </w:t>
      </w:r>
      <w:r>
        <w:rPr>
          <w:rFonts w:ascii="Times New Roman" w:cs="Times New Roman" w:eastAsia="Times New Roman" w:hAnsi="Times New Roman"/>
          <w:sz w:val="20"/>
          <w:szCs w:val="20"/>
          <w:color w:val="auto"/>
        </w:rPr>
        <w:t>In the event of a Change in Control and within 6 months before or 18 months after the Change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 either (1) the Participant is terminated by the Company without Justifiable Cause or by the Participant for Good Reason, or (2) there is a Termination of Employment because of the Participant’s death or by the Company due to Disability, the following shall occur: (i) if and to the extent the portion of the Participant’s Award(s) that is attributable to a Time-Based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(ii) if and to the extent any portion of the Participant’s Award(s) is attributable to a Time-Based Vesting Amount for a 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Period and has not</w:t>
      </w:r>
    </w:p>
    <w:p>
      <w:pPr>
        <w:jc w:val="center"/>
        <w:spacing w:after="0" w:line="197" w:lineRule="auto"/>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0" w:name="page41"/>
    <w:bookmarkEnd w:id="40"/>
    <w:p>
      <w:pPr>
        <w:jc w:val="both"/>
        <w:ind w:left="1"/>
        <w:spacing w:after="0" w:line="246" w:lineRule="auto"/>
        <w:rPr>
          <w:sz w:val="20"/>
          <w:szCs w:val="20"/>
          <w:color w:val="auto"/>
        </w:rPr>
      </w:pPr>
      <w:r>
        <w:rPr>
          <w:rFonts w:ascii="Times New Roman" w:cs="Times New Roman" w:eastAsia="Times New Roman" w:hAnsi="Times New Roman"/>
          <w:sz w:val="19"/>
          <w:szCs w:val="19"/>
          <w:color w:val="auto"/>
        </w:rPr>
        <w:t>previously been vested or paid to the Participant and is not assumed by the acquirer or converted into a new award that is at least the equivalent of the outstanding award, then the Pro-Rata Vesting Percentage of the Time-Vesting Benefit Amount of such Performance Period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(iii) if and to the extent the portion of the Participant’s Award(s) that is attributable to a Performance-Based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and (iv) if and to the extent the portion of the Participant’s Award(s) that is attributable to a Performance-Based Vesting Amount for any Performance Period that has not yet ended and has not previously been vested or paid to the Participant, then the pro-rata portion at target of the Performance-Based Vesting Amount for such Performance Period(s) for the time elapsed in the ongoing Performance Period(s),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Each Share of Restricted Stock that vests pursuant to this Section 7(d)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w:t>
      </w:r>
    </w:p>
    <w:p>
      <w:pPr>
        <w:spacing w:after="0" w:line="13" w:lineRule="exact"/>
        <w:rPr>
          <w:sz w:val="20"/>
          <w:szCs w:val="20"/>
          <w:color w:val="auto"/>
        </w:rPr>
      </w:pPr>
    </w:p>
    <w:p>
      <w:pPr>
        <w:jc w:val="both"/>
        <w:ind w:left="1" w:hanging="1"/>
        <w:spacing w:after="0" w:line="236" w:lineRule="auto"/>
        <w:tabs>
          <w:tab w:leader="none" w:pos="34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7(d)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b w:val="1"/>
          <w:bCs w:val="1"/>
          <w:i w:val="1"/>
          <w:iCs w:val="1"/>
          <w:color w:val="auto"/>
        </w:rPr>
        <w:t>Administration.</w:t>
      </w:r>
    </w:p>
    <w:p>
      <w:pPr>
        <w:spacing w:after="0" w:line="192" w:lineRule="exact"/>
        <w:rPr>
          <w:sz w:val="20"/>
          <w:szCs w:val="20"/>
          <w:color w:val="auto"/>
        </w:rPr>
      </w:pPr>
    </w:p>
    <w:p>
      <w:pPr>
        <w:jc w:val="both"/>
        <w:ind w:left="1" w:firstLine="749"/>
        <w:spacing w:after="0" w:line="242" w:lineRule="auto"/>
        <w:tabs>
          <w:tab w:leader="none" w:pos="1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Authority of the Committee. </w:t>
      </w:r>
      <w:r>
        <w:rPr>
          <w:rFonts w:ascii="Times New Roman" w:cs="Times New Roman" w:eastAsia="Times New Roman" w:hAnsi="Times New Roman"/>
          <w:sz w:val="20"/>
          <w:szCs w:val="20"/>
          <w:color w:val="auto"/>
        </w:rPr>
        <w:t>The Plan shall be administered by the Committee. The Committee shall have full and final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authority, subject to and 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w:t>
      </w:r>
    </w:p>
    <w:p>
      <w:pPr>
        <w:spacing w:after="0" w:line="14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187960</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13" w:right="339" w:bottom="1440" w:gutter="0" w:footer="0" w:header="0"/>
        </w:sectPr>
      </w:pPr>
    </w:p>
    <w:bookmarkStart w:id="41" w:name="page42"/>
    <w:bookmarkEnd w:id="41"/>
    <w:p>
      <w:pPr>
        <w:jc w:val="both"/>
        <w:spacing w:after="0" w:line="243" w:lineRule="auto"/>
        <w:rPr>
          <w:sz w:val="20"/>
          <w:szCs w:val="20"/>
          <w:color w:val="auto"/>
        </w:rPr>
      </w:pPr>
      <w:r>
        <w:rPr>
          <w:rFonts w:ascii="Times New Roman" w:cs="Times New Roman" w:eastAsia="Times New Roman" w:hAnsi="Times New Roman"/>
          <w:sz w:val="20"/>
          <w:szCs w:val="20"/>
          <w:color w:val="auto"/>
        </w:rPr>
        <w:t>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55" w:lineRule="exact"/>
        <w:rPr>
          <w:sz w:val="20"/>
          <w:szCs w:val="20"/>
          <w:color w:val="auto"/>
        </w:rPr>
      </w:pPr>
    </w:p>
    <w:p>
      <w:pPr>
        <w:jc w:val="both"/>
        <w:ind w:firstLine="749"/>
        <w:spacing w:after="0"/>
        <w:tabs>
          <w:tab w:leader="none" w:pos="1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Manner of Exercise of Committee Authority. </w:t>
      </w:r>
      <w:r>
        <w:rPr>
          <w:rFonts w:ascii="Times New Roman" w:cs="Times New Roman" w:eastAsia="Times New Roman" w:hAnsi="Times New Roman"/>
          <w:sz w:val="20"/>
          <w:szCs w:val="20"/>
          <w:color w:val="auto"/>
        </w:rPr>
        <w:t>The Committee may delegate to members of the Board, or officers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managers of the Company or 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The Committee may appoint agents to assist it in administering the Plan.</w:t>
      </w:r>
    </w:p>
    <w:p>
      <w:pPr>
        <w:spacing w:after="0" w:line="159" w:lineRule="exact"/>
        <w:rPr>
          <w:rFonts w:ascii="Times New Roman" w:cs="Times New Roman" w:eastAsia="Times New Roman" w:hAnsi="Times New Roman"/>
          <w:sz w:val="20"/>
          <w:szCs w:val="20"/>
          <w:color w:val="auto"/>
        </w:rPr>
      </w:pPr>
    </w:p>
    <w:p>
      <w:pPr>
        <w:jc w:val="both"/>
        <w:ind w:firstLine="749"/>
        <w:spacing w:after="0"/>
        <w:tabs>
          <w:tab w:leader="none" w:pos="1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Limitation of Liability. </w:t>
      </w:r>
      <w:r>
        <w:rPr>
          <w:rFonts w:ascii="Times New Roman" w:cs="Times New Roman" w:eastAsia="Times New Roman" w:hAnsi="Times New Roman"/>
          <w:sz w:val="20"/>
          <w:szCs w:val="20"/>
          <w:color w:val="auto"/>
        </w:rPr>
        <w:t>The Committee, and each member thereof, shall be entitled to, in good faith, rely or act upon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report or other information 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 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59" w:lineRule="exact"/>
        <w:rPr>
          <w:rFonts w:ascii="Times New Roman" w:cs="Times New Roman" w:eastAsia="Times New Roman" w:hAnsi="Times New Roman"/>
          <w:sz w:val="20"/>
          <w:szCs w:val="20"/>
          <w:color w:val="auto"/>
        </w:rPr>
      </w:pPr>
    </w:p>
    <w:p>
      <w:pPr>
        <w:jc w:val="both"/>
        <w:ind w:firstLine="749"/>
        <w:spacing w:after="0" w:line="245" w:lineRule="auto"/>
        <w:tabs>
          <w:tab w:leader="none" w:pos="1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 Claim for Benefits Required. </w:t>
      </w:r>
      <w:r>
        <w:rPr>
          <w:rFonts w:ascii="Times New Roman" w:cs="Times New Roman" w:eastAsia="Times New Roman" w:hAnsi="Times New Roman"/>
          <w:sz w:val="20"/>
          <w:szCs w:val="20"/>
          <w:color w:val="auto"/>
        </w:rPr>
        <w:t>Benefits due and owing to a Participant under the Plan shall be paid when due without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53" w:lineRule="exact"/>
        <w:rPr>
          <w:rFonts w:ascii="Times New Roman" w:cs="Times New Roman" w:eastAsia="Times New Roman" w:hAnsi="Times New Roman"/>
          <w:sz w:val="20"/>
          <w:szCs w:val="20"/>
          <w:color w:val="auto"/>
        </w:rPr>
      </w:pPr>
    </w:p>
    <w:p>
      <w:pPr>
        <w:ind w:firstLine="749"/>
        <w:spacing w:after="0" w:line="269" w:lineRule="auto"/>
        <w:tabs>
          <w:tab w:leader="none" w:pos="1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Payments to Beneficiary. </w:t>
      </w:r>
      <w:r>
        <w:rPr>
          <w:rFonts w:ascii="Times New Roman" w:cs="Times New Roman" w:eastAsia="Times New Roman" w:hAnsi="Times New Roman"/>
          <w:sz w:val="20"/>
          <w:szCs w:val="20"/>
          <w:color w:val="auto"/>
        </w:rPr>
        <w:t>Any vested benefits payable to any Participant that have not been paid as of the date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death, shall be paid to the Participant’s Beneficiary.</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b w:val="1"/>
          <w:bCs w:val="1"/>
          <w:i w:val="1"/>
          <w:iCs w:val="1"/>
          <w:color w:val="auto"/>
        </w:rPr>
        <w:t>Awards Subject to Plans.</w:t>
      </w:r>
      <w:r>
        <w:rPr>
          <w:rFonts w:ascii="Times New Roman" w:cs="Times New Roman" w:eastAsia="Times New Roman" w:hAnsi="Times New Roman"/>
          <w:sz w:val="20"/>
          <w:szCs w:val="20"/>
          <w:color w:val="auto"/>
        </w:rPr>
        <w:t xml:space="preserve"> The Awards under this Plan, and the grants of Restricted Stock, Restricted Stock Units and Options pursuant to this Plan, are being granted pursuant to and in accordance with the terms and conditions of this Plan and the Incentive Compensation Plan, and the Award Agreements.</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b w:val="1"/>
          <w:bCs w:val="1"/>
          <w:i w:val="1"/>
          <w:iCs w:val="1"/>
          <w:color w:val="auto"/>
        </w:rPr>
        <w:t>No Acceleration of Benefits.</w:t>
      </w:r>
      <w:r>
        <w:rPr>
          <w:rFonts w:ascii="Times New Roman" w:cs="Times New Roman" w:eastAsia="Times New Roman" w:hAnsi="Times New Roman"/>
          <w:sz w:val="20"/>
          <w:szCs w:val="20"/>
          <w:color w:val="auto"/>
        </w:rPr>
        <w:t xml:space="preserve"> In no event shall the acceleration of the time or schedule of any payment under the Plan be permitted, except to the extent that such acceleration would not violate Section 409A of the Code and the Treasury Regulations and other applicable guidance issued thereunder.</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b w:val="1"/>
          <w:bCs w:val="1"/>
          <w:i w:val="1"/>
          <w:iCs w:val="1"/>
          <w:color w:val="auto"/>
        </w:rPr>
        <w:t>Amendment and Termination</w:t>
      </w:r>
      <w:r>
        <w:rPr>
          <w:rFonts w:ascii="Times New Roman" w:cs="Times New Roman" w:eastAsia="Times New Roman" w:hAnsi="Times New Roman"/>
          <w:sz w:val="20"/>
          <w:szCs w:val="20"/>
          <w:color w:val="auto"/>
        </w:rPr>
        <w:t>. This Plan may be amended or terminated in any respect at any time by the Committee; provided, however, that no amendment or termination of the Plan shall be effective to reduce any benefits payable to a Participant that may accrue or vest under the terms of this Plan without the Participant’s prior written consent. If and to the extent permitted without</w:t>
      </w:r>
    </w:p>
    <w:p>
      <w:pPr>
        <w:spacing w:after="0" w:line="1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2" w:name="page43"/>
    <w:bookmarkEnd w:id="42"/>
    <w:p>
      <w:pPr>
        <w:jc w:val="both"/>
        <w:spacing w:after="0"/>
        <w:rPr>
          <w:sz w:val="20"/>
          <w:szCs w:val="20"/>
          <w:color w:val="auto"/>
        </w:rPr>
      </w:pPr>
      <w:r>
        <w:rPr>
          <w:rFonts w:ascii="Times New Roman" w:cs="Times New Roman" w:eastAsia="Times New Roman" w:hAnsi="Times New Roman"/>
          <w:sz w:val="20"/>
          <w:szCs w:val="20"/>
          <w:color w:val="auto"/>
        </w:rPr>
        <w:t>violating the requirements of Section 409A, the 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b w:val="1"/>
          <w:bCs w:val="1"/>
          <w:i w:val="1"/>
          <w:iCs w:val="1"/>
          <w:color w:val="auto"/>
        </w:rPr>
        <w:t>Unfunded Obligation</w:t>
      </w:r>
      <w:r>
        <w:rPr>
          <w:rFonts w:ascii="Times New Roman" w:cs="Times New Roman" w:eastAsia="Times New Roman" w:hAnsi="Times New Roman"/>
          <w:sz w:val="20"/>
          <w:szCs w:val="20"/>
          <w:color w:val="auto"/>
        </w:rPr>
        <w:t>. The obligations of the Company to pay any benefits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b w:val="1"/>
          <w:bCs w:val="1"/>
          <w:i w:val="1"/>
          <w:iCs w:val="1"/>
          <w:color w:val="auto"/>
        </w:rPr>
        <w:t>Withholding.</w:t>
      </w:r>
      <w:r>
        <w:rPr>
          <w:rFonts w:ascii="Times New Roman" w:cs="Times New Roman" w:eastAsia="Times New Roman" w:hAnsi="Times New Roman"/>
          <w:sz w:val="20"/>
          <w:szCs w:val="20"/>
          <w:color w:val="auto"/>
        </w:rPr>
        <w:t xml:space="preserve"> The Participants and personal representatives shall bear any and all federal, state, local or other taxes imposed on benefits under the Plan. The 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r>
        <w:rPr>
          <w:rFonts w:ascii="Times New Roman" w:cs="Times New Roman" w:eastAsia="Times New Roman" w:hAnsi="Times New Roman"/>
          <w:sz w:val="20"/>
          <w:szCs w:val="20"/>
          <w:b w:val="1"/>
          <w:bCs w:val="1"/>
          <w:i w:val="1"/>
          <w:iCs w:val="1"/>
          <w:color w:val="auto"/>
        </w:rPr>
        <w:t>.</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xml:space="preserve"> This Plan shall be construed and enforced in accordance with the laws of the State of Delaware, except to the extent superseded by federal law.</w:t>
      </w:r>
    </w:p>
    <w:p>
      <w:pPr>
        <w:spacing w:after="0" w:line="1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15.</w:t>
      </w:r>
      <w:r>
        <w:rPr>
          <w:rFonts w:ascii="Times New Roman" w:cs="Times New Roman" w:eastAsia="Times New Roman" w:hAnsi="Times New Roman"/>
          <w:sz w:val="20"/>
          <w:szCs w:val="20"/>
          <w:b w:val="1"/>
          <w:bCs w:val="1"/>
          <w:i w:val="1"/>
          <w:iCs w:val="1"/>
          <w:color w:val="auto"/>
        </w:rPr>
        <w:t>No Right to Continued Employment.</w:t>
      </w:r>
      <w:r>
        <w:rPr>
          <w:rFonts w:ascii="Times New Roman" w:cs="Times New Roman" w:eastAsia="Times New Roman" w:hAnsi="Times New Roman"/>
          <w:sz w:val="20"/>
          <w:szCs w:val="20"/>
          <w:color w:val="auto"/>
        </w:rPr>
        <w:t xml:space="preserve"> No Award shall confer upon any Participant any right to continued service with the Company or any of its Affiliates.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b w:val="1"/>
          <w:bCs w:val="1"/>
          <w:i w:val="1"/>
          <w:iCs w:val="1"/>
          <w:color w:val="auto"/>
        </w:rPr>
        <w:t>Code Section 409A.</w:t>
      </w:r>
    </w:p>
    <w:p>
      <w:pPr>
        <w:spacing w:after="0" w:line="192" w:lineRule="exact"/>
        <w:rPr>
          <w:sz w:val="20"/>
          <w:szCs w:val="20"/>
          <w:color w:val="auto"/>
        </w:rPr>
      </w:pPr>
    </w:p>
    <w:p>
      <w:pPr>
        <w:jc w:val="both"/>
        <w:ind w:firstLine="749"/>
        <w:spacing w:after="0" w:line="238" w:lineRule="auto"/>
        <w:tabs>
          <w:tab w:leader="none" w:pos="1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Interpretation of Plan. </w:t>
      </w:r>
      <w:r>
        <w:rPr>
          <w:rFonts w:ascii="Times New Roman" w:cs="Times New Roman" w:eastAsia="Times New Roman" w:hAnsi="Times New Roman"/>
          <w:sz w:val="20"/>
          <w:szCs w:val="20"/>
          <w:color w:val="auto"/>
        </w:rPr>
        <w:t>It is intended that the Awards granted pursuant to this Plan be exempt from Section 409A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Code (“Section 409A”) because it is believed (i) the Awards payable in cash should qualify for the short-term deferral exception contained in 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§1.409A-1(a)(6). The provisions of the Plan shall be interpreted in a manner consistent with that intent. To the extent an Award is subject to Section 409A, the payment date for such Award is a date as soon as possible following the vesting date for such award as described under the terms of the Plan in Section 7, but in no event later than the last day of the calendar year in which the vesting occurs in a manner that is intended to be compliant with Section 409A.</w:t>
      </w:r>
    </w:p>
    <w:p>
      <w:pPr>
        <w:spacing w:after="0" w:line="157" w:lineRule="exact"/>
        <w:rPr>
          <w:rFonts w:ascii="Times New Roman" w:cs="Times New Roman" w:eastAsia="Times New Roman" w:hAnsi="Times New Roman"/>
          <w:sz w:val="20"/>
          <w:szCs w:val="20"/>
          <w:color w:val="auto"/>
        </w:rPr>
      </w:pPr>
    </w:p>
    <w:p>
      <w:pPr>
        <w:jc w:val="both"/>
        <w:ind w:firstLine="749"/>
        <w:spacing w:after="0" w:line="245" w:lineRule="auto"/>
        <w:tabs>
          <w:tab w:leader="none" w:pos="1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Section 409A Amendments</w:t>
      </w:r>
      <w:r>
        <w:rPr>
          <w:rFonts w:ascii="Times New Roman" w:cs="Times New Roman" w:eastAsia="Times New Roman" w:hAnsi="Times New Roman"/>
          <w:sz w:val="20"/>
          <w:szCs w:val="20"/>
          <w:color w:val="auto"/>
        </w:rPr>
        <w:t>. The Committee, in its sole discretion, and without the consent of any Participant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Beneficiary, may amend the provisions 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w:t>
      </w:r>
    </w:p>
    <w:p>
      <w:pPr>
        <w:spacing w:after="0" w:line="14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3" w:name="page44"/>
    <w:bookmarkEnd w:id="43"/>
    <w:p>
      <w:pPr>
        <w:spacing w:after="0" w:line="263" w:lineRule="auto"/>
        <w:rPr>
          <w:sz w:val="20"/>
          <w:szCs w:val="20"/>
          <w:color w:val="auto"/>
        </w:rPr>
      </w:pPr>
      <w:r>
        <w:rPr>
          <w:rFonts w:ascii="Times New Roman" w:cs="Times New Roman" w:eastAsia="Times New Roman" w:hAnsi="Times New Roman"/>
          <w:sz w:val="20"/>
          <w:szCs w:val="20"/>
          <w:color w:val="auto"/>
        </w:rPr>
        <w:t>any agreements relating to any Awards) in such manner as the Committee shall deem necessary or appropriate to comply with the requirements of Section 409A.</w:t>
      </w:r>
    </w:p>
    <w:p>
      <w:pPr>
        <w:spacing w:after="0" w:line="136" w:lineRule="exact"/>
        <w:rPr>
          <w:sz w:val="20"/>
          <w:szCs w:val="20"/>
          <w:color w:val="auto"/>
        </w:rPr>
      </w:pPr>
    </w:p>
    <w:p>
      <w:pPr>
        <w:jc w:val="both"/>
        <w:ind w:firstLine="749"/>
        <w:spacing w:after="0"/>
        <w:tabs>
          <w:tab w:leader="none" w:pos="15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Right to Section 409A Indemnification</w:t>
      </w:r>
      <w:r>
        <w:rPr>
          <w:rFonts w:ascii="Times New Roman" w:cs="Times New Roman" w:eastAsia="Times New Roman" w:hAnsi="Times New Roman"/>
          <w:sz w:val="20"/>
          <w:szCs w:val="20"/>
          <w:color w:val="auto"/>
        </w:rPr>
        <w:t>. Notwithstanding the foregoing, the Company does not make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representation to any Participant or 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59" w:lineRule="exact"/>
        <w:rPr>
          <w:rFonts w:ascii="Times New Roman" w:cs="Times New Roman" w:eastAsia="Times New Roman" w:hAnsi="Times New Roman"/>
          <w:sz w:val="20"/>
          <w:szCs w:val="20"/>
          <w:color w:val="auto"/>
        </w:rPr>
      </w:pPr>
    </w:p>
    <w:p>
      <w:pPr>
        <w:jc w:val="both"/>
        <w:ind w:firstLine="749"/>
        <w:spacing w:after="0" w:line="239" w:lineRule="auto"/>
        <w:tabs>
          <w:tab w:leader="none" w:pos="15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Six Month Delay for Specified Employees. </w:t>
      </w:r>
      <w:r>
        <w:rPr>
          <w:rFonts w:ascii="Times New Roman" w:cs="Times New Roman" w:eastAsia="Times New Roman" w:hAnsi="Times New Roman"/>
          <w:sz w:val="20"/>
          <w:szCs w:val="20"/>
          <w:color w:val="auto"/>
        </w:rPr>
        <w:t>If a Participant is a “specified employee,” as that term is defined for purposes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Section 409A, then 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17.</w:t>
      </w:r>
      <w:r>
        <w:rPr>
          <w:rFonts w:ascii="Times New Roman" w:cs="Times New Roman" w:eastAsia="Times New Roman" w:hAnsi="Times New Roman"/>
          <w:sz w:val="20"/>
          <w:szCs w:val="20"/>
          <w:b w:val="1"/>
          <w:bCs w:val="1"/>
          <w:i w:val="1"/>
          <w:iCs w:val="1"/>
          <w:color w:val="auto"/>
        </w:rPr>
        <w:t>No Assignment.</w:t>
      </w:r>
      <w:r>
        <w:rPr>
          <w:rFonts w:ascii="Times New Roman" w:cs="Times New Roman" w:eastAsia="Times New Roman" w:hAnsi="Times New Roman"/>
          <w:sz w:val="20"/>
          <w:szCs w:val="20"/>
          <w:color w:val="auto"/>
        </w:rPr>
        <w:t xml:space="preserve"> Neither any Participant nor any Beneficiary nor any other person shall have any right to assign the rights to receive any payments or benefits hereunder, in whole or in part, which payments and benefits are non-assignable and non-transferable, whether voluntarily, or involuntarily.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187960</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FIFTH AMENDED AND RESTATED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DESTINATION XL GROUP, INC.</w:t>
      </w: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ANNUAL INCENTIVE PLAN</w:t>
      </w:r>
    </w:p>
    <w:p>
      <w:pPr>
        <w:spacing w:after="0" w:line="166" w:lineRule="exact"/>
        <w:rPr>
          <w:sz w:val="20"/>
          <w:szCs w:val="20"/>
          <w:color w:val="auto"/>
        </w:rPr>
      </w:pPr>
    </w:p>
    <w:p>
      <w:pPr>
        <w:ind w:left="920" w:hanging="449"/>
        <w:spacing w:after="0"/>
        <w:tabs>
          <w:tab w:leader="none" w:pos="9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AND OBJECTIVES</w:t>
      </w:r>
    </w:p>
    <w:p>
      <w:pPr>
        <w:spacing w:after="0" w:line="83" w:lineRule="exact"/>
        <w:rPr>
          <w:sz w:val="20"/>
          <w:szCs w:val="20"/>
          <w:color w:val="auto"/>
        </w:rPr>
      </w:pPr>
    </w:p>
    <w:p>
      <w:pPr>
        <w:ind w:right="140" w:firstLine="1020"/>
        <w:spacing w:after="0" w:line="236" w:lineRule="auto"/>
        <w:rPr>
          <w:sz w:val="20"/>
          <w:szCs w:val="20"/>
          <w:color w:val="auto"/>
        </w:rPr>
      </w:pPr>
      <w:r>
        <w:rPr>
          <w:rFonts w:ascii="Times New Roman" w:cs="Times New Roman" w:eastAsia="Times New Roman" w:hAnsi="Times New Roman"/>
          <w:sz w:val="18"/>
          <w:szCs w:val="18"/>
          <w:color w:val="auto"/>
        </w:rPr>
        <w:t>Destination XL Group, Inc. (“Company”) has developed this Fifth Amended and Restated Annual Incentive Plan (the “Incentive Plan”) to provide opportunities for eligible associates of the Company and its subsidiaries to earn meaningful rewards for excellent annual performance. The Incentive Plan aims to align the interests of the Incentive Plan participants with those of our shareholders. Bonus awards are cash payments based on actual results measured against pre-established Company financial performance (“Bonus Awards”). Bonus Awards are intended to provide a reward to eligible Incentive Plan participants and supplement the base salary program. A fiscal year is referred to as a “Plan Year”. Bonus Awards made hereunder are being made pursuant to, and shall be subject to the terms and conditions specified in, the Company’s 2016 Incentive Compensation Plan as amended and restated, and any subsequent shareholder-approved incentive plan (the “2016 Compensation Plan”).</w:t>
      </w:r>
    </w:p>
    <w:p>
      <w:pPr>
        <w:spacing w:after="0" w:line="161" w:lineRule="exact"/>
        <w:rPr>
          <w:sz w:val="20"/>
          <w:szCs w:val="20"/>
          <w:color w:val="auto"/>
        </w:rPr>
      </w:pPr>
    </w:p>
    <w:p>
      <w:pPr>
        <w:ind w:left="920" w:hanging="449"/>
        <w:spacing w:after="0"/>
        <w:tabs>
          <w:tab w:leader="none" w:pos="9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1480" w:hanging="562"/>
        <w:spacing w:after="0"/>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ELIGIBILITY REQUIREMENTS</w:t>
      </w:r>
    </w:p>
    <w:p>
      <w:pPr>
        <w:spacing w:after="0" w:line="79" w:lineRule="exact"/>
        <w:rPr>
          <w:sz w:val="20"/>
          <w:szCs w:val="20"/>
          <w:color w:val="auto"/>
        </w:rPr>
      </w:pPr>
    </w:p>
    <w:p>
      <w:pPr>
        <w:ind w:right="260" w:firstLine="1020"/>
        <w:spacing w:after="0" w:line="241" w:lineRule="auto"/>
        <w:rPr>
          <w:sz w:val="20"/>
          <w:szCs w:val="20"/>
          <w:color w:val="auto"/>
        </w:rPr>
      </w:pPr>
      <w:r>
        <w:rPr>
          <w:rFonts w:ascii="Times New Roman" w:cs="Times New Roman" w:eastAsia="Times New Roman" w:hAnsi="Times New Roman"/>
          <w:sz w:val="18"/>
          <w:szCs w:val="18"/>
          <w:color w:val="auto"/>
        </w:rPr>
        <w:t>Each Company employee whose role is classified by the Company as a Job Level 15 or higher during a Plan Year will be eligible to participate in the Incentive Plan for such Plan Year (a “Participant”). Except as required by this Incentive Plan or applicable law or unless specifically determined otherwise by the Compensation Committee, a Participant whose employment terminates prior to payment of Bonus Awards for a Plan Year will not be eligible to earn a Bonus Award under the Incentive Plan for that Plan Year.</w:t>
      </w:r>
    </w:p>
    <w:p>
      <w:pPr>
        <w:spacing w:after="0" w:line="162" w:lineRule="exact"/>
        <w:rPr>
          <w:sz w:val="20"/>
          <w:szCs w:val="20"/>
          <w:color w:val="auto"/>
        </w:rPr>
      </w:pPr>
    </w:p>
    <w:p>
      <w:pPr>
        <w:ind w:left="1480" w:hanging="562"/>
        <w:spacing w:after="0"/>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OTHER BUSINESS UNITS</w:t>
      </w:r>
    </w:p>
    <w:p>
      <w:pPr>
        <w:spacing w:after="0" w:line="79" w:lineRule="exact"/>
        <w:rPr>
          <w:sz w:val="20"/>
          <w:szCs w:val="20"/>
          <w:color w:val="auto"/>
        </w:rPr>
      </w:pPr>
    </w:p>
    <w:p>
      <w:pPr>
        <w:ind w:right="20" w:firstLine="1020"/>
        <w:spacing w:after="0" w:line="241" w:lineRule="auto"/>
        <w:rPr>
          <w:sz w:val="20"/>
          <w:szCs w:val="20"/>
          <w:color w:val="auto"/>
        </w:rPr>
      </w:pPr>
      <w:r>
        <w:rPr>
          <w:rFonts w:ascii="Times New Roman" w:cs="Times New Roman" w:eastAsia="Times New Roman" w:hAnsi="Times New Roman"/>
          <w:sz w:val="18"/>
          <w:szCs w:val="18"/>
          <w:color w:val="auto"/>
        </w:rPr>
        <w:t>A Participant who transfers between Job Levels within the Company during the Plan Year will have his or her Bonus Award, if any, determined based on the number of days in each Job Level during the Plan Year, subject to the satisfaction of the other terms and conditions of this Incentive Plan. The Participant’s eligibility to earn a Bonus Award in any business unit will be determined in accordance with any applicable performance criteria for that business unit.</w:t>
      </w:r>
    </w:p>
    <w:p>
      <w:pPr>
        <w:spacing w:after="0" w:line="162" w:lineRule="exact"/>
        <w:rPr>
          <w:sz w:val="20"/>
          <w:szCs w:val="20"/>
          <w:color w:val="auto"/>
        </w:rPr>
      </w:pPr>
    </w:p>
    <w:p>
      <w:pPr>
        <w:ind w:left="1480" w:hanging="562"/>
        <w:spacing w:after="0"/>
        <w:tabs>
          <w:tab w:leader="none" w:pos="1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POSITION</w:t>
      </w:r>
    </w:p>
    <w:p>
      <w:pPr>
        <w:spacing w:after="0" w:line="79" w:lineRule="exact"/>
        <w:rPr>
          <w:sz w:val="20"/>
          <w:szCs w:val="20"/>
          <w:color w:val="auto"/>
        </w:rPr>
      </w:pPr>
    </w:p>
    <w:p>
      <w:pPr>
        <w:jc w:val="both"/>
        <w:ind w:right="440" w:firstLine="1020"/>
        <w:spacing w:after="0" w:line="247" w:lineRule="auto"/>
        <w:rPr>
          <w:sz w:val="20"/>
          <w:szCs w:val="20"/>
          <w:color w:val="auto"/>
        </w:rPr>
      </w:pPr>
      <w:r>
        <w:rPr>
          <w:rFonts w:ascii="Times New Roman" w:cs="Times New Roman" w:eastAsia="Times New Roman" w:hAnsi="Times New Roman"/>
          <w:sz w:val="18"/>
          <w:szCs w:val="18"/>
          <w:color w:val="auto"/>
        </w:rPr>
        <w:t>A Participant who changes from one management position to another, through a promotion, transfer, or demotion is eligible to earn an adjusted Bonus Award, prorated to take into account the number of days the Participant held each position during the Plan Year. The amount of such prorated Bonus Award shall be determined by the Compensation Committee in its sole discretion.</w:t>
      </w:r>
    </w:p>
    <w:p>
      <w:pPr>
        <w:spacing w:after="0" w:line="156" w:lineRule="exact"/>
        <w:rPr>
          <w:sz w:val="20"/>
          <w:szCs w:val="20"/>
          <w:color w:val="auto"/>
        </w:rPr>
      </w:pPr>
    </w:p>
    <w:p>
      <w:pPr>
        <w:ind w:left="1480" w:hanging="562"/>
        <w:spacing w:after="0"/>
        <w:tabs>
          <w:tab w:leader="none" w:pos="1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79" w:lineRule="exact"/>
        <w:rPr>
          <w:sz w:val="20"/>
          <w:szCs w:val="20"/>
          <w:color w:val="auto"/>
        </w:rPr>
      </w:pPr>
    </w:p>
    <w:p>
      <w:pPr>
        <w:ind w:right="120" w:firstLine="1020"/>
        <w:spacing w:after="0" w:line="264" w:lineRule="auto"/>
        <w:rPr>
          <w:sz w:val="20"/>
          <w:szCs w:val="20"/>
          <w:color w:val="auto"/>
        </w:rPr>
      </w:pPr>
      <w:r>
        <w:rPr>
          <w:rFonts w:ascii="Times New Roman" w:cs="Times New Roman" w:eastAsia="Times New Roman" w:hAnsi="Times New Roman"/>
          <w:sz w:val="18"/>
          <w:szCs w:val="18"/>
          <w:color w:val="auto"/>
        </w:rPr>
        <w:t>Subject to paragraph II G below, to be eligible to earn a Bonus Award, a Participant must be actively employed through the time the Bonus Award is paid, unless otherwise required by applicable law, or specifically determined otherwise by the Compensation Committee.</w:t>
      </w:r>
    </w:p>
    <w:p>
      <w:pPr>
        <w:spacing w:after="0" w:line="141" w:lineRule="exact"/>
        <w:rPr>
          <w:sz w:val="20"/>
          <w:szCs w:val="20"/>
          <w:color w:val="auto"/>
        </w:rPr>
      </w:pPr>
    </w:p>
    <w:p>
      <w:pPr>
        <w:ind w:left="1480" w:hanging="562"/>
        <w:spacing w:after="0"/>
        <w:tabs>
          <w:tab w:leader="none" w:pos="1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302895</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ind w:right="460" w:firstLine="1020"/>
        <w:spacing w:after="0" w:line="264" w:lineRule="auto"/>
        <w:rPr>
          <w:sz w:val="20"/>
          <w:szCs w:val="20"/>
          <w:color w:val="auto"/>
        </w:rPr>
      </w:pPr>
      <w:r>
        <w:rPr>
          <w:rFonts w:ascii="Times New Roman" w:cs="Times New Roman" w:eastAsia="Times New Roman" w:hAnsi="Times New Roman"/>
          <w:sz w:val="18"/>
          <w:szCs w:val="18"/>
          <w:color w:val="auto"/>
        </w:rPr>
        <w:t>In order to be eligible to earn a Bonus Award under this Incentive Plan, a Participant must comply with all applicable state and federal regulations and Company policies.</w:t>
      </w:r>
    </w:p>
    <w:p>
      <w:pPr>
        <w:spacing w:after="0" w:line="141" w:lineRule="exact"/>
        <w:rPr>
          <w:sz w:val="20"/>
          <w:szCs w:val="20"/>
          <w:color w:val="auto"/>
        </w:rPr>
      </w:pPr>
    </w:p>
    <w:p>
      <w:pPr>
        <w:ind w:left="1480" w:hanging="562"/>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LEAVES OF ABSENCE</w:t>
      </w:r>
    </w:p>
    <w:p>
      <w:pPr>
        <w:spacing w:after="0" w:line="79" w:lineRule="exact"/>
        <w:rPr>
          <w:sz w:val="20"/>
          <w:szCs w:val="20"/>
          <w:color w:val="auto"/>
        </w:rPr>
      </w:pPr>
    </w:p>
    <w:p>
      <w:pPr>
        <w:ind w:right="40" w:firstLine="1020"/>
        <w:spacing w:after="0" w:line="237" w:lineRule="auto"/>
        <w:rPr>
          <w:sz w:val="20"/>
          <w:szCs w:val="20"/>
          <w:color w:val="auto"/>
        </w:rPr>
      </w:pPr>
      <w:r>
        <w:rPr>
          <w:rFonts w:ascii="Times New Roman" w:cs="Times New Roman" w:eastAsia="Times New Roman" w:hAnsi="Times New Roman"/>
          <w:sz w:val="18"/>
          <w:szCs w:val="18"/>
          <w:color w:val="auto"/>
        </w:rPr>
        <w:t>Unless otherwise required by applicable law, a Participant who is employed by the Company prior to the first day of the fourth quarter of the Plan Year, and who is on a Company-approved leave of absence for any reason during the Plan Year, shall be able to earn a Bonus Award in respect of such Plan Year, provided that any Bonus Award shall be prorated based on the number of days the Participant was employed by the Company during the Plan Year and the Participant was not on leave as compared to the total number of days in the Plan Year. However, for purposes of this paragraph II F, days of leave for which a Participant has substituted accrued but unused paid vacation/sick/personal days only, shall count as days worked in the Plan Year.</w:t>
      </w:r>
    </w:p>
    <w:p>
      <w:pPr>
        <w:spacing w:after="0" w:line="164" w:lineRule="exact"/>
        <w:rPr>
          <w:sz w:val="20"/>
          <w:szCs w:val="20"/>
          <w:color w:val="auto"/>
        </w:rPr>
      </w:pPr>
    </w:p>
    <w:p>
      <w:pPr>
        <w:ind w:left="1520" w:hanging="602"/>
        <w:spacing w:after="0"/>
        <w:tabs>
          <w:tab w:leader="none" w:pos="1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DEATH OR DISABILITY</w:t>
      </w:r>
    </w:p>
    <w:p>
      <w:pPr>
        <w:spacing w:after="0" w:line="79" w:lineRule="exact"/>
        <w:rPr>
          <w:sz w:val="20"/>
          <w:szCs w:val="20"/>
          <w:color w:val="auto"/>
        </w:rPr>
      </w:pPr>
    </w:p>
    <w:p>
      <w:pPr>
        <w:ind w:firstLine="1020"/>
        <w:spacing w:after="0" w:line="233" w:lineRule="auto"/>
        <w:rPr>
          <w:sz w:val="20"/>
          <w:szCs w:val="20"/>
          <w:color w:val="auto"/>
        </w:rPr>
      </w:pPr>
      <w:r>
        <w:rPr>
          <w:rFonts w:ascii="Times New Roman" w:cs="Times New Roman" w:eastAsia="Times New Roman" w:hAnsi="Times New Roman"/>
          <w:sz w:val="18"/>
          <w:szCs w:val="18"/>
          <w:color w:val="auto"/>
        </w:rPr>
        <w:t>In the event that during any Plan Year the Company terminates a Participant’s employment due to the Participant’s Disability (as defined in the 2016 Compensation Plan) or death or a Participant terminates due to Retirement , the Company shall pay the Participant a pro rata portion (based upon the number of days the Participant was employed by the Company during the Plan Year as compared to the total number of days in the Plan Year ) of the Bonus Award otherwise payable under the Incentive Plan for the Plan Year in which the Participant’s employment terminates (which for the avoidance of doubt includes any adjustments required under paragraph II F). The amount of this pro rata Bonus Award shall be determined based on the level of achievement of the applicable performance criteria through the last day of the full fiscal month preceding Participant’s termination measured against the performance criteria set for the Plan Year. Any amount payable under this paragraph II G shall be paid as soon as reasonably practicable following the Participant’s termination of employment, but in any event no later sixty (60) days following the Participant’s termination. Additionally, a Participant who has been terminated for any other reason who is entitled to a bonus pursuant to paragraph II A will be paid a pro-rated bonus in accordance with this paragraph as though the termination was due to Disability, death or Retirement. For purposes of this Incentive Plan, a “Retirement” is a termination of a Participant’s employment, other than by reason of the Participant’s death or Disability and other than by the Company for justifiable cause (as determined by the Company in its sole discretion), after the Participant has attained age 65 and completed at least 5 years of employment with the Company and its subsidiaries and affiliates (as determined by the Company).</w:t>
      </w:r>
    </w:p>
    <w:p>
      <w:pPr>
        <w:spacing w:after="0" w:line="165" w:lineRule="exact"/>
        <w:rPr>
          <w:sz w:val="20"/>
          <w:szCs w:val="20"/>
          <w:color w:val="auto"/>
        </w:rPr>
      </w:pPr>
    </w:p>
    <w:p>
      <w:pPr>
        <w:ind w:left="920" w:hanging="449"/>
        <w:spacing w:after="0"/>
        <w:tabs>
          <w:tab w:leader="none" w:pos="9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INCENTIVE PLAN</w:t>
      </w:r>
    </w:p>
    <w:p>
      <w:pPr>
        <w:spacing w:after="0" w:line="83" w:lineRule="exact"/>
        <w:rPr>
          <w:sz w:val="20"/>
          <w:szCs w:val="20"/>
          <w:color w:val="auto"/>
        </w:rPr>
      </w:pPr>
    </w:p>
    <w:p>
      <w:pPr>
        <w:ind w:right="20" w:firstLine="1032"/>
        <w:spacing w:after="0" w:line="235" w:lineRule="auto"/>
        <w:rPr>
          <w:sz w:val="20"/>
          <w:szCs w:val="20"/>
          <w:color w:val="auto"/>
        </w:rPr>
      </w:pPr>
      <w:r>
        <w:rPr>
          <w:rFonts w:ascii="Times New Roman" w:cs="Times New Roman" w:eastAsia="Times New Roman" w:hAnsi="Times New Roman"/>
          <w:sz w:val="18"/>
          <w:szCs w:val="18"/>
          <w:color w:val="auto"/>
        </w:rPr>
        <w:t>Within 90 days after the beginning of each Plan Year, the Compensation Committee will establish specific performance criteria that must be met in order for the Bonus Awards to be payable. Such criteria may be based on Company, business unit and/or individual Participant performance. At the time that the performance criteria is set, the Compensation Committee may determine that special matters shall be considered or excluded, and except as otherwise specified by the Compensation Committee at the time the goals are set, the Compensation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Compensation Committee at the time the goals are set. The performance criteria may be based on one or more of the following measures which include but are not limited to: EBITDA, adjusted EBITDA, sales, earnings per share, return on net assets, return on equity, operating margin dollars, operating margin percent, gross margin dollars, gross margin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158750</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46" w:name="page47"/>
    <w:bookmarkEnd w:id="46"/>
    <w:p>
      <w:pPr>
        <w:ind w:right="520"/>
        <w:spacing w:after="0" w:line="241" w:lineRule="auto"/>
        <w:rPr>
          <w:sz w:val="20"/>
          <w:szCs w:val="20"/>
          <w:color w:val="auto"/>
        </w:rPr>
      </w:pPr>
      <w:r>
        <w:rPr>
          <w:rFonts w:ascii="Times New Roman" w:cs="Times New Roman" w:eastAsia="Times New Roman" w:hAnsi="Times New Roman"/>
          <w:sz w:val="18"/>
          <w:szCs w:val="18"/>
          <w:color w:val="auto"/>
        </w:rPr>
        <w:t>liquidity metrics, and/or customer counts and/or service levels and/or a combination of the above or similar measures relating to the business or individual.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pacing w:after="0" w:line="38" w:lineRule="exact"/>
        <w:rPr>
          <w:sz w:val="20"/>
          <w:szCs w:val="20"/>
          <w:color w:val="auto"/>
        </w:rPr>
      </w:pPr>
    </w:p>
    <w:p>
      <w:pPr>
        <w:ind w:right="20" w:firstLine="1020"/>
        <w:spacing w:after="0" w:line="236" w:lineRule="auto"/>
        <w:rPr>
          <w:sz w:val="20"/>
          <w:szCs w:val="20"/>
          <w:color w:val="auto"/>
        </w:rPr>
      </w:pPr>
      <w:r>
        <w:rPr>
          <w:rFonts w:ascii="Times New Roman" w:cs="Times New Roman" w:eastAsia="Times New Roman" w:hAnsi="Times New Roman"/>
          <w:sz w:val="18"/>
          <w:szCs w:val="18"/>
          <w:color w:val="auto"/>
        </w:rPr>
        <w:t>For each Plan Year, the Bonus Award will be based upon the level of satisfaction of the performance criteria selected by the Compensation Committee for that Plan Year. A specified percentage of the Bonus Award will be paid, dependent upon the performance as measured against the Company, business unit and/or individual performance criteria. The Compensation Committee may establish a threshold goal (which if not achieved will result in no Bonus Awards being payable), target and maximum goals for each Participant. The performance criteria and targets used may vary from one Participant to another in the sole discretion of the Compensation Committee. Bonus Awards are limited to 150% (or such higher percentage as determined by the Compensation Committee) of a Participant’s Target Award (as defined below). Bonus Awards are subject to adjustment as provided under the 2016 Compensation Plan.</w:t>
      </w:r>
    </w:p>
    <w:p>
      <w:pPr>
        <w:spacing w:after="0" w:line="161" w:lineRule="exact"/>
        <w:rPr>
          <w:sz w:val="20"/>
          <w:szCs w:val="20"/>
          <w:color w:val="auto"/>
        </w:rPr>
      </w:pPr>
    </w:p>
    <w:p>
      <w:pPr>
        <w:ind w:left="48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IV.</w:t>
        <w:tab/>
        <w:t>PAYMENT CALCULATIONS</w:t>
      </w:r>
    </w:p>
    <w:p>
      <w:pPr>
        <w:spacing w:after="0" w:line="83" w:lineRule="exact"/>
        <w:rPr>
          <w:sz w:val="20"/>
          <w:szCs w:val="20"/>
          <w:color w:val="auto"/>
        </w:rPr>
      </w:pPr>
    </w:p>
    <w:p>
      <w:pPr>
        <w:ind w:firstLine="1020"/>
        <w:spacing w:after="0" w:line="236" w:lineRule="auto"/>
        <w:rPr>
          <w:sz w:val="20"/>
          <w:szCs w:val="20"/>
          <w:color w:val="auto"/>
        </w:rPr>
      </w:pPr>
      <w:r>
        <w:rPr>
          <w:rFonts w:ascii="Times New Roman" w:cs="Times New Roman" w:eastAsia="Times New Roman" w:hAnsi="Times New Roman"/>
          <w:sz w:val="18"/>
          <w:szCs w:val="18"/>
          <w:color w:val="auto"/>
        </w:rPr>
        <w:t>Each Participant will have a target bonus award (a “Target Award”) for each Plan Year. Target Awards will be expressed as a percentage of the actual base earnings (which is the blend of salary plus any salary adjustments made during the course of the fiscal year) paid to the Participant during that Plan Year. Company new hires who are eligible to participate in the Incentive Plan or those becoming eligible to participate in the Incentive Plan for a portion of the fiscal year will receive a prorated Bonus Award based upon the period of time they are eligible. In order to be eligible to participate, a newly hired or promoted employee must commence work or be promoted, as applicable, effective prior to the first day of the Company’s fourth fiscal quarter. The percentages for the Target Award will be approved by the Compensation Committee based upon the Participant’s Job Level and responsibilities and may vary for different officers and/or business units.</w:t>
      </w:r>
    </w:p>
    <w:p>
      <w:pPr>
        <w:spacing w:after="0" w:line="115" w:lineRule="exact"/>
        <w:rPr>
          <w:sz w:val="20"/>
          <w:szCs w:val="20"/>
          <w:color w:val="auto"/>
        </w:rPr>
      </w:pPr>
    </w:p>
    <w:p>
      <w:pPr>
        <w:ind w:right="60" w:firstLine="1020"/>
        <w:spacing w:after="0" w:line="247" w:lineRule="auto"/>
        <w:rPr>
          <w:sz w:val="20"/>
          <w:szCs w:val="20"/>
          <w:color w:val="auto"/>
        </w:rPr>
      </w:pPr>
      <w:r>
        <w:rPr>
          <w:rFonts w:ascii="Times New Roman" w:cs="Times New Roman" w:eastAsia="Times New Roman" w:hAnsi="Times New Roman"/>
          <w:sz w:val="18"/>
          <w:szCs w:val="18"/>
          <w:color w:val="auto"/>
        </w:rPr>
        <w:t>At the end of the Plan Year, the Compensation Committee shall determine the amount, if any, to be paid to each Participant and shall authorize Company to pay the Participant the amount so determined and on a date to be determined by the Compensation Committee in its sole discretion in accordance with the Incentive Plan. Bonuses will not be considered to be earned and/or payable until the date they are paid.</w:t>
      </w:r>
    </w:p>
    <w:p>
      <w:pPr>
        <w:spacing w:after="0" w:line="106" w:lineRule="exact"/>
        <w:rPr>
          <w:sz w:val="20"/>
          <w:szCs w:val="20"/>
          <w:color w:val="auto"/>
        </w:rPr>
      </w:pPr>
    </w:p>
    <w:p>
      <w:pPr>
        <w:ind w:right="180" w:firstLine="1020"/>
        <w:spacing w:after="0" w:line="264" w:lineRule="auto"/>
        <w:rPr>
          <w:sz w:val="20"/>
          <w:szCs w:val="20"/>
          <w:color w:val="auto"/>
        </w:rPr>
      </w:pPr>
      <w:r>
        <w:rPr>
          <w:rFonts w:ascii="Times New Roman" w:cs="Times New Roman" w:eastAsia="Times New Roman" w:hAnsi="Times New Roman"/>
          <w:sz w:val="18"/>
          <w:szCs w:val="18"/>
          <w:color w:val="auto"/>
        </w:rPr>
        <w:t>Any Bonus Awards checks will be distributed after the end of the applicable Plan Year, but not more than 2.5 months following the end of such Plan Year.</w:t>
      </w:r>
    </w:p>
    <w:p>
      <w:pPr>
        <w:spacing w:after="0" w:line="137" w:lineRule="exact"/>
        <w:rPr>
          <w:sz w:val="20"/>
          <w:szCs w:val="20"/>
          <w:color w:val="auto"/>
        </w:rPr>
      </w:pPr>
    </w:p>
    <w:p>
      <w:pPr>
        <w:ind w:left="920" w:hanging="449"/>
        <w:spacing w:after="0"/>
        <w:tabs>
          <w:tab w:leader="none" w:pos="9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ADMINISTRATION</w:t>
      </w:r>
    </w:p>
    <w:p>
      <w:pPr>
        <w:spacing w:after="0" w:line="207" w:lineRule="exact"/>
        <w:rPr>
          <w:sz w:val="20"/>
          <w:szCs w:val="20"/>
          <w:color w:val="auto"/>
        </w:rPr>
      </w:pPr>
    </w:p>
    <w:p>
      <w:pPr>
        <w:ind w:left="1480" w:hanging="562"/>
        <w:spacing w:after="0"/>
        <w:tabs>
          <w:tab w:leader="none" w:pos="14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79" w:lineRule="exact"/>
        <w:rPr>
          <w:sz w:val="20"/>
          <w:szCs w:val="20"/>
          <w:color w:val="auto"/>
        </w:rPr>
      </w:pPr>
    </w:p>
    <w:p>
      <w:pPr>
        <w:ind w:right="220" w:firstLine="1020"/>
        <w:spacing w:after="0" w:line="241" w:lineRule="auto"/>
        <w:rPr>
          <w:sz w:val="20"/>
          <w:szCs w:val="20"/>
          <w:color w:val="auto"/>
        </w:rPr>
      </w:pPr>
      <w:r>
        <w:rPr>
          <w:rFonts w:ascii="Times New Roman" w:cs="Times New Roman" w:eastAsia="Times New Roman" w:hAnsi="Times New Roman"/>
          <w:sz w:val="18"/>
          <w:szCs w:val="18"/>
          <w:color w:val="auto"/>
        </w:rPr>
        <w:t>The Incentive Plan will be administered by the Compensation Committee. The Compensation Committee will have broad authority for determining target bonuses and selecting performance criteria, as described above; for adopting rules and regulations relating to the Incentive Plan; and for making decisions and interpretations regarding the provisions of the Incentive Plan, the satisfaction of performance criteria, any appropriate adjustments to Bonus Awards and the payment of Bonus Awards under the Incentive Plan.</w:t>
      </w:r>
    </w:p>
    <w:p>
      <w:pPr>
        <w:spacing w:after="0" w:line="162" w:lineRule="exact"/>
        <w:rPr>
          <w:sz w:val="20"/>
          <w:szCs w:val="20"/>
          <w:color w:val="auto"/>
        </w:rPr>
      </w:pPr>
    </w:p>
    <w:p>
      <w:pPr>
        <w:ind w:left="1480" w:hanging="562"/>
        <w:spacing w:after="0"/>
        <w:tabs>
          <w:tab w:leader="none" w:pos="14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302895</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47" w:name="page48"/>
    <w:bookmarkEnd w:id="47"/>
    <w:p>
      <w:pPr>
        <w:ind w:right="80" w:firstLine="1020"/>
        <w:spacing w:after="0" w:line="264" w:lineRule="auto"/>
        <w:rPr>
          <w:sz w:val="20"/>
          <w:szCs w:val="20"/>
          <w:color w:val="auto"/>
        </w:rPr>
      </w:pPr>
      <w:r>
        <w:rPr>
          <w:rFonts w:ascii="Times New Roman" w:cs="Times New Roman" w:eastAsia="Times New Roman" w:hAnsi="Times New Roman"/>
          <w:sz w:val="18"/>
          <w:szCs w:val="18"/>
          <w:color w:val="auto"/>
        </w:rPr>
        <w:t>This Incentive Plan does not create an express or implied contract of employment between Company and a Participant. Both Company and the Participants retain the right to terminate the employment relationship at any time and for any reason.</w:t>
      </w:r>
    </w:p>
    <w:p>
      <w:pPr>
        <w:spacing w:after="0" w:line="141" w:lineRule="exact"/>
        <w:rPr>
          <w:sz w:val="20"/>
          <w:szCs w:val="20"/>
          <w:color w:val="auto"/>
        </w:rPr>
      </w:pPr>
    </w:p>
    <w:p>
      <w:pPr>
        <w:ind w:left="1480" w:hanging="562"/>
        <w:spacing w:after="0"/>
        <w:tabs>
          <w:tab w:leader="none" w:pos="14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PROVISIONS (AMENDMENTS AND TERMINATION)</w:t>
      </w:r>
    </w:p>
    <w:p>
      <w:pPr>
        <w:spacing w:after="0" w:line="79" w:lineRule="exact"/>
        <w:rPr>
          <w:sz w:val="20"/>
          <w:szCs w:val="20"/>
          <w:color w:val="auto"/>
        </w:rPr>
      </w:pPr>
    </w:p>
    <w:p>
      <w:pPr>
        <w:ind w:firstLine="1020"/>
        <w:spacing w:after="0" w:line="247" w:lineRule="auto"/>
        <w:rPr>
          <w:sz w:val="20"/>
          <w:szCs w:val="20"/>
          <w:color w:val="auto"/>
        </w:rPr>
      </w:pPr>
      <w:r>
        <w:rPr>
          <w:rFonts w:ascii="Times New Roman" w:cs="Times New Roman" w:eastAsia="Times New Roman" w:hAnsi="Times New Roman"/>
          <w:sz w:val="18"/>
          <w:szCs w:val="18"/>
          <w:color w:val="auto"/>
        </w:rPr>
        <w:t>Unless otherwise required by applicable law, Bonus Awards are not earned or vested or payable until actual payments are made and the Company reserves the right at any time prior to actual payment of Bonus Awards to amend, terminate and/or discontinue the Incentive Plan in whole or in part whenever the Board of Directors or the Compensation Committee of the Company determines that it is necessary or appropriate.</w:t>
      </w:r>
    </w:p>
    <w:p>
      <w:pPr>
        <w:spacing w:after="0" w:line="106" w:lineRule="exact"/>
        <w:rPr>
          <w:sz w:val="20"/>
          <w:szCs w:val="20"/>
          <w:color w:val="auto"/>
        </w:rPr>
      </w:pPr>
    </w:p>
    <w:p>
      <w:pPr>
        <w:ind w:right="320" w:firstLine="1020"/>
        <w:spacing w:after="0" w:line="247" w:lineRule="auto"/>
        <w:rPr>
          <w:sz w:val="20"/>
          <w:szCs w:val="20"/>
          <w:color w:val="auto"/>
        </w:rPr>
      </w:pPr>
      <w:r>
        <w:rPr>
          <w:rFonts w:ascii="Times New Roman" w:cs="Times New Roman" w:eastAsia="Times New Roman" w:hAnsi="Times New Roman"/>
          <w:sz w:val="18"/>
          <w:szCs w:val="18"/>
          <w:color w:val="auto"/>
        </w:rPr>
        <w:t>The Incentive Plan may be amended or terminated by either the Board of Directors or the Compensation Committee, provided that no amendment or termination of the Incentive Plan after the end of a Plan Year may adversely affect the rights of Participants with respect to their Bonus Awards for that Plan Year.</w:t>
      </w:r>
    </w:p>
    <w:p>
      <w:pPr>
        <w:spacing w:after="0" w:line="156" w:lineRule="exact"/>
        <w:rPr>
          <w:sz w:val="20"/>
          <w:szCs w:val="20"/>
          <w:color w:val="auto"/>
        </w:rPr>
      </w:pPr>
    </w:p>
    <w:p>
      <w:pPr>
        <w:ind w:left="1480" w:hanging="562"/>
        <w:spacing w:after="0"/>
        <w:tabs>
          <w:tab w:leader="none" w:pos="1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ARE NON-ASSIGNABLE</w:t>
      </w:r>
    </w:p>
    <w:p>
      <w:pPr>
        <w:spacing w:after="0" w:line="79" w:lineRule="exact"/>
        <w:rPr>
          <w:sz w:val="20"/>
          <w:szCs w:val="20"/>
          <w:color w:val="auto"/>
        </w:rPr>
      </w:pPr>
    </w:p>
    <w:p>
      <w:pPr>
        <w:ind w:right="220" w:firstLine="1020"/>
        <w:spacing w:after="0" w:line="264" w:lineRule="auto"/>
        <w:rPr>
          <w:sz w:val="20"/>
          <w:szCs w:val="20"/>
          <w:color w:val="auto"/>
        </w:rPr>
      </w:pPr>
      <w:r>
        <w:rPr>
          <w:rFonts w:ascii="Times New Roman" w:cs="Times New Roman" w:eastAsia="Times New Roman" w:hAnsi="Times New Roman"/>
          <w:sz w:val="18"/>
          <w:szCs w:val="18"/>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141" w:lineRule="exact"/>
        <w:rPr>
          <w:sz w:val="20"/>
          <w:szCs w:val="20"/>
          <w:color w:val="auto"/>
        </w:rPr>
      </w:pPr>
    </w:p>
    <w:p>
      <w:pPr>
        <w:ind w:left="1480" w:hanging="562"/>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AND SECTION 409A</w:t>
      </w:r>
    </w:p>
    <w:p>
      <w:pPr>
        <w:spacing w:after="0" w:line="79" w:lineRule="exact"/>
        <w:rPr>
          <w:sz w:val="20"/>
          <w:szCs w:val="20"/>
          <w:color w:val="auto"/>
        </w:rPr>
      </w:pPr>
    </w:p>
    <w:p>
      <w:pPr>
        <w:ind w:right="340" w:firstLine="1020"/>
        <w:spacing w:after="0" w:line="247" w:lineRule="auto"/>
        <w:rPr>
          <w:sz w:val="20"/>
          <w:szCs w:val="20"/>
          <w:color w:val="auto"/>
        </w:rPr>
      </w:pPr>
      <w:r>
        <w:rPr>
          <w:rFonts w:ascii="Times New Roman" w:cs="Times New Roman" w:eastAsia="Times New Roman" w:hAnsi="Times New Roman"/>
          <w:sz w:val="18"/>
          <w:szCs w:val="18"/>
          <w:color w:val="auto"/>
        </w:rPr>
        <w:t>All required deductions will be withheld from the Bonus Awards prior to distribution. This includes federal, state or local taxes. The provisions of Section 8(e) of the 2016 Compensation Plan shall apply to any Bonus Award that is or may potentially be subject to the requirements of Section 409A of the Internal Revenue Code.</w:t>
      </w:r>
    </w:p>
    <w:p>
      <w:pPr>
        <w:spacing w:after="0" w:line="156" w:lineRule="exact"/>
        <w:rPr>
          <w:sz w:val="20"/>
          <w:szCs w:val="20"/>
          <w:color w:val="auto"/>
        </w:rPr>
      </w:pPr>
    </w:p>
    <w:p>
      <w:pPr>
        <w:ind w:left="1480" w:hanging="562"/>
        <w:spacing w:after="0"/>
        <w:tabs>
          <w:tab w:leader="none" w:pos="1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w:t>
      </w:r>
    </w:p>
    <w:p>
      <w:pPr>
        <w:spacing w:after="0" w:line="79" w:lineRule="exact"/>
        <w:rPr>
          <w:sz w:val="20"/>
          <w:szCs w:val="20"/>
          <w:color w:val="auto"/>
        </w:rPr>
      </w:pPr>
    </w:p>
    <w:p>
      <w:pPr>
        <w:ind w:right="100" w:firstLine="1020"/>
        <w:spacing w:after="0" w:line="239" w:lineRule="auto"/>
        <w:rPr>
          <w:sz w:val="20"/>
          <w:szCs w:val="20"/>
          <w:color w:val="auto"/>
        </w:rPr>
      </w:pPr>
      <w:r>
        <w:rPr>
          <w:rFonts w:ascii="Times New Roman" w:cs="Times New Roman" w:eastAsia="Times New Roman" w:hAnsi="Times New Roman"/>
          <w:sz w:val="18"/>
          <w:szCs w:val="18"/>
          <w:color w:val="auto"/>
        </w:rPr>
        <w:t>If a Participant has an employment agreement which references an annual incentive plan bonus, this Incentive Plan describes how such bonus will be determined and paid, provided that in the event the Chief Executive Officer of the Company is party to an employment agreement with the Company, any provisions of such employment agreement relating to this Incentive Plan shall govern to the extent inconsistent with this Incentive Plan. Except as otherwise provided above, to the extent there is any conflict between the language of an employment agreement and this Plan, the language in the Incentive Plan and the 2016 Compensation Plan shall govern.</w:t>
      </w:r>
    </w:p>
    <w:p>
      <w:pPr>
        <w:spacing w:after="0" w:line="161" w:lineRule="exact"/>
        <w:rPr>
          <w:sz w:val="20"/>
          <w:szCs w:val="20"/>
          <w:color w:val="auto"/>
        </w:rPr>
      </w:pPr>
    </w:p>
    <w:p>
      <w:pPr>
        <w:ind w:left="1480" w:hanging="562"/>
        <w:spacing w:after="0"/>
        <w:tabs>
          <w:tab w:leader="none" w:pos="1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w:t>
      </w:r>
    </w:p>
    <w:p>
      <w:pPr>
        <w:spacing w:after="0" w:line="79" w:lineRule="exact"/>
        <w:rPr>
          <w:sz w:val="20"/>
          <w:szCs w:val="20"/>
          <w:color w:val="auto"/>
        </w:rPr>
      </w:pPr>
    </w:p>
    <w:p>
      <w:pPr>
        <w:ind w:right="160" w:firstLine="364"/>
        <w:spacing w:after="0" w:line="264" w:lineRule="auto"/>
        <w:rPr>
          <w:sz w:val="20"/>
          <w:szCs w:val="20"/>
          <w:color w:val="auto"/>
        </w:rPr>
      </w:pPr>
      <w:r>
        <w:rPr>
          <w:rFonts w:ascii="Times New Roman" w:cs="Times New Roman" w:eastAsia="Times New Roman" w:hAnsi="Times New Roman"/>
          <w:sz w:val="18"/>
          <w:szCs w:val="18"/>
          <w:color w:val="auto"/>
        </w:rPr>
        <w:t>The effective date of this Fifth Amended and Restated Annual Incentive Plan shall apply to Annual Incentive Plans adopted on or after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996315</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17" w:right="359" w:bottom="1440" w:gutter="0" w:footer="0" w:header="0"/>
        </w:sectPr>
      </w:pPr>
    </w:p>
    <w:bookmarkStart w:id="48" w:name="page49"/>
    <w:bookmarkEnd w:id="48"/>
    <w:p>
      <w:pPr>
        <w:ind w:left="10420"/>
        <w:spacing w:after="0"/>
        <w:rPr>
          <w:sz w:val="20"/>
          <w:szCs w:val="20"/>
          <w:color w:val="auto"/>
        </w:rPr>
      </w:pPr>
      <w:r>
        <w:rPr>
          <w:rFonts w:ascii="Times New Roman" w:cs="Times New Roman" w:eastAsia="Times New Roman" w:hAnsi="Times New Roman"/>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969645" cy="544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9645" cy="544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Georgia" w:cs="Georgia" w:eastAsia="Georgia" w:hAnsi="Georgia"/>
          <w:sz w:val="23"/>
          <w:szCs w:val="23"/>
          <w:b w:val="1"/>
          <w:bCs w:val="1"/>
          <w:color w:val="auto"/>
        </w:rPr>
        <w:t>Destination XL Group, Inc. Announces A Three-Year Extension with Harvey S. Kanter to Continue as its President and Chief Executive Officer</w:t>
      </w:r>
    </w:p>
    <w:p>
      <w:pPr>
        <w:spacing w:after="0" w:line="19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CANTON, Mass., April 5, 2022 - Destination XL Group, Inc. (NASDAQ: DXLG), the largest omni-channel specialty retailer of big &amp; tall men’s apparel in the United States (the “Company”), announced that its Board of Directors (the “Board”) has extended Harvey S. Kanter’s role as the Company’s President and Chief Executive Officer. Mr. Kanter has served as the Company’s President &amp; CEO and been a member of its Board since April 1, 2019.</w:t>
      </w:r>
    </w:p>
    <w:p>
      <w:pPr>
        <w:spacing w:after="0" w:line="18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Lionel Conacher, Chairman of the Board, commented, “We are extremely pleased that Harvey has agreed to continue to lead our Company for another three-year term. Harvey has had an incredible impact on the success of the Company, including building a high-performing culture in which people are the focus. He brilliantly navigated the pandemic as he led the team through uncharted territory. With Harvey’s proven track record of creating shareholder value and his digital experience, as well as his strategic and operational expertise, we are confident that his consumer-focused mindset and passion for omni-channel retail will result in successfully bringing DXL to the next level,” he concluded.</w:t>
      </w:r>
    </w:p>
    <w:p>
      <w:pPr>
        <w:spacing w:after="0" w:line="19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“I am thrilled to work with the management team to continue the work we have undertaken to transform the DXLG Brand and to continue working with the Board to help the Company to reach new levels of success in today’s complex retail environment,” said Harvey Kanter. “DXLG has a tremendous opportunity to build upon the growth of its now transformative digital capabilities during the past three years to capture a larger share of the addressable market and increase DXLG’s position as the leader in the big &amp; tall men’s apparel sector.”</w:t>
      </w:r>
    </w:p>
    <w:p>
      <w:pPr>
        <w:spacing w:after="0" w:line="223" w:lineRule="exact"/>
        <w:rPr>
          <w:sz w:val="20"/>
          <w:szCs w:val="20"/>
          <w:color w:val="auto"/>
        </w:rPr>
      </w:pPr>
    </w:p>
    <w:p>
      <w:pPr>
        <w:spacing w:after="0"/>
        <w:rPr>
          <w:sz w:val="20"/>
          <w:szCs w:val="20"/>
          <w:color w:val="auto"/>
        </w:rPr>
      </w:pPr>
      <w:r>
        <w:rPr>
          <w:rFonts w:ascii="Georgia" w:cs="Georgia" w:eastAsia="Georgia" w:hAnsi="Georgia"/>
          <w:sz w:val="17"/>
          <w:szCs w:val="17"/>
          <w:b w:val="1"/>
          <w:bCs w:val="1"/>
          <w:color w:val="auto"/>
        </w:rPr>
        <w:t>About Destination XL Group, Inc.</w:t>
      </w:r>
    </w:p>
    <w:p>
      <w:pPr>
        <w:spacing w:after="0" w:line="24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5C6F7C"/>
        </w:rPr>
        <w:t>Investor Contact:</w:t>
      </w:r>
    </w:p>
    <w:p>
      <w:pPr>
        <w:spacing w:after="0"/>
        <w:rPr>
          <w:sz w:val="20"/>
          <w:szCs w:val="20"/>
          <w:color w:val="auto"/>
        </w:rPr>
      </w:pPr>
      <w:r>
        <w:rPr>
          <w:rFonts w:ascii="Times New Roman" w:cs="Times New Roman" w:eastAsia="Times New Roman" w:hAnsi="Times New Roman"/>
          <w:sz w:val="17"/>
          <w:szCs w:val="17"/>
          <w:color w:val="auto"/>
        </w:rPr>
        <w:t>Investor.relations@dxlg.com</w:t>
      </w:r>
    </w:p>
    <w:p>
      <w:pPr>
        <w:spacing w:after="0"/>
        <w:rPr>
          <w:sz w:val="20"/>
          <w:szCs w:val="20"/>
          <w:color w:val="auto"/>
        </w:rPr>
      </w:pPr>
      <w:r>
        <w:rPr>
          <w:rFonts w:ascii="Times New Roman" w:cs="Times New Roman" w:eastAsia="Times New Roman" w:hAnsi="Times New Roman"/>
          <w:sz w:val="17"/>
          <w:szCs w:val="17"/>
          <w:color w:val="5C6F7C"/>
        </w:rPr>
        <w:t>603-933-0541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161925</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lowerRoman"/>
      <w:start w:val="1"/>
    </w:lvl>
  </w:abstractNum>
  <w:abstractNum w:abstractNumId="2">
    <w:nsid w:val="7A6D8D3C"/>
    <w:multiLevelType w:val="hybridMultilevel"/>
    <w:lvl w:ilvl="0">
      <w:lvlJc w:val="left"/>
      <w:lvlText w:val="%1"/>
      <w:numFmt w:val="decimal"/>
      <w:start w:val="104"/>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2"/>
    </w:lvl>
  </w:abstractNum>
  <w:abstractNum w:abstractNumId="5">
    <w:nsid w:val="6DE91B18"/>
    <w:multiLevelType w:val="hybridMultilevel"/>
    <w:lvl w:ilvl="0">
      <w:lvlJc w:val="left"/>
      <w:lvlText w:val="%1"/>
      <w:numFmt w:val="lowerLetter"/>
      <w:start w:val="1"/>
    </w:lvl>
    <w:lvl w:ilvl="1">
      <w:lvlJc w:val="left"/>
      <w:lvlText w:val="%2."/>
      <w:numFmt w:val="decimal"/>
      <w:start w:val="3"/>
    </w:lvl>
  </w:abstractNum>
  <w:abstractNum w:abstractNumId="6">
    <w:nsid w:val="38437FDB"/>
    <w:multiLevelType w:val="hybridMultilevel"/>
    <w:lvl w:ilvl="0">
      <w:lvlJc w:val="left"/>
      <w:lvlText w:val="(%1)"/>
      <w:numFmt w:val="lowerLetter"/>
      <w:start w:val="1"/>
    </w:lvl>
    <w:lvl w:ilvl="1">
      <w:lvlJc w:val="left"/>
      <w:lvlText w:val="%2"/>
      <w:numFmt w:val="decimal"/>
      <w:start w:val="1"/>
    </w:lvl>
  </w:abstractNum>
  <w:abstractNum w:abstractNumId="7">
    <w:nsid w:val="7644A45C"/>
    <w:multiLevelType w:val="hybridMultilevel"/>
    <w:lvl w:ilvl="0">
      <w:lvlJc w:val="left"/>
      <w:lvlText w:val="(%1)"/>
      <w:numFmt w:val="lowerLetter"/>
      <w:start w:val="4"/>
    </w:lvl>
    <w:lvl w:ilvl="1">
      <w:lvlJc w:val="left"/>
      <w:lvlText w:val="%2."/>
      <w:numFmt w:val="decimal"/>
      <w:start w:val="4"/>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lowerLetter"/>
      <w:start w:val="7"/>
    </w:lvl>
  </w:abstractNum>
  <w:abstractNum w:abstractNumId="10">
    <w:nsid w:val="579478FE"/>
    <w:multiLevelType w:val="hybridMultilevel"/>
    <w:lvl w:ilvl="0">
      <w:lvlJc w:val="left"/>
      <w:lvlText w:val="(%1)"/>
      <w:numFmt w:val="lowerLetter"/>
      <w:start w:val="10"/>
    </w:lvl>
    <w:lvl w:ilvl="1">
      <w:lvlJc w:val="left"/>
      <w:lvlText w:val="%2."/>
      <w:numFmt w:val="decimal"/>
      <w:start w:val="5"/>
    </w:lvl>
  </w:abstractNum>
  <w:abstractNum w:abstractNumId="11">
    <w:nsid w:val="749ABB43"/>
    <w:multiLevelType w:val="hybridMultilevel"/>
    <w:lvl w:ilvl="0">
      <w:lvlJc w:val="left"/>
      <w:lvlText w:val="(%1)"/>
      <w:numFmt w:val="lowerLetter"/>
      <w:start w:val="1"/>
    </w:lvl>
  </w:abstractNum>
  <w:abstractNum w:abstractNumId="12">
    <w:nsid w:val="3DC240FB"/>
    <w:multiLevelType w:val="hybridMultilevel"/>
    <w:lvl w:ilvl="0">
      <w:lvlJc w:val="left"/>
      <w:lvlText w:val="(%1)"/>
      <w:numFmt w:val="lowerLetter"/>
      <w:start w:val="3"/>
    </w:lvl>
    <w:lvl w:ilvl="1">
      <w:lvlJc w:val="left"/>
      <w:lvlText w:val="(%2)"/>
      <w:numFmt w:val="lowerRoman"/>
      <w:start w:val="1"/>
    </w:lvl>
  </w:abstractNum>
  <w:abstractNum w:abstractNumId="13">
    <w:nsid w:val="1BA026FA"/>
    <w:multiLevelType w:val="hybridMultilevel"/>
    <w:lvl w:ilvl="0">
      <w:lvlJc w:val="left"/>
      <w:lvlText w:val="(%1)"/>
      <w:numFmt w:val="lowerLetter"/>
      <w:start w:val="4"/>
    </w:lvl>
  </w:abstractNum>
  <w:abstractNum w:abstractNumId="14">
    <w:nsid w:val="79A1DEAA"/>
    <w:multiLevelType w:val="hybridMultilevel"/>
    <w:lvl w:ilvl="0">
      <w:lvlJc w:val="left"/>
      <w:lvlText w:val="(%1)"/>
      <w:numFmt w:val="lowerLetter"/>
      <w:start w:val="5"/>
    </w:lvl>
  </w:abstractNum>
  <w:abstractNum w:abstractNumId="15">
    <w:nsid w:val="75C6C33A"/>
    <w:multiLevelType w:val="hybridMultilevel"/>
    <w:lvl w:ilvl="0">
      <w:lvlJc w:val="left"/>
      <w:lvlText w:val="%1."/>
      <w:numFmt w:val="decimal"/>
      <w:start w:val="6"/>
    </w:lvl>
  </w:abstractNum>
  <w:abstractNum w:abstractNumId="16">
    <w:nsid w:val="12E685FB"/>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7">
    <w:nsid w:val="70C6A52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18">
    <w:nsid w:val="520EEDD1"/>
    <w:multiLevelType w:val="hybridMultilevel"/>
    <w:lvl w:ilvl="0">
      <w:lvlJc w:val="left"/>
      <w:lvlText w:val="(%1)"/>
      <w:numFmt w:val="lowerRoman"/>
      <w:start w:val="1"/>
    </w:lvl>
    <w:lvl w:ilvl="1">
      <w:lvlJc w:val="left"/>
      <w:lvlText w:val="(%2)"/>
      <w:numFmt w:val="upperLetter"/>
      <w:start w:val="1"/>
    </w:lvl>
  </w:abstractNum>
  <w:abstractNum w:abstractNumId="19">
    <w:nsid w:val="374A3FE6"/>
    <w:multiLevelType w:val="hybridMultilevel"/>
    <w:lvl w:ilvl="0">
      <w:lvlJc w:val="left"/>
      <w:lvlText w:val="%1"/>
      <w:numFmt w:val="lowerRoman"/>
      <w:start w:val="1"/>
    </w:lvl>
    <w:lvl w:ilvl="1">
      <w:lvlJc w:val="left"/>
      <w:lvlText w:val="(%2)"/>
      <w:numFmt w:val="upperLetter"/>
      <w:start w:val="2"/>
    </w:lvl>
  </w:abstractNum>
  <w:abstractNum w:abstractNumId="20">
    <w:nsid w:val="4F4EF005"/>
    <w:multiLevelType w:val="hybridMultilevel"/>
    <w:lvl w:ilvl="0">
      <w:lvlJc w:val="left"/>
      <w:lvlText w:val="(%1)"/>
      <w:numFmt w:val="lowerRoman"/>
      <w:start w:val="3"/>
    </w:lvl>
    <w:lvl w:ilvl="1">
      <w:lvlJc w:val="left"/>
      <w:lvlText w:val="%2"/>
      <w:numFmt w:val="upperLetter"/>
      <w:start w:val="1"/>
    </w:lvl>
  </w:abstractNum>
  <w:abstractNum w:abstractNumId="21">
    <w:nsid w:val="23F9C13C"/>
    <w:multiLevelType w:val="hybridMultilevel"/>
    <w:lvl w:ilvl="0">
      <w:lvlJc w:val="left"/>
      <w:lvlText w:val="(%1)"/>
      <w:numFmt w:val="lowerLetter"/>
      <w:start w:val="3"/>
    </w:lvl>
  </w:abstractNum>
  <w:abstractNum w:abstractNumId="22">
    <w:nsid w:val="649BB77C"/>
    <w:multiLevelType w:val="hybridMultilevel"/>
    <w:lvl w:ilvl="0">
      <w:lvlJc w:val="left"/>
      <w:lvlText w:val="%1"/>
      <w:numFmt w:val="lowerLetter"/>
      <w:start w:val="1"/>
    </w:lvl>
    <w:lvl w:ilvl="1">
      <w:lvlJc w:val="left"/>
      <w:lvlText w:val="%2."/>
      <w:numFmt w:val="decimal"/>
      <w:start w:val="8"/>
    </w:lvl>
  </w:abstractNum>
  <w:abstractNum w:abstractNumId="23">
    <w:nsid w:val="275AC794"/>
    <w:multiLevelType w:val="hybridMultilevel"/>
    <w:lvl w:ilvl="0">
      <w:lvlJc w:val="left"/>
      <w:lvlText w:val="(%1)"/>
      <w:numFmt w:val="lowerLetter"/>
      <w:start w:val="1"/>
    </w:lvl>
    <w:lvl w:ilvl="1">
      <w:lvlJc w:val="left"/>
      <w:lvlText w:val="%2"/>
      <w:numFmt w:val="decimal"/>
      <w:start w:val="1"/>
    </w:lvl>
  </w:abstractNum>
  <w:abstractNum w:abstractNumId="24">
    <w:nsid w:val="39386575"/>
    <w:multiLevelType w:val="hybridMultilevel"/>
    <w:lvl w:ilvl="0">
      <w:lvlJc w:val="left"/>
      <w:lvlText w:val="(%1)"/>
      <w:numFmt w:val="lowerRoman"/>
      <w:start w:val="1"/>
    </w:lvl>
    <w:lvl w:ilvl="1">
      <w:lvlJc w:val="left"/>
      <w:lvlText w:val="(%2)"/>
      <w:numFmt w:val="upperLetter"/>
      <w:start w:val="1"/>
    </w:lvl>
  </w:abstractNum>
  <w:abstractNum w:abstractNumId="25">
    <w:nsid w:val="1CF10FD8"/>
    <w:multiLevelType w:val="hybridMultilevel"/>
    <w:lvl w:ilvl="0">
      <w:lvlJc w:val="left"/>
      <w:lvlText w:val="(%1)"/>
      <w:numFmt w:val="lowerRoman"/>
      <w:start w:val="2"/>
    </w:lvl>
  </w:abstractNum>
  <w:abstractNum w:abstractNumId="26">
    <w:nsid w:val="180115BE"/>
    <w:multiLevelType w:val="hybridMultilevel"/>
    <w:lvl w:ilvl="0">
      <w:lvlJc w:val="left"/>
      <w:lvlText w:val="(%1)"/>
      <w:numFmt w:val="lowerLetter"/>
      <w:start w:val="2"/>
    </w:lvl>
    <w:lvl w:ilvl="1">
      <w:lvlJc w:val="left"/>
      <w:lvlText w:val="(%2)"/>
      <w:numFmt w:val="lowerRoman"/>
      <w:start w:val="1"/>
    </w:lvl>
  </w:abstractNum>
  <w:abstractNum w:abstractNumId="27">
    <w:nsid w:val="235BA861"/>
    <w:multiLevelType w:val="hybridMultilevel"/>
    <w:lvl w:ilvl="0">
      <w:lvlJc w:val="left"/>
      <w:lvlText w:val="%1"/>
      <w:numFmt w:val="lowerLetter"/>
      <w:start w:val="1"/>
    </w:lvl>
    <w:lvl w:ilvl="1">
      <w:lvlJc w:val="left"/>
      <w:lvlText w:val="(%2)"/>
      <w:numFmt w:val="lowerRoman"/>
      <w:start w:val="4"/>
    </w:lvl>
  </w:abstractNum>
  <w:abstractNum w:abstractNumId="28">
    <w:nsid w:val="47398C89"/>
    <w:multiLevelType w:val="hybridMultilevel"/>
    <w:lvl w:ilvl="0">
      <w:lvlJc w:val="left"/>
      <w:lvlText w:val="(%1)"/>
      <w:numFmt w:val="lowerLetter"/>
      <w:start w:val="4"/>
    </w:lvl>
    <w:lvl w:ilvl="1">
      <w:lvlJc w:val="left"/>
      <w:lvlText w:val="(%2)"/>
      <w:numFmt w:val="lowerRoman"/>
      <w:start w:val="1"/>
    </w:lvl>
  </w:abstractNum>
  <w:abstractNum w:abstractNumId="29">
    <w:nsid w:val="354FE9F9"/>
    <w:multiLevelType w:val="hybridMultilevel"/>
    <w:lvl w:ilvl="0">
      <w:lvlJc w:val="left"/>
      <w:lvlText w:val="(%1)"/>
      <w:numFmt w:val="lowerLetter"/>
      <w:start w:val="5"/>
    </w:lvl>
    <w:lvl w:ilvl="1">
      <w:lvlJc w:val="left"/>
      <w:lvlText w:val="(%2)"/>
      <w:numFmt w:val="lowerRoman"/>
      <w:start w:val="1"/>
    </w:lvl>
  </w:abstractNum>
  <w:abstractNum w:abstractNumId="30">
    <w:nsid w:val="15B5AF5C"/>
    <w:multiLevelType w:val="hybridMultilevel"/>
    <w:lvl w:ilvl="0">
      <w:lvlJc w:val="left"/>
      <w:lvlText w:val="(%1)"/>
      <w:numFmt w:val="lowerLetter"/>
      <w:start w:val="7"/>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7"/>
    </w:lvl>
    <w:lvl w:ilvl="1">
      <w:lvlJc w:val="left"/>
      <w:lvlText w:val="%2."/>
      <w:numFmt w:val="decimal"/>
      <w:start w:val="9"/>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decimal"/>
      <w:start w:val="10"/>
    </w:lvl>
  </w:abstractNum>
  <w:abstractNum w:abstractNumId="35">
    <w:nsid w:val="61574095"/>
    <w:multiLevelType w:val="hybridMultilevel"/>
    <w:lvl w:ilvl="0">
      <w:lvlJc w:val="left"/>
      <w:lvlText w:val="%1."/>
      <w:numFmt w:val="decimal"/>
      <w:start w:val="11"/>
    </w:lvl>
  </w:abstractNum>
  <w:abstractNum w:abstractNumId="36">
    <w:nsid w:val="7E0C57B1"/>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37">
    <w:nsid w:val="77AE35EB"/>
    <w:multiLevelType w:val="hybridMultilevel"/>
    <w:lvl w:ilvl="0">
      <w:lvlJc w:val="left"/>
      <w:lvlText w:val="%1."/>
      <w:numFmt w:val="decimal"/>
      <w:start w:val="13"/>
    </w:lvl>
  </w:abstractNum>
  <w:abstractNum w:abstractNumId="38">
    <w:nsid w:val="579BE4F1"/>
    <w:multiLevelType w:val="hybridMultilevel"/>
    <w:lvl w:ilvl="0">
      <w:lvlJc w:val="left"/>
      <w:lvlText w:val="%1."/>
      <w:numFmt w:val="decimal"/>
      <w:start w:val="14"/>
    </w:lvl>
  </w:abstractNum>
  <w:abstractNum w:abstractNumId="39">
    <w:nsid w:val="310C50B3"/>
    <w:multiLevelType w:val="hybridMultilevel"/>
    <w:lvl w:ilvl="0">
      <w:lvlJc w:val="left"/>
      <w:lvlText w:val="%1."/>
      <w:numFmt w:val="decimal"/>
      <w:start w:val="15"/>
    </w:lvl>
  </w:abstractNum>
  <w:abstractNum w:abstractNumId="40">
    <w:nsid w:val="5FF87E05"/>
    <w:multiLevelType w:val="hybridMultilevel"/>
    <w:lvl w:ilvl="0">
      <w:lvlJc w:val="left"/>
      <w:lvlText w:val="%1"/>
      <w:numFmt w:val="lowerLetter"/>
      <w:start w:val="1"/>
    </w:lvl>
    <w:lvl w:ilvl="1">
      <w:lvlJc w:val="left"/>
      <w:lvlText w:val="%2."/>
      <w:numFmt w:val="decimal"/>
      <w:start w:val="16"/>
    </w:lvl>
  </w:abstractNum>
  <w:abstractNum w:abstractNumId="41">
    <w:nsid w:val="2F305DEF"/>
    <w:multiLevelType w:val="hybridMultilevel"/>
    <w:lvl w:ilvl="0">
      <w:lvlJc w:val="left"/>
      <w:lvlText w:val="(%1)"/>
      <w:numFmt w:val="lowerLetter"/>
      <w:start w:val="1"/>
    </w:lvl>
    <w:lvl w:ilvl="1">
      <w:lvlJc w:val="left"/>
      <w:lvlText w:val="%2"/>
      <w:numFmt w:val="decimal"/>
      <w:start w:val="1"/>
    </w:lvl>
  </w:abstractNum>
  <w:abstractNum w:abstractNumId="42">
    <w:nsid w:val="25A70BF7"/>
    <w:multiLevelType w:val="hybridMultilevel"/>
    <w:lvl w:ilvl="0">
      <w:lvlJc w:val="left"/>
      <w:lvlText w:val="(%1)"/>
      <w:numFmt w:val="lowerLetter"/>
      <w:start w:val="5"/>
    </w:lvl>
    <w:lvl w:ilvl="1">
      <w:lvlJc w:val="left"/>
      <w:lvlText w:val="%2."/>
      <w:numFmt w:val="decimal"/>
      <w:start w:val="17"/>
    </w:lvl>
  </w:abstractNum>
  <w:abstractNum w:abstractNumId="43">
    <w:nsid w:val="1DBABF00"/>
    <w:multiLevelType w:val="hybridMultilevel"/>
    <w:lvl w:ilvl="0">
      <w:lvlJc w:val="left"/>
      <w:lvlText w:val="(%1)"/>
      <w:numFmt w:val="lowerLetter"/>
      <w:start w:val="1"/>
    </w:lvl>
    <w:lvl w:ilvl="1">
      <w:lvlJc w:val="left"/>
      <w:lvlText w:val="(%2)"/>
      <w:numFmt w:val="lowerRoman"/>
      <w:start w:val="1"/>
    </w:lvl>
  </w:abstractNum>
  <w:abstractNum w:abstractNumId="44">
    <w:nsid w:val="4AD084E9"/>
    <w:multiLevelType w:val="hybridMultilevel"/>
    <w:lvl w:ilvl="0">
      <w:lvlJc w:val="left"/>
      <w:lvlText w:val="%1."/>
      <w:numFmt w:val="decimal"/>
      <w:start w:val="18"/>
    </w:lvl>
  </w:abstractNum>
  <w:abstractNum w:abstractNumId="45">
    <w:nsid w:val="1F48EAA1"/>
    <w:multiLevelType w:val="hybridMultilevel"/>
    <w:lvl w:ilvl="0">
      <w:lvlJc w:val="left"/>
      <w:lvlText w:val="%1."/>
      <w:numFmt w:val="decimal"/>
      <w:start w:val="19"/>
    </w:lvl>
  </w:abstractNum>
  <w:abstractNum w:abstractNumId="46">
    <w:nsid w:val="1381823A"/>
    <w:multiLevelType w:val="hybridMultilevel"/>
    <w:lvl w:ilvl="0">
      <w:lvlJc w:val="left"/>
      <w:lvlText w:val="%1"/>
      <w:numFmt w:val="lowerLetter"/>
      <w:start w:val="1"/>
    </w:lvl>
    <w:lvl w:ilvl="1">
      <w:lvlJc w:val="left"/>
      <w:lvlText w:val="%2."/>
      <w:numFmt w:val="decimal"/>
      <w:start w:val="20"/>
    </w:lvl>
  </w:abstractNum>
  <w:abstractNum w:abstractNumId="47">
    <w:nsid w:val="5DB70AE5"/>
    <w:multiLevelType w:val="hybridMultilevel"/>
    <w:lvl w:ilvl="0">
      <w:lvlJc w:val="left"/>
      <w:lvlText w:val="(%1)"/>
      <w:numFmt w:val="lowerLetter"/>
      <w:start w:val="1"/>
    </w:lvl>
    <w:lvl w:ilvl="1">
      <w:lvlJc w:val="left"/>
      <w:lvlText w:val="%2"/>
      <w:numFmt w:val="decimal"/>
      <w:start w:val="1"/>
    </w:lvl>
  </w:abstractNum>
  <w:abstractNum w:abstractNumId="48">
    <w:nsid w:val="100F8FCA"/>
    <w:multiLevelType w:val="hybridMultilevel"/>
    <w:lvl w:ilvl="0">
      <w:lvlJc w:val="left"/>
      <w:lvlText w:val="(%1)"/>
      <w:numFmt w:val="lowerLetter"/>
      <w:start w:val="5"/>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lvl w:ilvl="1">
      <w:lvlJc w:val="left"/>
      <w:lvlText w:val="%2."/>
      <w:numFmt w:val="decimal"/>
      <w:start w:val="3"/>
    </w:lvl>
  </w:abstractNum>
  <w:abstractNum w:abstractNumId="51">
    <w:nsid w:val="5F5E7FD0"/>
    <w:multiLevelType w:val="hybridMultilevel"/>
    <w:lvl w:ilvl="0">
      <w:lvlJc w:val="left"/>
      <w:lvlText w:val="(%1)"/>
      <w:numFmt w:val="decimal"/>
      <w:start w:val="21"/>
    </w:lvl>
    <w:lvl w:ilvl="1">
      <w:lvlJc w:val="left"/>
      <w:lvlText w:val="%2"/>
      <w:numFmt w:val="decimal"/>
      <w:start w:val="1"/>
    </w:lvl>
  </w:abstractNum>
  <w:abstractNum w:abstractNumId="52">
    <w:nsid w:val="98A3148"/>
    <w:multiLevelType w:val="hybridMultilevel"/>
    <w:lvl w:ilvl="0">
      <w:lvlJc w:val="left"/>
      <w:lvlText w:val="%1."/>
      <w:numFmt w:val="decimal"/>
      <w:start w:val="5"/>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11"/>
    </w:lvl>
  </w:abstractNum>
  <w:abstractNum w:abstractNumId="55">
    <w:nsid w:val="42C296BD"/>
    <w:multiLevelType w:val="hybridMultilevel"/>
    <w:lvl w:ilvl="0">
      <w:lvlJc w:val="left"/>
      <w:lvlText w:val="(%1)"/>
      <w:numFmt w:val="lowerLetter"/>
      <w:start w:val="17"/>
    </w:lvl>
  </w:abstractNum>
  <w:abstractNum w:abstractNumId="56">
    <w:nsid w:val="168E121F"/>
    <w:multiLevelType w:val="hybridMultilevel"/>
    <w:lvl w:ilvl="0">
      <w:lvlJc w:val="left"/>
      <w:lvlText w:val="(%1)"/>
      <w:numFmt w:val="lowerLetter"/>
      <w:start w:val="23"/>
    </w:lvl>
    <w:lvl w:ilvl="1">
      <w:lvlJc w:val="left"/>
      <w:lvlText w:val="(%2)"/>
      <w:numFmt w:val="lowerRoman"/>
      <w:start w:val="1"/>
    </w:lvl>
  </w:abstractNum>
  <w:abstractNum w:abstractNumId="57">
    <w:nsid w:val="1EBA5D23"/>
    <w:multiLevelType w:val="hybridMultilevel"/>
    <w:lvl w:ilvl="0">
      <w:lvlJc w:val="left"/>
      <w:lvlText w:val="(%1)"/>
      <w:numFmt w:val="lowerLetter"/>
      <w:start w:val="26"/>
    </w:lvl>
  </w:abstractNum>
  <w:abstractNum w:abstractNumId="58">
    <w:nsid w:val="661E3F1E"/>
    <w:multiLevelType w:val="hybridMultilevel"/>
    <w:lvl w:ilvl="0">
      <w:lvlJc w:val="left"/>
      <w:lvlText w:val="(%1)"/>
      <w:numFmt w:val="lowerLetter"/>
      <w:start w:val="27"/>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lowerLetter"/>
      <w:start w:val="5"/>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2"/>
    </w:lvl>
  </w:abstractNum>
  <w:abstractNum w:abstractNumId="63">
    <w:nsid w:val="613EFDC5"/>
    <w:multiLevelType w:val="hybridMultilevel"/>
    <w:lvl w:ilvl="0">
      <w:lvlJc w:val="left"/>
      <w:lvlText w:val="(%1)"/>
      <w:numFmt w:val="lowerRoman"/>
      <w:start w:val="2"/>
    </w:lvl>
  </w:abstractNum>
  <w:abstractNum w:abstractNumId="64">
    <w:nsid w:val="BF72B14"/>
    <w:multiLevelType w:val="hybridMultilevel"/>
    <w:lvl w:ilvl="0">
      <w:lvlJc w:val="left"/>
      <w:lvlText w:val="(%1)"/>
      <w:numFmt w:val="lowerLetter"/>
      <w:start w:val="3"/>
    </w:lvl>
  </w:abstractNum>
  <w:abstractNum w:abstractNumId="65">
    <w:nsid w:val="11447B73"/>
    <w:multiLevelType w:val="hybridMultilevel"/>
    <w:lvl w:ilvl="0">
      <w:lvlJc w:val="left"/>
      <w:lvlText w:val="(%1)"/>
      <w:numFmt w:val="upperLetter"/>
      <w:start w:val="1"/>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2"/>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3"/>
    </w:lvl>
  </w:abstractNum>
  <w:abstractNum w:abstractNumId="70">
    <w:nsid w:val="3B0FD379"/>
    <w:multiLevelType w:val="hybridMultilevel"/>
    <w:lvl w:ilvl="0">
      <w:lvlJc w:val="left"/>
      <w:lvlText w:val="%1."/>
      <w:numFmt w:val="upperLetter"/>
      <w:start w:val="9"/>
    </w:lvl>
  </w:abstractNum>
  <w:abstractNum w:abstractNumId="71">
    <w:nsid w:val="68EB2F63"/>
    <w:multiLevelType w:val="hybridMultilevel"/>
    <w:lvl w:ilvl="0">
      <w:lvlJc w:val="left"/>
      <w:lvlText w:val="%1."/>
      <w:numFmt w:val="upperLetter"/>
      <w:start w:val="35"/>
    </w:lvl>
  </w:abstractNum>
  <w:abstractNum w:abstractNumId="72">
    <w:nsid w:val="4962813B"/>
    <w:multiLevelType w:val="hybridMultilevel"/>
    <w:lvl w:ilvl="0">
      <w:lvlJc w:val="left"/>
      <w:lvlText w:val="%1."/>
      <w:numFmt w:val="upperLetter"/>
      <w:start w:val="1"/>
    </w:lvl>
  </w:abstractNum>
  <w:abstractNum w:abstractNumId="73">
    <w:nsid w:val="60B6DF70"/>
    <w:multiLevelType w:val="hybridMultilevel"/>
    <w:lvl w:ilvl="0">
      <w:lvlJc w:val="left"/>
      <w:lvlText w:val="%1."/>
      <w:numFmt w:val="upperLetter"/>
      <w:start w:val="2"/>
    </w:lvl>
  </w:abstractNum>
  <w:abstractNum w:abstractNumId="74">
    <w:nsid w:val="6A5EE64"/>
    <w:multiLevelType w:val="hybridMultilevel"/>
    <w:lvl w:ilvl="0">
      <w:lvlJc w:val="left"/>
      <w:lvlText w:val="%1."/>
      <w:numFmt w:val="upperLetter"/>
      <w:start w:val="3"/>
    </w:lvl>
  </w:abstractNum>
  <w:abstractNum w:abstractNumId="75">
    <w:nsid w:val="14330624"/>
    <w:multiLevelType w:val="hybridMultilevel"/>
    <w:lvl w:ilvl="0">
      <w:lvlJc w:val="left"/>
      <w:lvlText w:val="%1."/>
      <w:numFmt w:val="upperLetter"/>
      <w:start w:val="4"/>
    </w:lvl>
  </w:abstractNum>
  <w:abstractNum w:abstractNumId="76">
    <w:nsid w:val="7FFFCA11"/>
    <w:multiLevelType w:val="hybridMultilevel"/>
    <w:lvl w:ilvl="0">
      <w:lvlJc w:val="left"/>
      <w:lvlText w:val="%1."/>
      <w:numFmt w:val="upperLetter"/>
      <w:start w:val="5"/>
    </w:lvl>
  </w:abstractNum>
  <w:abstractNum w:abstractNumId="77">
    <w:nsid w:val="1A27709E"/>
    <w:multiLevelType w:val="hybridMultilevel"/>
    <w:lvl w:ilvl="0">
      <w:lvlJc w:val="left"/>
      <w:lvlText w:val="%1."/>
      <w:numFmt w:val="upperLetter"/>
      <w:start w:val="6"/>
    </w:lvl>
  </w:abstractNum>
  <w:abstractNum w:abstractNumId="78">
    <w:nsid w:val="71EA1109"/>
    <w:multiLevelType w:val="hybridMultilevel"/>
    <w:lvl w:ilvl="0">
      <w:lvlJc w:val="left"/>
      <w:lvlText w:val="%1."/>
      <w:numFmt w:val="upperLetter"/>
      <w:start w:val="7"/>
    </w:lvl>
  </w:abstractNum>
  <w:abstractNum w:abstractNumId="79">
    <w:nsid w:val="100F59DC"/>
    <w:multiLevelType w:val="hybridMultilevel"/>
    <w:lvl w:ilvl="0">
      <w:lvlJc w:val="left"/>
      <w:lvlText w:val="%1."/>
      <w:numFmt w:val="upperLetter"/>
      <w:start w:val="61"/>
    </w:lvl>
  </w:abstractNum>
  <w:abstractNum w:abstractNumId="80">
    <w:nsid w:val="7FB7E0AA"/>
    <w:multiLevelType w:val="hybridMultilevel"/>
    <w:lvl w:ilvl="0">
      <w:lvlJc w:val="left"/>
      <w:lvlText w:val="%1."/>
      <w:numFmt w:val="upperLetter"/>
      <w:start w:val="22"/>
    </w:lvl>
  </w:abstractNum>
  <w:abstractNum w:abstractNumId="81">
    <w:nsid w:val="6EB5BD4"/>
    <w:multiLevelType w:val="hybridMultilevel"/>
    <w:lvl w:ilvl="0">
      <w:lvlJc w:val="left"/>
      <w:lvlText w:val="%1."/>
      <w:numFmt w:val="upperLetter"/>
      <w:start w:val="1"/>
    </w:lvl>
  </w:abstractNum>
  <w:abstractNum w:abstractNumId="82">
    <w:nsid w:val="6F6DD9AC"/>
    <w:multiLevelType w:val="hybridMultilevel"/>
    <w:lvl w:ilvl="0">
      <w:lvlJc w:val="left"/>
      <w:lvlText w:val="%1."/>
      <w:numFmt w:val="upperLetter"/>
      <w:start w:val="2"/>
    </w:lvl>
  </w:abstractNum>
  <w:abstractNum w:abstractNumId="83">
    <w:nsid w:val="94211F2"/>
    <w:multiLevelType w:val="hybridMultilevel"/>
    <w:lvl w:ilvl="0">
      <w:lvlJc w:val="left"/>
      <w:lvlText w:val="%1."/>
      <w:numFmt w:val="upperLetter"/>
      <w:start w:val="3"/>
    </w:lvl>
  </w:abstractNum>
  <w:abstractNum w:abstractNumId="84">
    <w:nsid w:val="885E1B"/>
    <w:multiLevelType w:val="hybridMultilevel"/>
    <w:lvl w:ilvl="0">
      <w:lvlJc w:val="left"/>
      <w:lvlText w:val="%1."/>
      <w:numFmt w:val="upperLetter"/>
      <w:start w:val="4"/>
    </w:lvl>
  </w:abstractNum>
  <w:abstractNum w:abstractNumId="85">
    <w:nsid w:val="76272110"/>
    <w:multiLevelType w:val="hybridMultilevel"/>
    <w:lvl w:ilvl="0">
      <w:lvlJc w:val="left"/>
      <w:lvlText w:val="%1."/>
      <w:numFmt w:val="upperLetter"/>
      <w:start w:val="5"/>
    </w:lvl>
  </w:abstractNum>
  <w:abstractNum w:abstractNumId="86">
    <w:nsid w:val="4C04A8AF"/>
    <w:multiLevelType w:val="hybridMultilevel"/>
    <w:lvl w:ilvl="0">
      <w:lvlJc w:val="left"/>
      <w:lvlText w:val="%1."/>
      <w:numFmt w:val="upperLetter"/>
      <w:start w:val="6"/>
    </w:lvl>
  </w:abstractNum>
  <w:abstractNum w:abstractNumId="87">
    <w:nsid w:val="1716703B"/>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2022-04-05T06:47:11Z</dcterms:created>
  <dcterms:modified xsi:type="dcterms:W3CDTF">2022-04-05T06:47:11Z</dcterms:modified>
</cp:coreProperties>
</file>