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14,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26"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26"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Casual Male Retail Group, Inc. (the "Company") is filing this Current Report with the Securities and Exchange Commission in order to set forth in a readily available document certain significant risks and uncertainties that are important considerations to be taken into account in conjunction with consideration and review of the Company's reports, registration statements, information statements, press releases, and other publicly-disseminated documents (including oral statements concerning Company business information made on behalf of the Company) that include forward-looking information. A discussion of such risks and uncertainties is attached as exhibit 99.1 hereto and incorporated herein by reference.</w:t>
      </w:r>
    </w:p>
    <w:p>
      <w:pPr>
        <w:spacing w:after="0" w:line="200" w:lineRule="exact"/>
        <w:rPr>
          <w:sz w:val="24"/>
          <w:szCs w:val="24"/>
          <w:color w:val="auto"/>
        </w:rPr>
      </w:pPr>
    </w:p>
    <w:p>
      <w:pPr>
        <w:spacing w:after="0" w:line="21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pacing w:after="0" w:line="200" w:lineRule="exact"/>
        <w:rPr>
          <w:sz w:val="24"/>
          <w:szCs w:val="24"/>
          <w:color w:val="auto"/>
        </w:rPr>
      </w:pPr>
    </w:p>
    <w:p>
      <w:pPr>
        <w:spacing w:after="0" w:line="204" w:lineRule="exact"/>
        <w:rPr>
          <w:sz w:val="24"/>
          <w:szCs w:val="24"/>
          <w:color w:val="auto"/>
        </w:rPr>
      </w:pPr>
    </w:p>
    <w:p>
      <w:pPr>
        <w:ind w:left="860"/>
        <w:spacing w:after="0"/>
        <w:tabs>
          <w:tab w:leader="none" w:pos="33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860"/>
        <w:spacing w:after="0" w:line="238" w:lineRule="auto"/>
        <w:tabs>
          <w:tab w:leader="none" w:pos="3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left="2540" w:right="4619" w:hanging="2527"/>
        <w:spacing w:after="0" w:line="235" w:lineRule="auto"/>
        <w:rPr>
          <w:sz w:val="20"/>
          <w:szCs w:val="20"/>
          <w:color w:val="auto"/>
        </w:rPr>
      </w:pPr>
      <w:r>
        <w:rPr>
          <w:rFonts w:ascii="Courier New" w:cs="Courier New" w:eastAsia="Courier New" w:hAnsi="Courier New"/>
          <w:sz w:val="18"/>
          <w:szCs w:val="18"/>
          <w:color w:val="auto"/>
        </w:rPr>
        <w:t>99.1 Cautionary Statements Concerning Forward-Looking Statements.</w:t>
      </w:r>
    </w:p>
    <w:p>
      <w:pPr>
        <w:sectPr>
          <w:pgSz w:w="11900" w:h="16838" w:orient="portrait"/>
          <w:cols w:equalWidth="0" w:num="1">
            <w:col w:w="10219"/>
          </w:cols>
          <w:pgMar w:left="240" w:top="447" w:right="1440" w:bottom="26"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14, 2004</w:t>
      </w:r>
    </w:p>
    <w:p>
      <w:pPr>
        <w:sectPr>
          <w:pgSz w:w="11900" w:h="16838" w:orient="portrait"/>
          <w:cols w:equalWidth="0" w:num="1">
            <w:col w:w="10219"/>
          </w:cols>
          <w:pgMar w:left="240" w:top="1440" w:right="1440" w:bottom="1440" w:gutter="0" w:footer="0" w:header="0"/>
        </w:sectPr>
      </w:pPr>
    </w:p>
    <w:bookmarkStart w:id="2" w:name="page3"/>
    <w:bookmarkEnd w:id="2"/>
    <w:p>
      <w:pPr>
        <w:ind w:left="602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STATEMENTS CONCERNING FORWARD-LOOKING</w:t>
      </w:r>
    </w:p>
    <w:p>
      <w:pPr>
        <w:ind w:left="2860"/>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7"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Certain significant risks and uncertainties are important considerations to be taken into account in conjunction with consideration and review of Casual Male Retail Group, Inc.'s (the "Company") reports, registration statements, information statements, press releases, and other publicly-disseminated documents (including oral statements concerning Company business information made on behalf of the Company) that include forward-looking information. For purposes of these Cautionary Statements, the terms "Casual Male," "the Company," "we," "our," and "us" refer to Casual Male Retail Group, Inc. and its consolidated subsidiaries, unless otherwise specified.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nature of forward-looking information is that such</w:t>
      </w:r>
    </w:p>
    <w:p>
      <w:pPr>
        <w:spacing w:after="0" w:line="4"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information involves assumptions, risks and uncertainties. Certain public documents of the Company and oral statements made by authorized officers, directors, employees, agents and representatives of the Company, acting on its behalf, may include forward-looking information which will be influenced by assumptions, risks and uncertainties, including, without limitation, those set forth below. Forward-looking information requires management of the Company to make assumptions, estimates, forecasts and projections regarding the Company's future results as well as the future effectiveness of the Company's strategic plans and future operational decisions. Forward-looking statements made by or on behalf of the Company are subject to the risk that the forecasts, projections, and expectations of management, or assumptions underlying such forecasts, projections and expectations, may become inaccurate. Accordingly, the Company's future financial positions, its actual results of operations and the implementation of its plans and operations may differ materially from forward-looking statements made on behalf of the Company. In some cases, you can identify forward-looking statements by terminology such as "may," "will," "could," "would," "should," "believe," "expect," "plan," "anticipate," "intend," "predict," "estimate" and "potential" and other expressions which indicate future events and trends. The following discussion identifies certain important factors that could affect the Company's financial position, its actual results of operations, and its actions and could cause the Company's financial position, its results of operations, and its actions to differ materially from any forward-looking statements made by or on behalf of the Company. Other factors, which are not identified herein, could also have such an effect.</w:t>
      </w:r>
    </w:p>
    <w:p>
      <w:pPr>
        <w:spacing w:after="0" w:line="200" w:lineRule="exact"/>
        <w:rPr>
          <w:sz w:val="20"/>
          <w:szCs w:val="20"/>
          <w:color w:val="auto"/>
        </w:rPr>
      </w:pPr>
    </w:p>
    <w:p>
      <w:pPr>
        <w:spacing w:after="0" w:line="393"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The following factors, among others, could cause our future results to differ materially from historical results or those anticipated:</w:t>
      </w:r>
    </w:p>
    <w:p>
      <w:pPr>
        <w:spacing w:after="0" w:line="203"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overall economic and business conditions;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competitive factors in the industries in which we conduct our business;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changes in governmental regulation;</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demand for our goods and services;</w:t>
      </w:r>
    </w:p>
    <w:p>
      <w:pPr>
        <w:spacing w:after="0" w:line="4" w:lineRule="exact"/>
        <w:rPr>
          <w:rFonts w:ascii="Courier New" w:cs="Courier New" w:eastAsia="Courier New" w:hAnsi="Courier New"/>
          <w:sz w:val="18"/>
          <w:szCs w:val="18"/>
          <w:color w:val="auto"/>
        </w:rPr>
      </w:pPr>
    </w:p>
    <w:p>
      <w:pPr>
        <w:ind w:left="320" w:right="187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fact that our customers may cancel orders they have placed with us, in whole or in part, without advance notice;</w:t>
      </w:r>
    </w:p>
    <w:p>
      <w:pPr>
        <w:spacing w:after="0" w:line="5" w:lineRule="exact"/>
        <w:rPr>
          <w:rFonts w:ascii="Courier New" w:cs="Courier New" w:eastAsia="Courier New" w:hAnsi="Courier New"/>
          <w:sz w:val="18"/>
          <w:szCs w:val="18"/>
          <w:color w:val="auto"/>
        </w:rPr>
      </w:pPr>
    </w:p>
    <w:p>
      <w:pPr>
        <w:ind w:left="320" w:right="199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changes in tax requirements, including tax rate changes, new tax laws and revised tax law interpretations;</w:t>
      </w:r>
    </w:p>
    <w:p>
      <w:pPr>
        <w:spacing w:after="0" w:line="5" w:lineRule="exact"/>
        <w:rPr>
          <w:rFonts w:ascii="Courier New" w:cs="Courier New" w:eastAsia="Courier New" w:hAnsi="Courier New"/>
          <w:sz w:val="18"/>
          <w:szCs w:val="18"/>
          <w:color w:val="auto"/>
        </w:rPr>
      </w:pPr>
    </w:p>
    <w:p>
      <w:pPr>
        <w:ind w:left="320" w:right="199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changes in generally accepted accounting principles or interpretations of those principles by governmental agencies and self-regulatory groups;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developments in and results of litigation;</w:t>
      </w:r>
    </w:p>
    <w:p>
      <w:pPr>
        <w:spacing w:after="0" w:line="4" w:lineRule="exact"/>
        <w:rPr>
          <w:rFonts w:ascii="Courier New" w:cs="Courier New" w:eastAsia="Courier New" w:hAnsi="Courier New"/>
          <w:sz w:val="18"/>
          <w:szCs w:val="18"/>
          <w:color w:val="auto"/>
        </w:rPr>
      </w:pPr>
    </w:p>
    <w:p>
      <w:pPr>
        <w:ind w:left="320" w:right="209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interest rate fluctuations, foreign currency rate fluctuations and other capital market conditions;</w:t>
      </w:r>
    </w:p>
    <w:p>
      <w:pPr>
        <w:spacing w:after="0" w:line="5" w:lineRule="exact"/>
        <w:rPr>
          <w:rFonts w:ascii="Courier New" w:cs="Courier New" w:eastAsia="Courier New" w:hAnsi="Courier New"/>
          <w:sz w:val="18"/>
          <w:szCs w:val="18"/>
          <w:color w:val="auto"/>
        </w:rPr>
      </w:pPr>
    </w:p>
    <w:p>
      <w:pPr>
        <w:ind w:left="320" w:right="2319" w:hanging="312"/>
        <w:spacing w:after="0" w:line="236"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economic and political conditions in international markets, including governmental changes and restrictions on the ability to transfer capital across borders;</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changes in the cost of raw materials used in our business;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timing, impact and other uncertainties of acquisitions that we</w:t>
      </w:r>
    </w:p>
    <w:p>
      <w:pPr>
        <w:ind w:left="320"/>
        <w:spacing w:after="0"/>
        <w:rPr>
          <w:sz w:val="20"/>
          <w:szCs w:val="20"/>
          <w:color w:val="auto"/>
        </w:rPr>
      </w:pPr>
      <w:r>
        <w:rPr>
          <w:rFonts w:ascii="Courier New" w:cs="Courier New" w:eastAsia="Courier New" w:hAnsi="Courier New"/>
          <w:sz w:val="18"/>
          <w:szCs w:val="18"/>
          <w:color w:val="auto"/>
        </w:rPr>
        <w:t>may consider or consummate; and</w:t>
      </w:r>
    </w:p>
    <w:p>
      <w:pPr>
        <w:spacing w:after="0" w:line="3" w:lineRule="exact"/>
        <w:rPr>
          <w:sz w:val="20"/>
          <w:szCs w:val="20"/>
          <w:color w:val="auto"/>
        </w:rPr>
      </w:pPr>
    </w:p>
    <w:p>
      <w:pPr>
        <w:ind w:left="320" w:right="2319" w:hanging="312"/>
        <w:spacing w:after="0" w:line="235" w:lineRule="auto"/>
        <w:tabs>
          <w:tab w:leader="none" w:pos="21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our ability to achieve anticipated synergies and other cost savings in connection with such acquisitions.</w:t>
      </w:r>
    </w:p>
    <w:p>
      <w:pPr>
        <w:spacing w:after="0" w:line="20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These factors and the risk factors described in this document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projected results or events will be achieved or will occur.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Risks Related to Our Company and Our Industry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ability to continue to expand our Casual Male stores may be limited.</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 large part of our growth has resulted from the addition of new Casual Male stores and the increased sales volume and profitability provided by these stores. We will continue to depend on adding new stores to increase our sales volume and profitability. We believe that our ability to increase the number of Casual Male stores in the United States substantially in excess of the number of our current stores will be limited due to capital constraints, market conditions and other factors. When we enter new markets, we must:</w:t>
      </w:r>
    </w:p>
    <w:p>
      <w:pPr>
        <w:spacing w:after="0" w:line="212" w:lineRule="exact"/>
        <w:rPr>
          <w:sz w:val="20"/>
          <w:szCs w:val="20"/>
          <w:color w:val="auto"/>
        </w:rPr>
      </w:pPr>
    </w:p>
    <w:p>
      <w:pPr>
        <w:ind w:right="293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obtain suitable store locations in light of the local real estate market conditions;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hire and train personnel;</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establish distribution methods; and</w:t>
      </w:r>
    </w:p>
    <w:p>
      <w:pPr>
        <w:spacing w:after="0" w:line="206" w:lineRule="exact"/>
        <w:rPr>
          <w:rFonts w:ascii="Courier New" w:cs="Courier New" w:eastAsia="Courier New" w:hAnsi="Courier New"/>
          <w:sz w:val="18"/>
          <w:szCs w:val="18"/>
          <w:color w:val="auto"/>
        </w:rPr>
      </w:pPr>
    </w:p>
    <w:p>
      <w:pPr>
        <w:ind w:right="273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advertise our brand names and our distinguishing characteristics to consumers who may not be familiar with us.</w:t>
      </w:r>
    </w:p>
    <w:p>
      <w:pPr>
        <w:spacing w:after="0" w:line="208"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We may be unable to successfully predict fashion trends and customer preferences.</w:t>
      </w:r>
    </w:p>
    <w:p>
      <w:pPr>
        <w:spacing w:after="0" w:line="208" w:lineRule="exact"/>
        <w:rPr>
          <w:sz w:val="20"/>
          <w:szCs w:val="20"/>
          <w:color w:val="auto"/>
        </w:rPr>
      </w:pPr>
    </w:p>
    <w:p>
      <w:pPr>
        <w:ind w:right="2419" w:firstLine="843"/>
        <w:spacing w:after="0" w:line="238" w:lineRule="auto"/>
        <w:rPr>
          <w:sz w:val="20"/>
          <w:szCs w:val="20"/>
          <w:color w:val="auto"/>
        </w:rPr>
      </w:pPr>
      <w:r>
        <w:rPr>
          <w:rFonts w:ascii="Courier New" w:cs="Courier New" w:eastAsia="Courier New" w:hAnsi="Courier New"/>
          <w:sz w:val="18"/>
          <w:szCs w:val="18"/>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Our business is highly competitive, and competitive factors may reduce our revenues and profit margins.</w:t>
      </w:r>
    </w:p>
    <w:p>
      <w:pPr>
        <w:spacing w:after="0" w:line="208" w:lineRule="exact"/>
        <w:rPr>
          <w:sz w:val="20"/>
          <w:szCs w:val="20"/>
          <w:color w:val="auto"/>
        </w:rPr>
      </w:pPr>
    </w:p>
    <w:p>
      <w:pPr>
        <w:ind w:right="2519" w:firstLine="843"/>
        <w:spacing w:after="0" w:line="270" w:lineRule="auto"/>
        <w:rPr>
          <w:sz w:val="20"/>
          <w:szCs w:val="20"/>
          <w:color w:val="auto"/>
        </w:rPr>
      </w:pPr>
      <w:r>
        <w:rPr>
          <w:rFonts w:ascii="Courier New" w:cs="Courier New" w:eastAsia="Courier New" w:hAnsi="Courier New"/>
          <w:sz w:val="16"/>
          <w:szCs w:val="16"/>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 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38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sales will decline if we do not successfully advertise and market our products.</w:t>
      </w:r>
    </w:p>
    <w:p>
      <w:pPr>
        <w:spacing w:after="0" w:line="20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success significantly depends on our key personnel and our ability to</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attract and retain additional personnel.</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are primary decision makers in all our important operating matters, could significantly impact our business until adequate replacements can be identified and put in place. The loss of any of our senior management may result in:</w:t>
      </w:r>
    </w:p>
    <w:p>
      <w:pPr>
        <w:spacing w:after="0" w:line="208"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loss of organizational focus;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poor operating execution;</w:t>
      </w:r>
    </w:p>
    <w:p>
      <w:pPr>
        <w:spacing w:after="0" w:line="206" w:lineRule="exact"/>
        <w:rPr>
          <w:rFonts w:ascii="Courier New" w:cs="Courier New" w:eastAsia="Courier New" w:hAnsi="Courier New"/>
          <w:sz w:val="18"/>
          <w:szCs w:val="18"/>
          <w:color w:val="auto"/>
        </w:rPr>
      </w:pPr>
    </w:p>
    <w:p>
      <w:pPr>
        <w:ind w:right="261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inability to identify and execute potential strategic initiatives such as joint venture and licensing opportunities;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impairment in our ability to identify new store locations;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inability to consummate possible acquisitions.</w:t>
      </w:r>
    </w:p>
    <w:p>
      <w:pPr>
        <w:spacing w:after="0" w:line="207" w:lineRule="exact"/>
        <w:rPr>
          <w:sz w:val="20"/>
          <w:szCs w:val="20"/>
          <w:color w:val="auto"/>
        </w:rPr>
      </w:pPr>
    </w:p>
    <w:p>
      <w:pPr>
        <w:ind w:right="2519" w:firstLine="843"/>
        <w:spacing w:after="0" w:line="270" w:lineRule="auto"/>
        <w:rPr>
          <w:sz w:val="20"/>
          <w:szCs w:val="20"/>
          <w:color w:val="auto"/>
        </w:rPr>
      </w:pPr>
      <w:r>
        <w:rPr>
          <w:rFonts w:ascii="Courier New" w:cs="Courier New" w:eastAsia="Courier New" w:hAnsi="Courier New"/>
          <w:sz w:val="16"/>
          <w:szCs w:val="16"/>
          <w:color w:val="auto"/>
        </w:rPr>
        <w:t>These adverse results could, among other things, reduce potential revenues, prevent us from diversifying our product lines and geographic concentrations, and expose us to downturns in our markets. The loss of those individuals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38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need to timely complete the implementation of our information systems and control procedures.</w:t>
      </w:r>
    </w:p>
    <w:p>
      <w:pPr>
        <w:spacing w:after="0" w:line="208" w:lineRule="exact"/>
        <w:rPr>
          <w:sz w:val="20"/>
          <w:szCs w:val="20"/>
          <w:color w:val="auto"/>
        </w:rPr>
      </w:pPr>
    </w:p>
    <w:p>
      <w:pPr>
        <w:ind w:right="2619" w:firstLine="843"/>
        <w:spacing w:after="0" w:line="238" w:lineRule="auto"/>
        <w:rPr>
          <w:sz w:val="20"/>
          <w:szCs w:val="20"/>
          <w:color w:val="auto"/>
        </w:rPr>
      </w:pPr>
      <w:r>
        <w:rPr>
          <w:rFonts w:ascii="Courier New" w:cs="Courier New" w:eastAsia="Courier New" w:hAnsi="Courier New"/>
          <w:sz w:val="18"/>
          <w:szCs w:val="18"/>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our sales could be severely impacted, or our gross margins could be adversely affected.</w:t>
      </w:r>
    </w:p>
    <w:p>
      <w:pPr>
        <w:spacing w:after="0" w:line="207" w:lineRule="exact"/>
        <w:rPr>
          <w:sz w:val="20"/>
          <w:szCs w:val="20"/>
          <w:color w:val="auto"/>
        </w:rPr>
      </w:pPr>
    </w:p>
    <w:p>
      <w:pPr>
        <w:ind w:right="2519" w:firstLine="843"/>
        <w:spacing w:after="0" w:line="269" w:lineRule="auto"/>
        <w:rPr>
          <w:sz w:val="20"/>
          <w:szCs w:val="20"/>
          <w:color w:val="auto"/>
        </w:rPr>
      </w:pPr>
      <w:r>
        <w:rPr>
          <w:rFonts w:ascii="Courier New" w:cs="Courier New" w:eastAsia="Courier New" w:hAnsi="Courier New"/>
          <w:sz w:val="16"/>
          <w:szCs w:val="16"/>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Currently, we are undergoing a significant effort to replace our existing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timely without disruption to our daily operations. To implement these initiatives, we spent approximately $4.1 million in fiscal 2002 and $4.0 million in fiscal 2003. We anticipate that the implementation will require approximately 12 months to complete at a remaining cost of</w:t>
      </w:r>
    </w:p>
    <w:p>
      <w:pPr>
        <w:spacing w:after="0" w:line="19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$6.0 million, which includes upgrading of our existing point-of-sale and register systems and implementing a Customer Relationship Management software system. If we are unable to complete these projects within budget and on time, our operating results will suffer.</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loss of, or disruption in, our centralized distribution center could negatively impact our business and operations.</w:t>
      </w:r>
    </w:p>
    <w:p>
      <w:pPr>
        <w:spacing w:after="0" w:line="208" w:lineRule="exact"/>
        <w:rPr>
          <w:sz w:val="20"/>
          <w:szCs w:val="20"/>
          <w:color w:val="auto"/>
        </w:rPr>
      </w:pPr>
    </w:p>
    <w:p>
      <w:pPr>
        <w:ind w:right="2519" w:firstLine="843"/>
        <w:spacing w:after="0" w:line="275" w:lineRule="auto"/>
        <w:rPr>
          <w:sz w:val="20"/>
          <w:szCs w:val="20"/>
          <w:color w:val="auto"/>
        </w:rPr>
      </w:pPr>
      <w:r>
        <w:rPr>
          <w:rFonts w:ascii="Courier New" w:cs="Courier New" w:eastAsia="Courier New" w:hAnsi="Courier New"/>
          <w:sz w:val="16"/>
          <w:szCs w:val="16"/>
          <w:color w:val="auto"/>
        </w:rPr>
        <w:t>All merchandise for our Casual Male stores is received into our centralized distribution center in Canton, Massachusetts, where the inventory is then processed, sorted and shipped to our stores. We depend in large part on the orderly operation of this receiving and distribution</w:t>
      </w:r>
    </w:p>
    <w:p>
      <w:pPr>
        <w:sectPr>
          <w:pgSz w:w="11900" w:h="16838" w:orient="portrait"/>
          <w:cols w:equalWidth="0" w:num="1">
            <w:col w:w="10219"/>
          </w:cols>
          <w:pgMar w:left="240" w:top="136" w:right="1440" w:bottom="0" w:gutter="0" w:footer="0" w:header="0"/>
        </w:sectPr>
      </w:pPr>
    </w:p>
    <w:bookmarkStart w:id="5" w:name="page6"/>
    <w:bookmarkEnd w:id="5"/>
    <w:p>
      <w:pPr>
        <w:ind w:right="2519"/>
        <w:spacing w:after="0" w:line="271" w:lineRule="auto"/>
        <w:rPr>
          <w:sz w:val="20"/>
          <w:szCs w:val="20"/>
          <w:color w:val="auto"/>
        </w:rPr>
      </w:pPr>
      <w:r>
        <w:rPr>
          <w:rFonts w:ascii="Courier New" w:cs="Courier New" w:eastAsia="Courier New" w:hAnsi="Courier New"/>
          <w:sz w:val="16"/>
          <w:szCs w:val="16"/>
          <w:color w:val="auto"/>
        </w:rPr>
        <w:t>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8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are dependent on third parties for the manufacture of the products we sell.</w:t>
      </w:r>
    </w:p>
    <w:p>
      <w:pPr>
        <w:spacing w:after="0" w:line="208"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We do not own or operate any manufacturing facilities and are therefore entirely dependent on third parties for the manufacture of the products we sell. Without adequate supplies of merchandise to sell to our customers in the merchandise styles and fashions demanded by our particular customer base, sales would decrease materially and our business would suffer. Furthermore, we expect that approximately 50% of our merchandise will continue to consist of private label items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our results of operations.</w:t>
      </w:r>
    </w:p>
    <w:p>
      <w:pPr>
        <w:spacing w:after="0" w:line="209" w:lineRule="exact"/>
        <w:rPr>
          <w:sz w:val="20"/>
          <w:szCs w:val="20"/>
          <w:color w:val="auto"/>
        </w:rPr>
      </w:pPr>
    </w:p>
    <w:p>
      <w:pPr>
        <w:ind w:right="2519" w:firstLine="843"/>
        <w:spacing w:after="0" w:line="271" w:lineRule="auto"/>
        <w:rPr>
          <w:sz w:val="20"/>
          <w:szCs w:val="20"/>
          <w:color w:val="auto"/>
        </w:rPr>
      </w:pPr>
      <w:r>
        <w:rPr>
          <w:rFonts w:ascii="Courier New" w:cs="Courier New" w:eastAsia="Courier New" w:hAnsi="Courier New"/>
          <w:sz w:val="16"/>
          <w:szCs w:val="16"/>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These manufacturers may also increase the cost to us of the products we purchase from them. If our suppliers increase our costs, our margins may be adversely affected.</w:t>
      </w:r>
    </w:p>
    <w:p>
      <w:pPr>
        <w:spacing w:after="0" w:line="186" w:lineRule="exact"/>
        <w:rPr>
          <w:sz w:val="20"/>
          <w:szCs w:val="20"/>
          <w:color w:val="auto"/>
        </w:rPr>
      </w:pPr>
    </w:p>
    <w:p>
      <w:pPr>
        <w:ind w:right="2519" w:firstLine="843"/>
        <w:spacing w:after="0" w:line="273" w:lineRule="auto"/>
        <w:rPr>
          <w:sz w:val="20"/>
          <w:szCs w:val="20"/>
          <w:color w:val="auto"/>
        </w:rPr>
      </w:pPr>
      <w:r>
        <w:rPr>
          <w:rFonts w:ascii="Courier New" w:cs="Courier New" w:eastAsia="Courier New" w:hAnsi="Courier New"/>
          <w:sz w:val="16"/>
          <w:szCs w:val="16"/>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85" w:lineRule="exact"/>
        <w:rPr>
          <w:sz w:val="20"/>
          <w:szCs w:val="20"/>
          <w:color w:val="auto"/>
        </w:rPr>
      </w:pPr>
    </w:p>
    <w:p>
      <w:pPr>
        <w:ind w:right="2519" w:firstLine="843"/>
        <w:spacing w:after="0" w:line="270" w:lineRule="auto"/>
        <w:rPr>
          <w:sz w:val="20"/>
          <w:szCs w:val="20"/>
          <w:color w:val="auto"/>
        </w:rPr>
      </w:pPr>
      <w:r>
        <w:rPr>
          <w:rFonts w:ascii="Courier New" w:cs="Courier New" w:eastAsia="Courier New" w:hAnsi="Courier New"/>
          <w:sz w:val="16"/>
          <w:szCs w:val="16"/>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levels on a consistent basis, which would negatively impact our sales and potentially erode the confidence of our customer base, leading to further loss of sales and an adverse impact on our results of operations.</w:t>
      </w:r>
    </w:p>
    <w:p>
      <w:pPr>
        <w:spacing w:after="0" w:line="389"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Exiting our Levi's(r)/Dockers(r) business may subject us to significant costs and divert resources.</w:t>
      </w:r>
    </w:p>
    <w:p>
      <w:pPr>
        <w:spacing w:after="0" w:line="208" w:lineRule="exact"/>
        <w:rPr>
          <w:sz w:val="20"/>
          <w:szCs w:val="20"/>
          <w:color w:val="auto"/>
        </w:rPr>
      </w:pPr>
    </w:p>
    <w:p>
      <w:pPr>
        <w:ind w:right="2519" w:firstLine="843"/>
        <w:spacing w:after="0" w:line="271" w:lineRule="auto"/>
        <w:rPr>
          <w:sz w:val="20"/>
          <w:szCs w:val="20"/>
          <w:color w:val="auto"/>
        </w:rPr>
      </w:pPr>
      <w:r>
        <w:rPr>
          <w:rFonts w:ascii="Courier New" w:cs="Courier New" w:eastAsia="Courier New" w:hAnsi="Courier New"/>
          <w:sz w:val="16"/>
          <w:szCs w:val="16"/>
          <w:color w:val="auto"/>
        </w:rPr>
        <w:t>In light of the continued significant deterioration in our Levi's(r)/Dockers(r) operations, we announced that we would downsize and eventually exit this business. In connection with this restructuring, we have incurred and will need to continue to incur significant exit costs associated with the termination of leases, liquidation of inventory and various employee matters. In addition, the restructuring of this business may divert managerial and other resources from our core businesses and</w:t>
      </w:r>
    </w:p>
    <w:p>
      <w:pPr>
        <w:sectPr>
          <w:pgSz w:w="11900" w:h="16838" w:orient="portrait"/>
          <w:cols w:equalWidth="0" w:num="1">
            <w:col w:w="10219"/>
          </w:cols>
          <w:pgMar w:left="240" w:top="142" w:right="1440" w:bottom="0" w:gutter="0" w:footer="0" w:header="0"/>
        </w:sectPr>
      </w:pPr>
    </w:p>
    <w:bookmarkStart w:id="6" w:name="page7"/>
    <w:bookmarkEnd w:id="6"/>
    <w:p>
      <w:pPr>
        <w:ind w:right="2519"/>
        <w:spacing w:after="0" w:line="272" w:lineRule="auto"/>
        <w:rPr>
          <w:sz w:val="20"/>
          <w:szCs w:val="20"/>
          <w:color w:val="auto"/>
        </w:rPr>
      </w:pPr>
      <w:r>
        <w:rPr>
          <w:rFonts w:ascii="Courier New" w:cs="Courier New" w:eastAsia="Courier New" w:hAnsi="Courier New"/>
          <w:sz w:val="16"/>
          <w:szCs w:val="16"/>
          <w:color w:val="auto"/>
        </w:rPr>
        <w:t>may subject us to litigation. We have recorded restructuring charges totaling $41.3 million to date in connection with the restructuring of our Levi's(r)/Dockers(r) business, and expect to record additional restructuring charges as we complete this initiative. These charges have reduced and will continue to reduce our net income, and if future charges exceed our expectations, our stock price may be adversely affected.</w:t>
      </w:r>
    </w:p>
    <w:p>
      <w:pPr>
        <w:spacing w:after="0" w:line="18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Our results of operations will be adversely affected if our George Foreman line of apparel is unsuccessful.</w:t>
      </w:r>
    </w:p>
    <w:p>
      <w:pPr>
        <w:spacing w:after="0" w:line="208"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We have entered into an exclusive endorsement and licensing arrangement for a men's apparel line with George Foreman, the well-known boxing personality. Under the terms of this arrangement, we are obligated to make significant payments to Mr. Foreman regardless of the success of the product line, and we intend to incur significant marketing costs in connection with the promotion of this product line. As a result of these expenditures, if sales from this product line do not meet our expectations our results of operations will be adversely affected. Furthermore, we are subject to risks associated with having our brand identified with a celebrity personality. If our customers do not care for Mr. Foreman, or if this product line is not successful, our brand value will suffer.</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loss of any of our key trademarks or licenses could adversely affect demand for our products.</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seasonal and is affected by general economic conditions.</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21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Acts of terrorism could negatively impact our operating results and financial condition.</w:t>
      </w:r>
    </w:p>
    <w:p>
      <w:pPr>
        <w:spacing w:after="0" w:line="208"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1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cost savings and expense reductions resulting from the acquisition of Casual Male may be less than anticipated.</w:t>
      </w:r>
    </w:p>
    <w:p>
      <w:pPr>
        <w:spacing w:after="0" w:line="208" w:lineRule="exact"/>
        <w:rPr>
          <w:sz w:val="20"/>
          <w:szCs w:val="20"/>
          <w:color w:val="auto"/>
        </w:rPr>
      </w:pPr>
    </w:p>
    <w:p>
      <w:pPr>
        <w:ind w:right="2519" w:firstLine="843"/>
        <w:spacing w:after="0" w:line="269" w:lineRule="auto"/>
        <w:rPr>
          <w:sz w:val="20"/>
          <w:szCs w:val="20"/>
          <w:color w:val="auto"/>
        </w:rPr>
      </w:pPr>
      <w:r>
        <w:rPr>
          <w:rFonts w:ascii="Courier New" w:cs="Courier New" w:eastAsia="Courier New" w:hAnsi="Courier New"/>
          <w:sz w:val="16"/>
          <w:szCs w:val="16"/>
          <w:color w:val="auto"/>
        </w:rPr>
        <w:t>We anticipate significant, continued cost savings following our May 2002 acquisition of substantially all the assets of Casual Male, primarily through headcount reductions, re-negotiations of contractual arrangements for supplies and services associated with the operation for more favorable pricing terms, elimination of inefficient and costly business processes and costs by streamlining our management information systems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of Casual Male and reducing our expected profitability. If</w:t>
      </w:r>
    </w:p>
    <w:p>
      <w:pPr>
        <w:sectPr>
          <w:pgSz w:w="11900" w:h="16838" w:orient="portrait"/>
          <w:cols w:equalWidth="0" w:num="1">
            <w:col w:w="10219"/>
          </w:cols>
          <w:pgMar w:left="240" w:top="142" w:right="1440" w:bottom="0" w:gutter="0" w:footer="0" w:header="0"/>
        </w:sectPr>
      </w:pPr>
    </w:p>
    <w:bookmarkStart w:id="7" w:name="page8"/>
    <w:bookmarkEnd w:id="7"/>
    <w:p>
      <w:pPr>
        <w:ind w:right="2739"/>
        <w:spacing w:after="0" w:line="236" w:lineRule="auto"/>
        <w:rPr>
          <w:sz w:val="20"/>
          <w:szCs w:val="20"/>
          <w:color w:val="auto"/>
        </w:rPr>
      </w:pPr>
      <w:r>
        <w:rPr>
          <w:rFonts w:ascii="Courier New" w:cs="Courier New" w:eastAsia="Courier New" w:hAnsi="Courier New"/>
          <w:sz w:val="18"/>
          <w:szCs w:val="18"/>
          <w:color w:val="auto"/>
        </w:rPr>
        <w:t>there are substantial failures to achieve these cost savings, cash flow and the servicing of debt related to that acquisition could also be reduced.</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We face greater challenges in managing several brands in multiple channels of distribution.</w:t>
      </w:r>
    </w:p>
    <w:p>
      <w:pPr>
        <w:spacing w:after="0" w:line="208" w:lineRule="exact"/>
        <w:rPr>
          <w:sz w:val="20"/>
          <w:szCs w:val="20"/>
          <w:color w:val="auto"/>
        </w:rPr>
      </w:pPr>
    </w:p>
    <w:p>
      <w:pPr>
        <w:ind w:right="2419" w:firstLine="843"/>
        <w:spacing w:after="0" w:line="270" w:lineRule="auto"/>
        <w:rPr>
          <w:sz w:val="20"/>
          <w:szCs w:val="20"/>
          <w:color w:val="auto"/>
        </w:rPr>
      </w:pPr>
      <w:r>
        <w:rPr>
          <w:rFonts w:ascii="Courier New" w:cs="Courier New" w:eastAsia="Courier New" w:hAnsi="Courier New"/>
          <w:sz w:val="16"/>
          <w:szCs w:val="16"/>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including advertising and promotion, and the servicing and merchandising of private label merchandise. Under our current operating model, this function is mostly the responsibility of the branded manufacturer.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389"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A reduction in the size of our target market and shifts in customer purchasing habits will adversely affect our sales.</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more and more food retailers begin to compete on the basis of providing more healthy menus, and American popular culture becomes more health conscious, the size of our target demographic could decrease, resulting in lower sales. In addition, recent statistics have shown that the overall levels of the men's apparel sales have been decreasing, in part due to a lesser percentage of men's apparel being bought by women. If this trend continues and we are unable to adjust our business model to reflect the trend, our results of operations and cash flow will be impacted.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Corporate Structure and Stock</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stock price has been and may continue to be extremely volatile due to many factors.</w:t>
      </w:r>
    </w:p>
    <w:p>
      <w:pPr>
        <w:spacing w:after="0" w:line="208"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market price of our common stock has fluctuated in the past and may increase or decrease rapidly in the future depending on news announcements and changes in general market conditions. Between January 31, 2003 and April 1, 2004, the closing price of our common stock</w:t>
      </w:r>
    </w:p>
    <w:p>
      <w:pPr>
        <w:spacing w:after="0" w:line="5"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ranged from a low of $1.95 per share to a high of $10.56 per share. The following factors, among others, may cause significant fluctuations in our stock price:</w:t>
      </w:r>
    </w:p>
    <w:p>
      <w:pPr>
        <w:spacing w:after="0" w:line="209" w:lineRule="exact"/>
        <w:rPr>
          <w:sz w:val="20"/>
          <w:szCs w:val="20"/>
          <w:color w:val="auto"/>
        </w:rPr>
      </w:pPr>
    </w:p>
    <w:p>
      <w:pPr>
        <w:ind w:right="357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news announcements regarding quarterly or annual results of operations;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monthly comparable store sales;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acquisitions;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competitive developments;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litigation affecting us; or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market views as to the prospects of the retail industry generally.</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Rights of our stockholders may be negatively affected if we issue any of the shares of preferred stock which our Board of Directors has authorized for issuance.</w:t>
      </w:r>
    </w:p>
    <w:p>
      <w:pPr>
        <w:spacing w:after="0" w:line="209"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We have available for issuance 1,000,000 shares of preferred stock, par value $.01 per share. Our Board of Directors is authorized to issue any or all of this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212"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State laws and our certificate of incorporation may inhibit potential acquisition bids that could be beneficial to our stockholders.</w:t>
      </w:r>
    </w:p>
    <w:p>
      <w:pPr>
        <w:spacing w:after="0" w:line="170" w:lineRule="exact"/>
        <w:rPr>
          <w:sz w:val="20"/>
          <w:szCs w:val="20"/>
          <w:color w:val="auto"/>
        </w:rPr>
      </w:pPr>
    </w:p>
    <w:p>
      <w:pPr>
        <w:ind w:right="2519" w:firstLine="843"/>
        <w:spacing w:after="0" w:line="273" w:lineRule="auto"/>
        <w:rPr>
          <w:sz w:val="20"/>
          <w:szCs w:val="20"/>
          <w:color w:val="auto"/>
        </w:rPr>
      </w:pPr>
      <w:r>
        <w:rPr>
          <w:rFonts w:ascii="Courier New" w:cs="Courier New" w:eastAsia="Courier New" w:hAnsi="Courier New"/>
          <w:sz w:val="16"/>
          <w:szCs w:val="16"/>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w:t>
      </w:r>
    </w:p>
    <w:p>
      <w:pPr>
        <w:sectPr>
          <w:pgSz w:w="11900" w:h="16838" w:orient="portrait"/>
          <w:cols w:equalWidth="0" w:num="1">
            <w:col w:w="10219"/>
          </w:cols>
          <w:pgMar w:left="240" w:top="142" w:right="1440" w:bottom="0" w:gutter="0" w:footer="0" w:header="0"/>
        </w:sectPr>
      </w:pPr>
    </w:p>
    <w:bookmarkStart w:id="8" w:name="page9"/>
    <w:bookmarkEnd w:id="8"/>
    <w:p>
      <w:pPr>
        <w:ind w:right="2519"/>
        <w:spacing w:after="0" w:line="237" w:lineRule="auto"/>
        <w:rPr>
          <w:sz w:val="20"/>
          <w:szCs w:val="20"/>
          <w:color w:val="auto"/>
        </w:rPr>
      </w:pPr>
      <w:r>
        <w:rPr>
          <w:rFonts w:ascii="Courier New" w:cs="Courier New" w:eastAsia="Courier New" w:hAnsi="Courier New"/>
          <w:sz w:val="18"/>
          <w:szCs w:val="18"/>
          <w:color w:val="auto"/>
        </w:rPr>
        <w:t>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1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Conversion of the Company's convertible notes could result in dilution to holders of our common stock.</w:t>
      </w:r>
    </w:p>
    <w:p>
      <w:pPr>
        <w:spacing w:after="0" w:line="208" w:lineRule="exact"/>
        <w:rPr>
          <w:sz w:val="20"/>
          <w:szCs w:val="20"/>
          <w:color w:val="auto"/>
        </w:rPr>
      </w:pPr>
    </w:p>
    <w:p>
      <w:pPr>
        <w:ind w:right="2739" w:firstLine="843"/>
        <w:spacing w:after="0" w:line="271" w:lineRule="auto"/>
        <w:rPr>
          <w:sz w:val="20"/>
          <w:szCs w:val="20"/>
          <w:color w:val="auto"/>
        </w:rPr>
      </w:pPr>
      <w:r>
        <w:rPr>
          <w:rFonts w:ascii="Courier New" w:cs="Courier New" w:eastAsia="Courier New" w:hAnsi="Courier New"/>
          <w:sz w:val="16"/>
          <w:szCs w:val="16"/>
          <w:color w:val="auto"/>
        </w:rPr>
        <w:t>If the holders of the Company's convertible notes due 2024 convert such notes, we would be required to issue to such holders approximately 9.39 million additional shares of common stock, which would result in dilution to holders of our common stock. Additionally, the impact of the 9.39 million additional shares of common stock would not have an impact to historical earnings per share of the Company because the conversion of such shares would have been anti-dilutive.</w:t>
      </w:r>
    </w:p>
    <w:p>
      <w:pPr>
        <w:spacing w:after="0" w:line="18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Substantial leverage and debt service obligations may adversely affect our cash flow.</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At January 31, 2004, we had approximately $122.4 million of long-term indebtedness. We may be unable to generate cash sufficient to pay the principal of, interest on and other amounts due in respect of our indebtedness when due. We may also obtain additional long-term debt, working capital lines of credit and lease lines and borrow additional amounts under our existing credit facility.</w:t>
      </w:r>
    </w:p>
    <w:p>
      <w:pPr>
        <w:spacing w:after="0" w:line="210" w:lineRule="exact"/>
        <w:rPr>
          <w:sz w:val="20"/>
          <w:szCs w:val="20"/>
          <w:color w:val="auto"/>
        </w:rPr>
      </w:pPr>
    </w:p>
    <w:p>
      <w:pPr>
        <w:ind w:right="3459" w:firstLine="843"/>
        <w:spacing w:after="0" w:line="235" w:lineRule="auto"/>
        <w:rPr>
          <w:sz w:val="20"/>
          <w:szCs w:val="20"/>
          <w:color w:val="auto"/>
        </w:rPr>
      </w:pPr>
      <w:r>
        <w:rPr>
          <w:rFonts w:ascii="Courier New" w:cs="Courier New" w:eastAsia="Courier New" w:hAnsi="Courier New"/>
          <w:sz w:val="18"/>
          <w:szCs w:val="18"/>
          <w:color w:val="auto"/>
        </w:rPr>
        <w:t>Our substantial leverage could have significant negative consequences, including:</w:t>
      </w:r>
    </w:p>
    <w:p>
      <w:pPr>
        <w:spacing w:after="0" w:line="208" w:lineRule="exact"/>
        <w:rPr>
          <w:sz w:val="20"/>
          <w:szCs w:val="20"/>
          <w:color w:val="auto"/>
        </w:rPr>
      </w:pPr>
    </w:p>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increasing our vulnerability to general adverse economic and industry conditions;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limiting our ability to obtain additional financing;</w:t>
      </w:r>
    </w:p>
    <w:p>
      <w:pPr>
        <w:spacing w:after="0" w:line="206" w:lineRule="exact"/>
        <w:rPr>
          <w:rFonts w:ascii="Courier New" w:cs="Courier New" w:eastAsia="Courier New" w:hAnsi="Courier New"/>
          <w:sz w:val="18"/>
          <w:szCs w:val="18"/>
          <w:color w:val="auto"/>
        </w:rPr>
      </w:pPr>
    </w:p>
    <w:p>
      <w:pPr>
        <w:ind w:right="2619" w:firstLine="8"/>
        <w:spacing w:after="0" w:line="237"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requiring the dedication of a portion of our expected cash flow from operations to service our indebtedness, thereby reducing the amount of our expected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right="26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limiting our flexibility in planning for, or reacting to, changes in our business and the industry in which we compete; and</w:t>
      </w:r>
    </w:p>
    <w:p>
      <w:pPr>
        <w:spacing w:after="0" w:line="208" w:lineRule="exact"/>
        <w:rPr>
          <w:rFonts w:ascii="Courier New" w:cs="Courier New" w:eastAsia="Courier New" w:hAnsi="Courier New"/>
          <w:sz w:val="18"/>
          <w:szCs w:val="18"/>
          <w:color w:val="auto"/>
        </w:rPr>
      </w:pPr>
    </w:p>
    <w:p>
      <w:pPr>
        <w:ind w:right="283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placing us at a possible competitive disadvantage relative to less leveraged competitors and competitors that have better access to capital resources.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78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2019-12-11T20:56:57Z</dcterms:created>
  <dcterms:modified xsi:type="dcterms:W3CDTF">2019-12-11T20:56:57Z</dcterms:modified>
</cp:coreProperties>
</file>