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1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154305</wp:posOffset>
            </wp:positionV>
            <wp:extent cx="1453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179705</wp:posOffset>
            </wp:positionV>
            <wp:extent cx="1453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Report Pursuant to Section 13 or 15(d)</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August 1, 2015</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168275</wp:posOffset>
            </wp:positionV>
            <wp:extent cx="1453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42"/>
          <w:szCs w:val="42"/>
          <w:b w:val="1"/>
          <w:bCs w:val="1"/>
          <w:color w:val="auto"/>
        </w:rPr>
        <w:t>DESTINATION XL GROUP,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163830</wp:posOffset>
            </wp:positionV>
            <wp:extent cx="145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2880" w:type="dxa"/>
            <w:vAlign w:val="bottom"/>
          </w:tcPr>
          <w:p>
            <w:pPr>
              <w:jc w:val="center"/>
              <w:ind w:right="344"/>
              <w:spacing w:after="0"/>
              <w:rPr>
                <w:sz w:val="20"/>
                <w:szCs w:val="20"/>
                <w:color w:val="auto"/>
              </w:rPr>
            </w:pPr>
            <w:r>
              <w:rPr>
                <w:rFonts w:ascii="Arial" w:cs="Arial" w:eastAsia="Arial" w:hAnsi="Arial"/>
                <w:sz w:val="17"/>
                <w:szCs w:val="17"/>
                <w:b w:val="1"/>
                <w:bCs w:val="1"/>
                <w:color w:val="auto"/>
                <w:w w:val="93"/>
              </w:rPr>
              <w:t>Delaware</w:t>
            </w:r>
          </w:p>
        </w:tc>
        <w:tc>
          <w:tcPr>
            <w:tcW w:w="4700" w:type="dxa"/>
            <w:vAlign w:val="bottom"/>
          </w:tcPr>
          <w:p>
            <w:pPr>
              <w:jc w:val="right"/>
              <w:ind w:right="64"/>
              <w:spacing w:after="0"/>
              <w:rPr>
                <w:sz w:val="20"/>
                <w:szCs w:val="20"/>
                <w:color w:val="auto"/>
              </w:rPr>
            </w:pPr>
            <w:r>
              <w:rPr>
                <w:rFonts w:ascii="Arial" w:cs="Arial" w:eastAsia="Arial" w:hAnsi="Arial"/>
                <w:sz w:val="17"/>
                <w:szCs w:val="17"/>
                <w:b w:val="1"/>
                <w:bCs w:val="1"/>
                <w:color w:val="auto"/>
              </w:rPr>
              <w:t>04-2623104</w:t>
            </w:r>
          </w:p>
        </w:tc>
      </w:tr>
      <w:tr>
        <w:trPr>
          <w:trHeight w:val="143"/>
        </w:trPr>
        <w:tc>
          <w:tcPr>
            <w:tcW w:w="2880" w:type="dxa"/>
            <w:vAlign w:val="bottom"/>
          </w:tcPr>
          <w:p>
            <w:pPr>
              <w:jc w:val="center"/>
              <w:ind w:right="344"/>
              <w:spacing w:after="0" w:line="143" w:lineRule="exact"/>
              <w:rPr>
                <w:sz w:val="20"/>
                <w:szCs w:val="20"/>
                <w:color w:val="auto"/>
              </w:rPr>
            </w:pPr>
            <w:r>
              <w:rPr>
                <w:rFonts w:ascii="Arial" w:cs="Arial" w:eastAsia="Arial" w:hAnsi="Arial"/>
                <w:sz w:val="14"/>
                <w:szCs w:val="14"/>
                <w:b w:val="1"/>
                <w:bCs w:val="1"/>
                <w:color w:val="auto"/>
                <w:w w:val="90"/>
              </w:rPr>
              <w:t>(State or other jurisdiction of</w:t>
            </w:r>
          </w:p>
        </w:tc>
        <w:tc>
          <w:tcPr>
            <w:tcW w:w="4700" w:type="dxa"/>
            <w:vAlign w:val="bottom"/>
          </w:tcPr>
          <w:p>
            <w:pPr>
              <w:jc w:val="center"/>
              <w:ind w:left="3524"/>
              <w:spacing w:after="0" w:line="143" w:lineRule="exact"/>
              <w:rPr>
                <w:sz w:val="20"/>
                <w:szCs w:val="20"/>
                <w:color w:val="auto"/>
              </w:rPr>
            </w:pPr>
            <w:r>
              <w:rPr>
                <w:rFonts w:ascii="Arial" w:cs="Arial" w:eastAsia="Arial" w:hAnsi="Arial"/>
                <w:sz w:val="14"/>
                <w:szCs w:val="14"/>
                <w:b w:val="1"/>
                <w:bCs w:val="1"/>
                <w:color w:val="auto"/>
                <w:w w:val="94"/>
              </w:rPr>
              <w:t>(IRS Employer</w:t>
            </w:r>
          </w:p>
        </w:tc>
      </w:tr>
      <w:tr>
        <w:trPr>
          <w:trHeight w:val="180"/>
        </w:trPr>
        <w:tc>
          <w:tcPr>
            <w:tcW w:w="2880" w:type="dxa"/>
            <w:vAlign w:val="bottom"/>
          </w:tcPr>
          <w:p>
            <w:pPr>
              <w:jc w:val="center"/>
              <w:ind w:right="344"/>
              <w:spacing w:after="0"/>
              <w:rPr>
                <w:sz w:val="20"/>
                <w:szCs w:val="20"/>
                <w:color w:val="auto"/>
              </w:rPr>
            </w:pPr>
            <w:r>
              <w:rPr>
                <w:rFonts w:ascii="Arial" w:cs="Arial" w:eastAsia="Arial" w:hAnsi="Arial"/>
                <w:sz w:val="14"/>
                <w:szCs w:val="14"/>
                <w:b w:val="1"/>
                <w:bCs w:val="1"/>
                <w:color w:val="auto"/>
                <w:w w:val="91"/>
              </w:rPr>
              <w:t>incorporation or organization)</w:t>
            </w:r>
          </w:p>
        </w:tc>
        <w:tc>
          <w:tcPr>
            <w:tcW w:w="4700" w:type="dxa"/>
            <w:vAlign w:val="bottom"/>
          </w:tcPr>
          <w:p>
            <w:pPr>
              <w:jc w:val="center"/>
              <w:ind w:left="3524"/>
              <w:spacing w:after="0"/>
              <w:rPr>
                <w:sz w:val="20"/>
                <w:szCs w:val="20"/>
                <w:color w:val="auto"/>
              </w:rPr>
            </w:pPr>
            <w:r>
              <w:rPr>
                <w:rFonts w:ascii="Arial" w:cs="Arial" w:eastAsia="Arial" w:hAnsi="Arial"/>
                <w:sz w:val="14"/>
                <w:szCs w:val="14"/>
                <w:b w:val="1"/>
                <w:bCs w:val="1"/>
                <w:color w:val="auto"/>
                <w:w w:val="92"/>
              </w:rPr>
              <w:t>Identification No.)</w:t>
            </w:r>
          </w:p>
        </w:tc>
      </w:tr>
      <w:tr>
        <w:trPr>
          <w:trHeight w:val="380"/>
        </w:trPr>
        <w:tc>
          <w:tcPr>
            <w:tcW w:w="2880" w:type="dxa"/>
            <w:vAlign w:val="bottom"/>
          </w:tcPr>
          <w:p>
            <w:pPr>
              <w:jc w:val="center"/>
              <w:ind w:right="324"/>
              <w:spacing w:after="0"/>
              <w:rPr>
                <w:sz w:val="20"/>
                <w:szCs w:val="20"/>
                <w:color w:val="auto"/>
              </w:rPr>
            </w:pPr>
            <w:r>
              <w:rPr>
                <w:rFonts w:ascii="Arial" w:cs="Arial" w:eastAsia="Arial" w:hAnsi="Arial"/>
                <w:sz w:val="17"/>
                <w:szCs w:val="17"/>
                <w:b w:val="1"/>
                <w:bCs w:val="1"/>
                <w:color w:val="auto"/>
                <w:w w:val="94"/>
              </w:rPr>
              <w:t>555 Turnpike Street, Canton, MA</w:t>
            </w:r>
          </w:p>
        </w:tc>
        <w:tc>
          <w:tcPr>
            <w:tcW w:w="4700" w:type="dxa"/>
            <w:vAlign w:val="bottom"/>
          </w:tcPr>
          <w:p>
            <w:pPr>
              <w:jc w:val="right"/>
              <w:ind w:right="264"/>
              <w:spacing w:after="0"/>
              <w:rPr>
                <w:sz w:val="20"/>
                <w:szCs w:val="20"/>
                <w:color w:val="auto"/>
              </w:rPr>
            </w:pPr>
            <w:r>
              <w:rPr>
                <w:rFonts w:ascii="Arial" w:cs="Arial" w:eastAsia="Arial" w:hAnsi="Arial"/>
                <w:sz w:val="17"/>
                <w:szCs w:val="17"/>
                <w:b w:val="1"/>
                <w:bCs w:val="1"/>
                <w:color w:val="auto"/>
              </w:rPr>
              <w:t>02021</w:t>
            </w:r>
          </w:p>
        </w:tc>
      </w:tr>
      <w:tr>
        <w:trPr>
          <w:trHeight w:val="180"/>
        </w:trPr>
        <w:tc>
          <w:tcPr>
            <w:tcW w:w="2880" w:type="dxa"/>
            <w:vAlign w:val="bottom"/>
          </w:tcPr>
          <w:p>
            <w:pPr>
              <w:jc w:val="center"/>
              <w:ind w:right="34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700" w:type="dxa"/>
            <w:vAlign w:val="bottom"/>
          </w:tcPr>
          <w:p>
            <w:pPr>
              <w:jc w:val="center"/>
              <w:ind w:left="3504"/>
              <w:spacing w:after="0"/>
              <w:rPr>
                <w:sz w:val="20"/>
                <w:szCs w:val="20"/>
                <w:color w:val="auto"/>
              </w:rPr>
            </w:pPr>
            <w:r>
              <w:rPr>
                <w:rFonts w:ascii="Arial" w:cs="Arial" w:eastAsia="Arial" w:hAnsi="Arial"/>
                <w:sz w:val="14"/>
                <w:szCs w:val="14"/>
                <w:b w:val="1"/>
                <w:bCs w:val="1"/>
                <w:color w:val="auto"/>
                <w:w w:val="92"/>
              </w:rPr>
              <w:t>(Zip Code)</w:t>
            </w:r>
          </w:p>
        </w:tc>
      </w:tr>
      <w:tr>
        <w:trPr>
          <w:trHeight w:val="380"/>
        </w:trPr>
        <w:tc>
          <w:tcPr>
            <w:tcW w:w="2880" w:type="dxa"/>
            <w:vAlign w:val="bottom"/>
          </w:tcPr>
          <w:p>
            <w:pPr>
              <w:spacing w:after="0"/>
              <w:rPr>
                <w:sz w:val="24"/>
                <w:szCs w:val="24"/>
                <w:color w:val="auto"/>
              </w:rPr>
            </w:pPr>
          </w:p>
        </w:tc>
        <w:tc>
          <w:tcPr>
            <w:tcW w:w="4700" w:type="dxa"/>
            <w:vAlign w:val="bottom"/>
          </w:tcPr>
          <w:p>
            <w:pPr>
              <w:jc w:val="center"/>
              <w:ind w:right="2104"/>
              <w:spacing w:after="0"/>
              <w:rPr>
                <w:sz w:val="20"/>
                <w:szCs w:val="20"/>
                <w:color w:val="auto"/>
              </w:rPr>
            </w:pPr>
            <w:r>
              <w:rPr>
                <w:rFonts w:ascii="Arial" w:cs="Arial" w:eastAsia="Arial" w:hAnsi="Arial"/>
                <w:sz w:val="17"/>
                <w:szCs w:val="17"/>
                <w:b w:val="1"/>
                <w:bCs w:val="1"/>
                <w:color w:val="auto"/>
                <w:w w:val="92"/>
              </w:rPr>
              <w:t>(781) 828-9300</w:t>
            </w:r>
          </w:p>
        </w:tc>
      </w:tr>
      <w:tr>
        <w:trPr>
          <w:trHeight w:val="143"/>
        </w:trPr>
        <w:tc>
          <w:tcPr>
            <w:tcW w:w="2880" w:type="dxa"/>
            <w:vAlign w:val="bottom"/>
          </w:tcPr>
          <w:p>
            <w:pPr>
              <w:spacing w:after="0"/>
              <w:rPr>
                <w:sz w:val="12"/>
                <w:szCs w:val="12"/>
                <w:color w:val="auto"/>
              </w:rPr>
            </w:pPr>
          </w:p>
        </w:tc>
        <w:tc>
          <w:tcPr>
            <w:tcW w:w="4700" w:type="dxa"/>
            <w:vAlign w:val="bottom"/>
          </w:tcPr>
          <w:p>
            <w:pPr>
              <w:jc w:val="center"/>
              <w:ind w:right="2124"/>
              <w:spacing w:after="0" w:line="143" w:lineRule="exact"/>
              <w:rPr>
                <w:sz w:val="20"/>
                <w:szCs w:val="20"/>
                <w:color w:val="auto"/>
              </w:rPr>
            </w:pPr>
            <w:r>
              <w:rPr>
                <w:rFonts w:ascii="Arial" w:cs="Arial" w:eastAsia="Arial" w:hAnsi="Arial"/>
                <w:sz w:val="14"/>
                <w:szCs w:val="14"/>
                <w:b w:val="1"/>
                <w:bCs w:val="1"/>
                <w:color w:val="auto"/>
                <w:w w:val="88"/>
              </w:rPr>
              <w:t>(Registrant’s telephone</w:t>
            </w:r>
          </w:p>
        </w:tc>
      </w:tr>
      <w:tr>
        <w:trPr>
          <w:trHeight w:val="180"/>
        </w:trPr>
        <w:tc>
          <w:tcPr>
            <w:tcW w:w="2880" w:type="dxa"/>
            <w:vAlign w:val="bottom"/>
          </w:tcPr>
          <w:p>
            <w:pPr>
              <w:spacing w:after="0"/>
              <w:rPr>
                <w:sz w:val="15"/>
                <w:szCs w:val="15"/>
                <w:color w:val="auto"/>
              </w:rPr>
            </w:pPr>
          </w:p>
        </w:tc>
        <w:tc>
          <w:tcPr>
            <w:tcW w:w="4700" w:type="dxa"/>
            <w:vAlign w:val="bottom"/>
          </w:tcPr>
          <w:p>
            <w:pPr>
              <w:jc w:val="center"/>
              <w:ind w:right="2104"/>
              <w:spacing w:after="0"/>
              <w:rPr>
                <w:sz w:val="20"/>
                <w:szCs w:val="20"/>
                <w:color w:val="auto"/>
              </w:rPr>
            </w:pPr>
            <w:r>
              <w:rPr>
                <w:rFonts w:ascii="Arial" w:cs="Arial" w:eastAsia="Arial" w:hAnsi="Arial"/>
                <w:sz w:val="14"/>
                <w:szCs w:val="14"/>
                <w:b w:val="1"/>
                <w:bCs w:val="1"/>
                <w:color w:val="auto"/>
                <w:w w:val="88"/>
              </w:rPr>
              <w:t>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147955</wp:posOffset>
            </wp:positionV>
            <wp:extent cx="145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both"/>
        <w:ind w:right="4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0" w:lineRule="exact"/>
        <w:rPr>
          <w:sz w:val="24"/>
          <w:szCs w:val="24"/>
          <w:color w:val="auto"/>
        </w:rPr>
      </w:pPr>
    </w:p>
    <w:p>
      <w:pPr>
        <w:ind w:right="30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0" w:lineRule="exact"/>
        <w:rPr>
          <w:sz w:val="24"/>
          <w:szCs w:val="24"/>
          <w:color w:val="auto"/>
        </w:rPr>
      </w:pPr>
    </w:p>
    <w:p>
      <w:pPr>
        <w:ind w:right="620"/>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20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9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2620" w:type="dxa"/>
            <w:vAlign w:val="bottom"/>
          </w:tcPr>
          <w:p>
            <w:pPr>
              <w:ind w:left="140"/>
              <w:spacing w:after="0"/>
              <w:rPr>
                <w:sz w:val="20"/>
                <w:szCs w:val="20"/>
                <w:color w:val="auto"/>
              </w:rPr>
            </w:pPr>
            <w:r>
              <w:rPr>
                <w:rFonts w:ascii="Arial" w:cs="Arial" w:eastAsia="Arial" w:hAnsi="Arial"/>
                <w:sz w:val="17"/>
                <w:szCs w:val="17"/>
                <w:color w:val="auto"/>
              </w:rPr>
              <w:t>Accelerated filer</w:t>
            </w:r>
          </w:p>
        </w:tc>
        <w:tc>
          <w:tcPr>
            <w:tcW w:w="8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rPr>
              <w:t>☒</w:t>
            </w:r>
          </w:p>
        </w:tc>
        <w:tc>
          <w:tcPr>
            <w:tcW w:w="20" w:type="dxa"/>
            <w:vAlign w:val="bottom"/>
          </w:tcPr>
          <w:p>
            <w:pPr>
              <w:spacing w:after="0"/>
              <w:rPr>
                <w:sz w:val="23"/>
                <w:szCs w:val="23"/>
                <w:color w:val="auto"/>
              </w:rPr>
            </w:pPr>
          </w:p>
        </w:tc>
      </w:tr>
      <w:tr>
        <w:trPr>
          <w:trHeight w:val="325"/>
        </w:trPr>
        <w:tc>
          <w:tcPr>
            <w:tcW w:w="2040" w:type="dxa"/>
            <w:vAlign w:val="bottom"/>
          </w:tcPr>
          <w:p>
            <w:pPr>
              <w:spacing w:after="0"/>
              <w:rPr>
                <w:sz w:val="20"/>
                <w:szCs w:val="20"/>
                <w:color w:val="auto"/>
              </w:rPr>
            </w:pPr>
            <w:r>
              <w:rPr>
                <w:rFonts w:ascii="Arial" w:cs="Arial" w:eastAsia="Arial" w:hAnsi="Arial"/>
                <w:sz w:val="17"/>
                <w:szCs w:val="17"/>
                <w:color w:val="auto"/>
              </w:rPr>
              <w:t>Non-accelerated filer</w:t>
            </w:r>
          </w:p>
        </w:tc>
        <w:tc>
          <w:tcPr>
            <w:tcW w:w="5920" w:type="dxa"/>
            <w:vAlign w:val="bottom"/>
          </w:tcPr>
          <w:p>
            <w:pPr>
              <w:ind w:left="4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2620" w:type="dxa"/>
            <w:vAlign w:val="bottom"/>
          </w:tcPr>
          <w:p>
            <w:pPr>
              <w:ind w:left="140"/>
              <w:spacing w:after="0"/>
              <w:rPr>
                <w:sz w:val="20"/>
                <w:szCs w:val="20"/>
                <w:color w:val="auto"/>
              </w:rPr>
            </w:pPr>
            <w:r>
              <w:rPr>
                <w:rFonts w:ascii="Arial" w:cs="Arial" w:eastAsia="Arial" w:hAnsi="Arial"/>
                <w:sz w:val="17"/>
                <w:szCs w:val="17"/>
                <w:color w:val="auto"/>
              </w:rPr>
              <w:t>Smaller reporting company</w:t>
            </w:r>
          </w:p>
        </w:tc>
        <w:tc>
          <w:tcPr>
            <w:tcW w:w="8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rPr>
              <w:t>☐</w:t>
            </w:r>
          </w:p>
        </w:tc>
        <w:tc>
          <w:tcPr>
            <w:tcW w:w="20" w:type="dxa"/>
            <w:vAlign w:val="bottom"/>
          </w:tcPr>
          <w:p>
            <w:pPr>
              <w:spacing w:after="0"/>
              <w:rPr>
                <w:sz w:val="24"/>
                <w:szCs w:val="24"/>
                <w:color w:val="auto"/>
              </w:rPr>
            </w:pPr>
          </w:p>
        </w:tc>
      </w:tr>
      <w:tr>
        <w:trPr>
          <w:trHeight w:val="416"/>
        </w:trPr>
        <w:tc>
          <w:tcPr>
            <w:tcW w:w="7960" w:type="dxa"/>
            <w:vAlign w:val="bottom"/>
            <w:gridSpan w:val="2"/>
          </w:tcPr>
          <w:p>
            <w:pPr>
              <w:spacing w:after="0"/>
              <w:rPr>
                <w:sz w:val="20"/>
                <w:szCs w:val="20"/>
                <w:color w:val="auto"/>
              </w:rPr>
            </w:pPr>
            <w:r>
              <w:rPr>
                <w:rFonts w:ascii="Arial" w:cs="Arial" w:eastAsia="Arial" w:hAnsi="Arial"/>
                <w:sz w:val="17"/>
                <w:szCs w:val="17"/>
                <w:color w:val="auto"/>
                <w:w w:val="93"/>
              </w:rPr>
              <w:t>Indicate by check mark whether the registrant is a shell company (as defined in Rule 12b-2 of the Exchange Act).</w:t>
            </w:r>
          </w:p>
        </w:tc>
        <w:tc>
          <w:tcPr>
            <w:tcW w:w="2620" w:type="dxa"/>
            <w:vAlign w:val="bottom"/>
          </w:tcPr>
          <w:p>
            <w:pPr>
              <w:ind w:left="8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7960" w:type="dxa"/>
            <w:vAlign w:val="bottom"/>
            <w:gridSpan w:val="2"/>
          </w:tcPr>
          <w:p>
            <w:pPr>
              <w:spacing w:after="0"/>
              <w:rPr>
                <w:sz w:val="20"/>
                <w:szCs w:val="20"/>
                <w:color w:val="auto"/>
              </w:rPr>
            </w:pPr>
            <w:r>
              <w:rPr>
                <w:rFonts w:ascii="Arial" w:cs="Arial" w:eastAsia="Arial" w:hAnsi="Arial"/>
                <w:sz w:val="17"/>
                <w:szCs w:val="17"/>
                <w:color w:val="auto"/>
                <w:w w:val="98"/>
              </w:rPr>
              <w:t>The number of shares of the registrant’s common stock outstanding as of August 20, 2015 was 50,779,298.</w:t>
            </w:r>
          </w:p>
        </w:tc>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3"/>
        </w:trPr>
        <w:tc>
          <w:tcPr>
            <w:tcW w:w="20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59" w:right="21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PART I. FINANCIAL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DESTINATION XL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color w:val="auto"/>
                <w:w w:val="99"/>
              </w:rPr>
              <w:t>August 1, 2015</w:t>
            </w:r>
          </w:p>
        </w:tc>
        <w:tc>
          <w:tcPr>
            <w:tcW w:w="1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w w:val="94"/>
              </w:rPr>
              <w:t>January 31, 2015</w:t>
            </w:r>
          </w:p>
        </w:tc>
      </w:tr>
      <w:tr>
        <w:trPr>
          <w:trHeight w:val="162"/>
        </w:trPr>
        <w:tc>
          <w:tcPr>
            <w:tcW w:w="5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2015)</w:t>
            </w:r>
          </w:p>
        </w:tc>
        <w:tc>
          <w:tcPr>
            <w:tcW w:w="16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2014)</w:t>
            </w:r>
          </w:p>
        </w:tc>
      </w:tr>
      <w:tr>
        <w:trPr>
          <w:trHeight w:val="149"/>
        </w:trPr>
        <w:tc>
          <w:tcPr>
            <w:tcW w:w="5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ASSETS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2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4,586</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Accounts receivable</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3,619</w:t>
            </w: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Inventories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123,568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115,220</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2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10,073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8,913</w:t>
            </w:r>
          </w:p>
        </w:tc>
        <w:tc>
          <w:tcPr>
            <w:tcW w:w="80" w:type="dxa"/>
            <w:vAlign w:val="bottom"/>
            <w:tcBorders>
              <w:bottom w:val="single" w:sz="8" w:color="CFF0FC"/>
            </w:tcBorders>
          </w:tcPr>
          <w:p>
            <w:pPr>
              <w:spacing w:after="0"/>
              <w:rPr>
                <w:sz w:val="19"/>
                <w:szCs w:val="19"/>
                <w:color w:val="auto"/>
              </w:rPr>
            </w:pPr>
          </w:p>
        </w:tc>
      </w:tr>
      <w:tr>
        <w:trPr>
          <w:trHeight w:val="214"/>
        </w:trPr>
        <w:tc>
          <w:tcPr>
            <w:tcW w:w="592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current assets</w:t>
            </w:r>
          </w:p>
        </w:tc>
        <w:tc>
          <w:tcPr>
            <w:tcW w:w="2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144,254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132,338</w:t>
            </w:r>
          </w:p>
        </w:tc>
        <w:tc>
          <w:tcPr>
            <w:tcW w:w="80" w:type="dxa"/>
            <w:vAlign w:val="bottom"/>
            <w:shd w:val="clear" w:color="auto" w:fill="CFF0FC"/>
          </w:tcPr>
          <w:p>
            <w:pPr>
              <w:spacing w:after="0"/>
              <w:rPr>
                <w:sz w:val="18"/>
                <w:szCs w:val="18"/>
                <w:color w:val="auto"/>
              </w:rPr>
            </w:pPr>
          </w:p>
        </w:tc>
      </w:tr>
      <w:tr>
        <w:trPr>
          <w:trHeight w:val="221"/>
        </w:trPr>
        <w:tc>
          <w:tcPr>
            <w:tcW w:w="5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Property and equipment, net of accumulated depreciation and amortization</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124,034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120,328</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Other assets: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Intangible assets</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3,308</w:t>
            </w: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assets</w:t>
            </w:r>
          </w:p>
        </w:tc>
        <w:tc>
          <w:tcPr>
            <w:tcW w:w="2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3,736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3,907</w:t>
            </w:r>
          </w:p>
        </w:tc>
        <w:tc>
          <w:tcPr>
            <w:tcW w:w="80" w:type="dxa"/>
            <w:vAlign w:val="bottom"/>
            <w:shd w:val="clear" w:color="auto" w:fill="CFF0FC"/>
          </w:tcPr>
          <w:p>
            <w:pPr>
              <w:spacing w:after="0"/>
              <w:rPr>
                <w:sz w:val="19"/>
                <w:szCs w:val="19"/>
                <w:color w:val="auto"/>
              </w:rPr>
            </w:pPr>
          </w:p>
        </w:tc>
      </w:tr>
      <w:tr>
        <w:trPr>
          <w:trHeight w:val="254"/>
        </w:trPr>
        <w:tc>
          <w:tcPr>
            <w:tcW w:w="5920" w:type="dxa"/>
            <w:vAlign w:val="bottom"/>
          </w:tcPr>
          <w:p>
            <w:pPr>
              <w:ind w:left="480"/>
              <w:spacing w:after="0"/>
              <w:rPr>
                <w:sz w:val="20"/>
                <w:szCs w:val="20"/>
                <w:color w:val="auto"/>
              </w:rPr>
            </w:pPr>
            <w:r>
              <w:rPr>
                <w:rFonts w:ascii="Arial" w:cs="Arial" w:eastAsia="Arial" w:hAnsi="Arial"/>
                <w:sz w:val="17"/>
                <w:szCs w:val="17"/>
                <w:color w:val="auto"/>
              </w:rPr>
              <w:t>Total assets</w:t>
            </w:r>
          </w:p>
        </w:tc>
        <w:tc>
          <w:tcPr>
            <w:tcW w:w="2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274,990</w:t>
            </w:r>
          </w:p>
        </w:tc>
        <w:tc>
          <w:tcPr>
            <w:tcW w:w="22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259,881</w:t>
            </w:r>
          </w:p>
        </w:tc>
        <w:tc>
          <w:tcPr>
            <w:tcW w:w="80" w:type="dxa"/>
            <w:vAlign w:val="bottom"/>
          </w:tcPr>
          <w:p>
            <w:pPr>
              <w:spacing w:after="0"/>
              <w:rPr>
                <w:sz w:val="22"/>
                <w:szCs w:val="22"/>
                <w:color w:val="auto"/>
              </w:rPr>
            </w:pPr>
          </w:p>
        </w:tc>
      </w:tr>
      <w:tr>
        <w:trPr>
          <w:trHeight w:val="200"/>
        </w:trPr>
        <w:tc>
          <w:tcPr>
            <w:tcW w:w="5920" w:type="dxa"/>
            <w:vAlign w:val="bottom"/>
            <w:tcBorders>
              <w:top w:val="single" w:sz="8" w:color="CFF0FC"/>
            </w:tcBorders>
            <w:shd w:val="clear" w:color="auto" w:fill="CFF0FC"/>
          </w:tcPr>
          <w:p>
            <w:pPr>
              <w:spacing w:after="0"/>
              <w:rPr>
                <w:sz w:val="17"/>
                <w:szCs w:val="17"/>
                <w:color w:val="auto"/>
              </w:rPr>
            </w:pPr>
          </w:p>
        </w:tc>
        <w:tc>
          <w:tcPr>
            <w:tcW w:w="2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LIABILITIES AND STOCKHOLDERS' EQUITY</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Current liabilities: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Current portion of long-term debt</w:t>
            </w:r>
          </w:p>
        </w:tc>
        <w:tc>
          <w:tcPr>
            <w:tcW w:w="2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7,435</w:t>
            </w: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7,335</w:t>
            </w: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portion of deferred gain on sale-leaseback</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1,465</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36,220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29,979</w:t>
            </w: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31,972</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Borrowings under credit facility</w:t>
            </w:r>
          </w:p>
        </w:tc>
        <w:tc>
          <w:tcPr>
            <w:tcW w:w="2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34,090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18,817</w:t>
            </w:r>
          </w:p>
        </w:tc>
        <w:tc>
          <w:tcPr>
            <w:tcW w:w="80" w:type="dxa"/>
            <w:vAlign w:val="bottom"/>
            <w:tcBorders>
              <w:bottom w:val="single" w:sz="8" w:color="CFF0FC"/>
            </w:tcBorders>
          </w:tcPr>
          <w:p>
            <w:pPr>
              <w:spacing w:after="0"/>
              <w:rPr>
                <w:sz w:val="19"/>
                <w:szCs w:val="19"/>
                <w:color w:val="auto"/>
              </w:rPr>
            </w:pPr>
          </w:p>
        </w:tc>
      </w:tr>
      <w:tr>
        <w:trPr>
          <w:trHeight w:val="214"/>
        </w:trPr>
        <w:tc>
          <w:tcPr>
            <w:tcW w:w="592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current liabilities</w:t>
            </w:r>
          </w:p>
        </w:tc>
        <w:tc>
          <w:tcPr>
            <w:tcW w:w="2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108,459</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89,568</w:t>
            </w:r>
          </w:p>
        </w:tc>
        <w:tc>
          <w:tcPr>
            <w:tcW w:w="80" w:type="dxa"/>
            <w:vAlign w:val="bottom"/>
            <w:shd w:val="clear" w:color="auto" w:fill="CFF0FC"/>
          </w:tcPr>
          <w:p>
            <w:pPr>
              <w:spacing w:after="0"/>
              <w:rPr>
                <w:sz w:val="18"/>
                <w:szCs w:val="18"/>
                <w:color w:val="auto"/>
              </w:rPr>
            </w:pPr>
          </w:p>
        </w:tc>
      </w:tr>
      <w:tr>
        <w:trPr>
          <w:trHeight w:val="214"/>
        </w:trPr>
        <w:tc>
          <w:tcPr>
            <w:tcW w:w="5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Long-term liabilities: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Long-term debt, net of current portion</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22,397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26,171</w:t>
            </w: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rent and lease incentives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28,850</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Deferred gain on sale-leaseback, net of current portion</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13,922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14,654</w:t>
            </w: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tax liability</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Other long-term liabilities</w:t>
            </w:r>
          </w:p>
        </w:tc>
        <w:tc>
          <w:tcPr>
            <w:tcW w:w="2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8,157</w:t>
            </w:r>
          </w:p>
        </w:tc>
        <w:tc>
          <w:tcPr>
            <w:tcW w:w="80" w:type="dxa"/>
            <w:vAlign w:val="bottom"/>
            <w:tcBorders>
              <w:bottom w:val="single" w:sz="8" w:color="CFF0FC"/>
            </w:tcBorders>
          </w:tcPr>
          <w:p>
            <w:pPr>
              <w:spacing w:after="0"/>
              <w:rPr>
                <w:sz w:val="19"/>
                <w:szCs w:val="19"/>
                <w:color w:val="auto"/>
              </w:rPr>
            </w:pPr>
          </w:p>
        </w:tc>
      </w:tr>
      <w:tr>
        <w:trPr>
          <w:trHeight w:val="214"/>
        </w:trPr>
        <w:tc>
          <w:tcPr>
            <w:tcW w:w="592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long-term liabilities</w:t>
            </w:r>
          </w:p>
        </w:tc>
        <w:tc>
          <w:tcPr>
            <w:tcW w:w="2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73,705</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77,923</w:t>
            </w:r>
          </w:p>
        </w:tc>
        <w:tc>
          <w:tcPr>
            <w:tcW w:w="80" w:type="dxa"/>
            <w:vAlign w:val="bottom"/>
            <w:shd w:val="clear" w:color="auto" w:fill="CFF0FC"/>
          </w:tcPr>
          <w:p>
            <w:pPr>
              <w:spacing w:after="0"/>
              <w:rPr>
                <w:sz w:val="18"/>
                <w:szCs w:val="18"/>
                <w:color w:val="auto"/>
              </w:rPr>
            </w:pPr>
          </w:p>
        </w:tc>
      </w:tr>
      <w:tr>
        <w:trPr>
          <w:trHeight w:val="214"/>
        </w:trPr>
        <w:tc>
          <w:tcPr>
            <w:tcW w:w="5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Stockholders' equity:</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w w:val="99"/>
              </w:rPr>
              <w:t>Preferred stock, $0.01 par value, 1,000,000 shares authorized, none issued</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9"/>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2"/>
              </w:rPr>
              <w:t>Common stock, $0.01 par value, 100,000,000 shares authorized, 61,625,439 and</w:t>
            </w:r>
          </w:p>
        </w:tc>
        <w:tc>
          <w:tcPr>
            <w:tcW w:w="2480" w:type="dxa"/>
            <w:vAlign w:val="bottom"/>
            <w:gridSpan w:val="2"/>
            <w:shd w:val="clear" w:color="auto" w:fill="CFF0FC"/>
          </w:tcPr>
          <w:p>
            <w:pPr>
              <w:jc w:val="right"/>
              <w:ind w:right="540"/>
              <w:spacing w:after="0"/>
              <w:rPr>
                <w:sz w:val="20"/>
                <w:szCs w:val="20"/>
                <w:color w:val="auto"/>
              </w:rPr>
            </w:pPr>
            <w:r>
              <w:rPr>
                <w:rFonts w:ascii="Arial" w:cs="Arial" w:eastAsia="Arial" w:hAnsi="Arial"/>
                <w:sz w:val="17"/>
                <w:szCs w:val="17"/>
                <w:color w:val="auto"/>
                <w:w w:val="89"/>
              </w:rPr>
              <w:t>61,560,544 shares issued at</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August 1, 2015 and January 31, 2015, respectively</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w:t>
            </w:r>
          </w:p>
        </w:tc>
        <w:tc>
          <w:tcPr>
            <w:tcW w:w="8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Additional paid-in capital</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301,306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299,892</w:t>
            </w:r>
          </w:p>
        </w:tc>
        <w:tc>
          <w:tcPr>
            <w:tcW w:w="8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0"/>
              </w:rPr>
              <w:t>Treasury stock at cost, 10,877,439 shares at August 1, 2015 and January 31, 2015</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(87,977)</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(87,977)</w:t>
            </w: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Accumulated deficit</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(113,456)</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(111,903)</w:t>
            </w: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loss</w:t>
            </w: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(7,663)</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(8,238)</w:t>
            </w:r>
          </w:p>
        </w:tc>
      </w:tr>
      <w:tr>
        <w:trPr>
          <w:trHeight w:val="214"/>
        </w:trPr>
        <w:tc>
          <w:tcPr>
            <w:tcW w:w="592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 stockholders' equity</w:t>
            </w:r>
          </w:p>
        </w:tc>
        <w:tc>
          <w:tcPr>
            <w:tcW w:w="22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92,826</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92,390</w:t>
            </w:r>
          </w:p>
        </w:tc>
        <w:tc>
          <w:tcPr>
            <w:tcW w:w="80" w:type="dxa"/>
            <w:vAlign w:val="bottom"/>
            <w:tcBorders>
              <w:bottom w:val="single" w:sz="8" w:color="CFF0FC"/>
            </w:tcBorders>
          </w:tcPr>
          <w:p>
            <w:pPr>
              <w:spacing w:after="0"/>
              <w:rPr>
                <w:sz w:val="18"/>
                <w:szCs w:val="18"/>
                <w:color w:val="auto"/>
              </w:rPr>
            </w:pPr>
          </w:p>
        </w:tc>
      </w:tr>
      <w:tr>
        <w:trPr>
          <w:trHeight w:val="214"/>
        </w:trPr>
        <w:tc>
          <w:tcPr>
            <w:tcW w:w="5920" w:type="dxa"/>
            <w:vAlign w:val="bottom"/>
            <w:shd w:val="clear" w:color="auto" w:fill="CFF0FC"/>
          </w:tcPr>
          <w:p>
            <w:pPr>
              <w:ind w:left="720"/>
              <w:spacing w:after="0"/>
              <w:rPr>
                <w:sz w:val="20"/>
                <w:szCs w:val="20"/>
                <w:color w:val="auto"/>
              </w:rPr>
            </w:pPr>
            <w:r>
              <w:rPr>
                <w:rFonts w:ascii="Arial" w:cs="Arial" w:eastAsia="Arial" w:hAnsi="Arial"/>
                <w:sz w:val="17"/>
                <w:szCs w:val="17"/>
                <w:color w:val="auto"/>
              </w:rPr>
              <w:t>Total liabilities and stockholders' equity</w:t>
            </w:r>
          </w:p>
        </w:tc>
        <w:tc>
          <w:tcPr>
            <w:tcW w:w="2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274,990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259,881</w:t>
            </w:r>
          </w:p>
        </w:tc>
        <w:tc>
          <w:tcPr>
            <w:tcW w:w="8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29361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7"/>
          <w:szCs w:val="17"/>
          <w:color w:val="auto"/>
        </w:rPr>
        <w:t>DESTINATION XL GROUP, INC.</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CONSOLIDATED STATEMENTS OF OPERATIONS</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(In thousands, except per share data)</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7"/>
          </w:tcPr>
          <w:p>
            <w:pPr>
              <w:ind w:left="24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1820" w:type="dxa"/>
            <w:vAlign w:val="bottom"/>
            <w:gridSpan w:val="6"/>
          </w:tcPr>
          <w:p>
            <w:pPr>
              <w:jc w:val="right"/>
              <w:ind w:right="71"/>
              <w:spacing w:after="0"/>
              <w:rPr>
                <w:sz w:val="20"/>
                <w:szCs w:val="20"/>
                <w:color w:val="auto"/>
              </w:rPr>
            </w:pPr>
            <w:r>
              <w:rPr>
                <w:rFonts w:ascii="Arial" w:cs="Arial" w:eastAsia="Arial" w:hAnsi="Arial"/>
                <w:sz w:val="14"/>
                <w:szCs w:val="14"/>
                <w:color w:val="auto"/>
              </w:rPr>
              <w:t>For the six months ended</w:t>
            </w:r>
          </w:p>
        </w:tc>
      </w:tr>
      <w:tr>
        <w:trPr>
          <w:trHeight w:val="143"/>
        </w:trPr>
        <w:tc>
          <w:tcPr>
            <w:tcW w:w="7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w w:val="91"/>
              </w:rPr>
              <w:t>August 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60"/>
              <w:spacing w:after="0" w:line="143" w:lineRule="exact"/>
              <w:rPr>
                <w:sz w:val="20"/>
                <w:szCs w:val="20"/>
                <w:color w:val="auto"/>
              </w:rPr>
            </w:pPr>
            <w:r>
              <w:rPr>
                <w:rFonts w:ascii="Arial" w:cs="Arial" w:eastAsia="Arial" w:hAnsi="Arial"/>
                <w:sz w:val="14"/>
                <w:szCs w:val="14"/>
                <w:color w:val="auto"/>
                <w:w w:val="91"/>
              </w:rPr>
              <w:t>August 2,</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3" w:lineRule="exact"/>
              <w:rPr>
                <w:sz w:val="20"/>
                <w:szCs w:val="20"/>
                <w:color w:val="auto"/>
              </w:rPr>
            </w:pPr>
            <w:r>
              <w:rPr>
                <w:rFonts w:ascii="Arial" w:cs="Arial" w:eastAsia="Arial" w:hAnsi="Arial"/>
                <w:sz w:val="14"/>
                <w:szCs w:val="14"/>
                <w:color w:val="auto"/>
                <w:w w:val="91"/>
              </w:rPr>
              <w:t>August 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August</w:t>
            </w:r>
          </w:p>
        </w:tc>
      </w:tr>
      <w:tr>
        <w:trPr>
          <w:trHeight w:val="176"/>
        </w:trPr>
        <w:tc>
          <w:tcPr>
            <w:tcW w:w="7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6"/>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color w:val="auto"/>
                <w:w w:val="89"/>
              </w:rPr>
              <w:t>2014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6"/>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2014</w:t>
            </w:r>
          </w:p>
        </w:tc>
      </w:tr>
      <w:tr>
        <w:trPr>
          <w:trHeight w:val="207"/>
        </w:trPr>
        <w:tc>
          <w:tcPr>
            <w:tcW w:w="7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(Fiscal 2015)</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color w:val="auto"/>
                <w:w w:val="88"/>
              </w:rPr>
              <w:t>(Fiscal 2014)</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(Fiscal 2015)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5"/>
              </w:rPr>
              <w:t>(Fiscal 20</w:t>
            </w:r>
          </w:p>
        </w:tc>
      </w:tr>
      <w:tr>
        <w:trPr>
          <w:trHeight w:val="214"/>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1"/>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114,147</w:t>
            </w: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104,162</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218,552</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200,</w:t>
            </w:r>
          </w:p>
        </w:tc>
      </w:tr>
      <w:tr>
        <w:trPr>
          <w:trHeight w:val="221"/>
        </w:trPr>
        <w:tc>
          <w:tcPr>
            <w:tcW w:w="7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goods sold including occupancy costs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60,264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55,925</w:t>
            </w: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116,430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108,</w:t>
            </w:r>
          </w:p>
        </w:tc>
      </w:tr>
      <w:tr>
        <w:trPr>
          <w:trHeight w:val="214"/>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53,883</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48,237</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102,122</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92,</w:t>
            </w:r>
          </w:p>
        </w:tc>
      </w:tr>
      <w:tr>
        <w:trPr>
          <w:trHeight w:val="221"/>
        </w:trPr>
        <w:tc>
          <w:tcPr>
            <w:tcW w:w="7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1"/>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Expenses: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21"/>
        </w:trPr>
        <w:tc>
          <w:tcPr>
            <w:tcW w:w="714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47,121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45,101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88,590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86,</w:t>
            </w:r>
          </w:p>
        </w:tc>
      </w:tr>
      <w:tr>
        <w:trPr>
          <w:trHeight w:val="221"/>
        </w:trPr>
        <w:tc>
          <w:tcPr>
            <w:tcW w:w="7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6,928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5,698</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13,450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11,</w:t>
            </w:r>
          </w:p>
        </w:tc>
      </w:tr>
      <w:tr>
        <w:trPr>
          <w:trHeight w:val="214"/>
        </w:trPr>
        <w:tc>
          <w:tcPr>
            <w:tcW w:w="7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expenses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54,049</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50,799</w:t>
            </w:r>
          </w:p>
        </w:tc>
        <w:tc>
          <w:tcPr>
            <w:tcW w:w="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102,040</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97,</w:t>
            </w:r>
          </w:p>
        </w:tc>
      </w:tr>
      <w:tr>
        <w:trPr>
          <w:trHeight w:val="214"/>
        </w:trPr>
        <w:tc>
          <w:tcPr>
            <w:tcW w:w="7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Operating income (loss)</w:t>
            </w: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(166)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(2,562)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21"/>
        </w:trPr>
        <w:tc>
          <w:tcPr>
            <w:tcW w:w="7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Interest expense, net</w:t>
            </w: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(746)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(451)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(1,507)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Loss from continuing operations before provision for income taxes</w:t>
            </w: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(912)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(3,013)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(1,425)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21"/>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r>
      <w:tr>
        <w:trPr>
          <w:trHeight w:val="214"/>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1"/>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Loss from continuing operations</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(979)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(3,076)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(1,553)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w:t>
            </w: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Loss from discontinued operations, net of taxes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(956)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7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r>
      <w:tr>
        <w:trPr>
          <w:trHeight w:val="261"/>
        </w:trPr>
        <w:tc>
          <w:tcPr>
            <w:tcW w:w="7140" w:type="dxa"/>
            <w:vAlign w:val="bottom"/>
          </w:tcPr>
          <w:p>
            <w:pPr>
              <w:spacing w:after="0"/>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(979)</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(4,032)</w:t>
            </w:r>
          </w:p>
        </w:tc>
        <w:tc>
          <w:tcPr>
            <w:tcW w:w="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(1,553)</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00"/>
        </w:trPr>
        <w:tc>
          <w:tcPr>
            <w:tcW w:w="7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Net loss per share - basic and diluted: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1"/>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Loss from continuing 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(0.02)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(0.06)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(0.03)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Loss from discontinued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(0.02)</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Net loss per share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(0.02)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(0.08)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(0.03)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1"/>
        </w:trPr>
        <w:tc>
          <w:tcPr>
            <w:tcW w:w="714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number of common shares outstanding:</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21"/>
        </w:trPr>
        <w:tc>
          <w:tcPr>
            <w:tcW w:w="7140" w:type="dxa"/>
            <w:vAlign w:val="bottom"/>
          </w:tcPr>
          <w:p>
            <w:pPr>
              <w:ind w:left="48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49,081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48,743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49,050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48,</w:t>
            </w:r>
          </w:p>
        </w:tc>
      </w:tr>
      <w:tr>
        <w:trPr>
          <w:trHeight w:val="221"/>
        </w:trPr>
        <w:tc>
          <w:tcPr>
            <w:tcW w:w="7140" w:type="dxa"/>
            <w:vAlign w:val="bottom"/>
            <w:shd w:val="clear" w:color="auto" w:fill="CFF0FC"/>
          </w:tcPr>
          <w:p>
            <w:pPr>
              <w:ind w:left="4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49,081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48,743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49,050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w:t>
            </w:r>
          </w:p>
        </w:tc>
      </w:tr>
    </w:tbl>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color w:val="auto"/>
        </w:rPr>
        <w:t>DESTINATION XL GROUP, INC.</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CONSOLIDATED STATEMENTS OF COMPREHENSIVE INCOME (LOSS)</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(In thousands)</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tcPr>
          <w:p>
            <w:pPr>
              <w:spacing w:after="0"/>
              <w:rPr>
                <w:sz w:val="14"/>
                <w:szCs w:val="14"/>
                <w:color w:val="auto"/>
              </w:rPr>
            </w:pPr>
          </w:p>
        </w:tc>
        <w:tc>
          <w:tcPr>
            <w:tcW w:w="3320" w:type="dxa"/>
            <w:vAlign w:val="bottom"/>
            <w:gridSpan w:val="6"/>
          </w:tcPr>
          <w:p>
            <w:pPr>
              <w:jc w:val="right"/>
              <w:ind w:right="960"/>
              <w:spacing w:after="0"/>
              <w:rPr>
                <w:sz w:val="20"/>
                <w:szCs w:val="20"/>
                <w:color w:val="auto"/>
              </w:rPr>
            </w:pPr>
            <w:r>
              <w:rPr>
                <w:rFonts w:ascii="Arial" w:cs="Arial" w:eastAsia="Arial" w:hAnsi="Arial"/>
                <w:sz w:val="14"/>
                <w:szCs w:val="14"/>
                <w:color w:val="auto"/>
              </w:rPr>
              <w:t>For the 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right"/>
              <w:ind w:right="517"/>
              <w:spacing w:after="0"/>
              <w:rPr>
                <w:sz w:val="20"/>
                <w:szCs w:val="20"/>
                <w:color w:val="auto"/>
              </w:rPr>
            </w:pPr>
            <w:r>
              <w:rPr>
                <w:rFonts w:ascii="Arial" w:cs="Arial" w:eastAsia="Arial" w:hAnsi="Arial"/>
                <w:sz w:val="14"/>
                <w:szCs w:val="14"/>
                <w:color w:val="auto"/>
              </w:rPr>
              <w:t>For the six months ended</w:t>
            </w:r>
          </w:p>
        </w:tc>
      </w:tr>
      <w:tr>
        <w:trPr>
          <w:trHeight w:val="169"/>
        </w:trPr>
        <w:tc>
          <w:tcPr>
            <w:tcW w:w="55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August 1, 2015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color w:val="auto"/>
              </w:rPr>
              <w:t>August 2, 2014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August 1, 2015</w:t>
            </w:r>
          </w:p>
        </w:tc>
        <w:tc>
          <w:tcPr>
            <w:tcW w:w="14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4"/>
                <w:szCs w:val="14"/>
                <w:color w:val="auto"/>
                <w:w w:val="95"/>
              </w:rPr>
              <w:t>August 2, 2014</w:t>
            </w:r>
          </w:p>
        </w:tc>
      </w:tr>
      <w:tr>
        <w:trPr>
          <w:trHeight w:val="162"/>
        </w:trPr>
        <w:tc>
          <w:tcPr>
            <w:tcW w:w="55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(Fiscal 2015)</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(Fiscal 2014)</w:t>
            </w:r>
          </w:p>
        </w:tc>
        <w:tc>
          <w:tcPr>
            <w:tcW w:w="1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(Fiscal 2015)</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(Fiscal 2014)</w:t>
            </w:r>
          </w:p>
        </w:tc>
      </w:tr>
      <w:tr>
        <w:trPr>
          <w:trHeight w:val="214"/>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200" w:type="dxa"/>
            <w:vAlign w:val="bottom"/>
            <w:shd w:val="clear" w:color="auto" w:fill="CFF0FC"/>
          </w:tcPr>
          <w:p>
            <w:pPr>
              <w:jc w:val="right"/>
              <w:ind w:right="1024"/>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w w:val="90"/>
              </w:rPr>
              <w:t>(979)</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(4,032)</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(1,553)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(7,568</w:t>
            </w:r>
          </w:p>
        </w:tc>
      </w:tr>
      <w:tr>
        <w:trPr>
          <w:trHeight w:val="221"/>
        </w:trPr>
        <w:tc>
          <w:tcPr>
            <w:tcW w:w="5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 before taxes: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1"/>
        </w:trPr>
        <w:tc>
          <w:tcPr>
            <w:tcW w:w="5540" w:type="dxa"/>
            <w:vAlign w:val="bottom"/>
          </w:tcPr>
          <w:p>
            <w:pPr>
              <w:ind w:left="240"/>
              <w:spacing w:after="0"/>
              <w:rPr>
                <w:sz w:val="20"/>
                <w:szCs w:val="20"/>
                <w:color w:val="auto"/>
              </w:rPr>
            </w:pPr>
            <w:r>
              <w:rPr>
                <w:rFonts w:ascii="Arial" w:cs="Arial" w:eastAsia="Arial" w:hAnsi="Arial"/>
                <w:sz w:val="17"/>
                <w:szCs w:val="17"/>
                <w:color w:val="auto"/>
              </w:rPr>
              <w:t>Foreign currency translation</w:t>
            </w: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21"/>
        </w:trPr>
        <w:tc>
          <w:tcPr>
            <w:tcW w:w="5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Pension plan</w:t>
            </w:r>
          </w:p>
        </w:tc>
        <w:tc>
          <w:tcPr>
            <w:tcW w:w="12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277</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513</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277</w:t>
            </w:r>
          </w:p>
        </w:tc>
      </w:tr>
      <w:tr>
        <w:trPr>
          <w:trHeight w:val="214"/>
        </w:trPr>
        <w:tc>
          <w:tcPr>
            <w:tcW w:w="5540" w:type="dxa"/>
            <w:vAlign w:val="bottom"/>
          </w:tcPr>
          <w:p>
            <w:pPr>
              <w:ind w:left="480"/>
              <w:spacing w:after="0"/>
              <w:rPr>
                <w:sz w:val="20"/>
                <w:szCs w:val="20"/>
                <w:color w:val="auto"/>
              </w:rPr>
            </w:pPr>
            <w:r>
              <w:rPr>
                <w:rFonts w:ascii="Arial" w:cs="Arial" w:eastAsia="Arial" w:hAnsi="Arial"/>
                <w:sz w:val="17"/>
                <w:szCs w:val="17"/>
                <w:color w:val="auto"/>
              </w:rPr>
              <w:t>Other comprehensive income (loss) before taxes</w:t>
            </w:r>
          </w:p>
        </w:tc>
        <w:tc>
          <w:tcPr>
            <w:tcW w:w="1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384</w:t>
            </w: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w w:val="95"/>
              </w:rPr>
              <w:t>Tax (provision) benefit related to items of other comprehensive income (loss)</w:t>
            </w:r>
          </w:p>
        </w:tc>
        <w:tc>
          <w:tcPr>
            <w:tcW w:w="1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5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comprehensive income (loss), net of tax</w:t>
            </w:r>
          </w:p>
        </w:tc>
        <w:tc>
          <w:tcPr>
            <w:tcW w:w="12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1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384</w:t>
            </w:r>
          </w:p>
        </w:tc>
      </w:tr>
      <w:tr>
        <w:trPr>
          <w:trHeight w:val="214"/>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Comprehensive loss</w:t>
            </w:r>
          </w:p>
        </w:tc>
        <w:tc>
          <w:tcPr>
            <w:tcW w:w="1200" w:type="dxa"/>
            <w:vAlign w:val="bottom"/>
            <w:shd w:val="clear" w:color="auto" w:fill="CFF0FC"/>
          </w:tcPr>
          <w:p>
            <w:pPr>
              <w:jc w:val="right"/>
              <w:ind w:right="1024"/>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w w:val="90"/>
              </w:rPr>
              <w:t>(663)</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(3,879)</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(978)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(7,184</w:t>
            </w: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DESTINATION XL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CHANGES IN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Accumulated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w w:val="97"/>
              </w:rPr>
              <w:t>Additional</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80"/>
              <w:spacing w:after="0" w:line="156"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22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w w:val="91"/>
              </w:rPr>
              <w:t>Paid-in</w:t>
            </w:r>
          </w:p>
        </w:tc>
        <w:tc>
          <w:tcPr>
            <w:tcW w:w="1740" w:type="dxa"/>
            <w:vAlign w:val="bottom"/>
            <w:gridSpan w:val="4"/>
          </w:tcPr>
          <w:p>
            <w:pPr>
              <w:jc w:val="right"/>
              <w:ind w:right="560"/>
              <w:spacing w:after="0" w:line="156" w:lineRule="exact"/>
              <w:rPr>
                <w:sz w:val="20"/>
                <w:szCs w:val="20"/>
                <w:color w:val="auto"/>
              </w:rPr>
            </w:pPr>
            <w:r>
              <w:rPr>
                <w:rFonts w:ascii="Arial" w:cs="Arial" w:eastAsia="Arial" w:hAnsi="Arial"/>
                <w:sz w:val="14"/>
                <w:szCs w:val="14"/>
                <w:color w:val="auto"/>
              </w:rPr>
              <w:t>Treasury Stock</w:t>
            </w:r>
          </w:p>
        </w:tc>
        <w:tc>
          <w:tcPr>
            <w:tcW w:w="880" w:type="dxa"/>
            <w:vAlign w:val="bottom"/>
            <w:gridSpan w:val="2"/>
          </w:tcPr>
          <w:p>
            <w:pPr>
              <w:jc w:val="center"/>
              <w:ind w:right="140"/>
              <w:spacing w:after="0" w:line="156" w:lineRule="exact"/>
              <w:rPr>
                <w:sz w:val="20"/>
                <w:szCs w:val="20"/>
                <w:color w:val="auto"/>
              </w:rPr>
            </w:pPr>
            <w:r>
              <w:rPr>
                <w:rFonts w:ascii="Arial" w:cs="Arial" w:eastAsia="Arial" w:hAnsi="Arial"/>
                <w:sz w:val="14"/>
                <w:szCs w:val="14"/>
                <w:color w:val="auto"/>
                <w:w w:val="91"/>
              </w:rPr>
              <w:t>Accumulated</w:t>
            </w:r>
          </w:p>
        </w:tc>
        <w:tc>
          <w:tcPr>
            <w:tcW w:w="1160" w:type="dxa"/>
            <w:vAlign w:val="bottom"/>
            <w:gridSpan w:val="4"/>
          </w:tcPr>
          <w:p>
            <w:pPr>
              <w:jc w:val="center"/>
              <w:ind w:right="120"/>
              <w:spacing w:after="0" w:line="156" w:lineRule="exact"/>
              <w:rPr>
                <w:sz w:val="20"/>
                <w:szCs w:val="20"/>
                <w:color w:val="auto"/>
              </w:rPr>
            </w:pPr>
            <w:r>
              <w:rPr>
                <w:rFonts w:ascii="Arial" w:cs="Arial" w:eastAsia="Arial" w:hAnsi="Arial"/>
                <w:sz w:val="14"/>
                <w:szCs w:val="14"/>
                <w:color w:val="auto"/>
                <w:w w:val="89"/>
              </w:rPr>
              <w:t>Comprehensive</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Amounts</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Capital</w:t>
            </w:r>
          </w:p>
        </w:tc>
        <w:tc>
          <w:tcPr>
            <w:tcW w:w="2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Amounts</w:t>
            </w:r>
          </w:p>
        </w:tc>
        <w:tc>
          <w:tcPr>
            <w:tcW w:w="2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Deficit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Income (Loss)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96"/>
              </w:rPr>
              <w:t>Total</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Balance at January 31, 2015</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61,561</w:t>
            </w:r>
          </w:p>
        </w:tc>
        <w:tc>
          <w:tcPr>
            <w:tcW w:w="560" w:type="dxa"/>
            <w:vAlign w:val="bottom"/>
            <w:gridSpan w:val="2"/>
            <w:shd w:val="clear" w:color="auto" w:fill="CFF0FC"/>
          </w:tcPr>
          <w:p>
            <w:pPr>
              <w:jc w:val="right"/>
              <w:ind w:right="18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616</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7"/>
              </w:rPr>
              <w:t>$ 299,892</w:t>
            </w:r>
          </w:p>
        </w:tc>
        <w:tc>
          <w:tcPr>
            <w:tcW w:w="2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(10,877)</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92"/>
              </w:rPr>
              <w:t>$ (87,977)</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91"/>
              </w:rPr>
              <w:t>$ (111,903)</w:t>
            </w: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(8,238)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92,390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Stock compensation expense</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1,088</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7"/>
                <w:szCs w:val="17"/>
                <w:color w:val="auto"/>
              </w:rPr>
              <w:t>Exercises under option program</w:t>
            </w:r>
          </w:p>
        </w:tc>
        <w:tc>
          <w:tcPr>
            <w:tcW w:w="66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61</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Board of Directors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7"/>
                <w:szCs w:val="17"/>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Accumulated other comprehensive income (loss):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ind w:left="240"/>
              <w:spacing w:after="0"/>
              <w:rPr>
                <w:sz w:val="20"/>
                <w:szCs w:val="20"/>
                <w:color w:val="auto"/>
              </w:rPr>
            </w:pPr>
            <w:r>
              <w:rPr>
                <w:rFonts w:ascii="Arial" w:cs="Arial" w:eastAsia="Arial" w:hAnsi="Arial"/>
                <w:sz w:val="17"/>
                <w:szCs w:val="17"/>
                <w:color w:val="auto"/>
              </w:rPr>
              <w:t>Unrecognized gain associated with pension plan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Foreign currency</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7"/>
                <w:szCs w:val="17"/>
                <w:color w:val="auto"/>
              </w:rPr>
              <w:t>Net loss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(1,553)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(1,553)</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at August 1, 2015</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60" w:type="dxa"/>
            <w:vAlign w:val="bottom"/>
            <w:vMerge w:val="continue"/>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61,625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82"/>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616</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7"/>
              </w:rPr>
              <w:t>$ 301,306</w:t>
            </w:r>
          </w:p>
        </w:tc>
        <w:tc>
          <w:tcPr>
            <w:tcW w:w="2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(10,877)</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92"/>
              </w:rPr>
              <w:t>$ (87,977)</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91"/>
              </w:rPr>
              <w:t>$ (113,456)</w:t>
            </w: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(7,663)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92,826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DESTINATION XL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6"/>
          </w:tcPr>
          <w:p>
            <w:pPr>
              <w:jc w:val="right"/>
              <w:ind w:right="10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56"/>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line="156" w:lineRule="exact"/>
              <w:rPr>
                <w:sz w:val="20"/>
                <w:szCs w:val="20"/>
                <w:color w:val="auto"/>
              </w:rPr>
            </w:pPr>
            <w:r>
              <w:rPr>
                <w:rFonts w:ascii="Arial" w:cs="Arial" w:eastAsia="Arial" w:hAnsi="Arial"/>
                <w:sz w:val="14"/>
                <w:szCs w:val="14"/>
                <w:color w:val="auto"/>
                <w:w w:val="99"/>
              </w:rPr>
              <w:t>August 1, 2015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480"/>
              <w:spacing w:after="0" w:line="156" w:lineRule="exact"/>
              <w:rPr>
                <w:sz w:val="20"/>
                <w:szCs w:val="20"/>
                <w:color w:val="auto"/>
              </w:rPr>
            </w:pPr>
            <w:r>
              <w:rPr>
                <w:rFonts w:ascii="Arial" w:cs="Arial" w:eastAsia="Arial" w:hAnsi="Arial"/>
                <w:sz w:val="14"/>
                <w:szCs w:val="14"/>
                <w:color w:val="auto"/>
              </w:rPr>
              <w:t>August 2, 2014</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2014)</w:t>
            </w:r>
          </w:p>
        </w:tc>
        <w:tc>
          <w:tcPr>
            <w:tcW w:w="0" w:type="dxa"/>
            <w:vAlign w:val="bottom"/>
          </w:tcPr>
          <w:p>
            <w:pPr>
              <w:spacing w:after="0"/>
              <w:rPr>
                <w:sz w:val="1"/>
                <w:szCs w:val="1"/>
                <w:color w:val="auto"/>
              </w:rPr>
            </w:pPr>
          </w:p>
        </w:tc>
      </w:tr>
      <w:tr>
        <w:trPr>
          <w:trHeight w:val="214"/>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24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(1,553)</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loss to net cash provided by (used for) operating activities: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Amortization of deferred gain on sale-leaseback</w:t>
            </w:r>
          </w:p>
        </w:tc>
        <w:tc>
          <w:tcPr>
            <w:tcW w:w="2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Amortization of deferred debt issuance costs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Deferred taxes, net of valuation allowance</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tcPr>
          <w:p>
            <w:pPr>
              <w:ind w:left="480"/>
              <w:spacing w:after="0"/>
              <w:rPr>
                <w:sz w:val="20"/>
                <w:szCs w:val="20"/>
                <w:color w:val="auto"/>
              </w:rPr>
            </w:pPr>
            <w:r>
              <w:rPr>
                <w:rFonts w:ascii="Arial" w:cs="Arial" w:eastAsia="Arial" w:hAnsi="Arial"/>
                <w:sz w:val="16"/>
                <w:szCs w:val="16"/>
                <w:color w:val="auto"/>
              </w:rPr>
              <w:t>Stock compensation expense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Issuance of common stock to Board of Directors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(8,348)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(10,472)</w:t>
            </w: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Deferred rent and lease incentives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(3,163)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
        </w:trPr>
        <w:tc>
          <w:tcPr>
            <w:tcW w:w="800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Net cash provided by (used for) operating activities</w:t>
            </w: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204"/>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Additions to property and equipment, net</w:t>
            </w:r>
          </w:p>
        </w:tc>
        <w:tc>
          <w:tcPr>
            <w:tcW w:w="2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(16,979)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(18,930)</w:t>
            </w:r>
          </w:p>
        </w:tc>
        <w:tc>
          <w:tcPr>
            <w:tcW w:w="0" w:type="dxa"/>
            <w:vAlign w:val="bottom"/>
          </w:tcPr>
          <w:p>
            <w:pPr>
              <w:spacing w:after="0"/>
              <w:rPr>
                <w:sz w:val="1"/>
                <w:szCs w:val="1"/>
                <w:color w:val="auto"/>
              </w:rPr>
            </w:pPr>
          </w:p>
        </w:tc>
      </w:tr>
      <w:tr>
        <w:trPr>
          <w:trHeight w:val="20"/>
        </w:trPr>
        <w:tc>
          <w:tcPr>
            <w:tcW w:w="800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(16,979)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(18,930)</w:t>
            </w:r>
          </w:p>
        </w:tc>
        <w:tc>
          <w:tcPr>
            <w:tcW w:w="0" w:type="dxa"/>
            <w:vAlign w:val="bottom"/>
          </w:tcPr>
          <w:p>
            <w:pPr>
              <w:spacing w:after="0"/>
              <w:rPr>
                <w:sz w:val="1"/>
                <w:szCs w:val="1"/>
                <w:color w:val="auto"/>
              </w:rPr>
            </w:pPr>
          </w:p>
        </w:tc>
      </w:tr>
      <w:tr>
        <w:trPr>
          <w:trHeight w:val="204"/>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Proceeds from the exercise of stock options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Proceeds from the issuance of long-term debt</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480"/>
              <w:spacing w:after="0"/>
              <w:rPr>
                <w:sz w:val="20"/>
                <w:szCs w:val="20"/>
                <w:color w:val="auto"/>
              </w:rPr>
            </w:pPr>
            <w:r>
              <w:rPr>
                <w:rFonts w:ascii="Arial" w:cs="Arial" w:eastAsia="Arial" w:hAnsi="Arial"/>
                <w:sz w:val="16"/>
                <w:szCs w:val="16"/>
                <w:color w:val="auto"/>
              </w:rPr>
              <w:t>Principal payments on long-term debt</w:t>
            </w:r>
          </w:p>
        </w:tc>
        <w:tc>
          <w:tcPr>
            <w:tcW w:w="2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(3,737)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Costs associated with debt issuances</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borrowings under credit facility</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15,212</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11,521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0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Beginning of period</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End of period</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5,798</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DESTINATION XL GROUP,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1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2015 included in the Company’s Annual Report on Form 10-K, which was filed with the Securities and Exchange Commission on March 25, 2015.</w:t>
      </w:r>
    </w:p>
    <w:p>
      <w:pPr>
        <w:spacing w:after="0" w:line="16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8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The Company’s fiscal year is a 52- or 53- week period ending on the Saturday closest to January 31. Fiscal 2015 and fiscal 2014 are 52-week periods ending January 30, 2016 and January 31, 2015,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Information</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ShoesXL</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Company historically presented deferred debt issuance costs, or fees directly related to issuing debt, as assets on the consolidated balance sheets. In the first quarter of fiscal 2015, the Company elected early adoption of ASU 2015−03, “</w:t>
      </w:r>
      <w:r>
        <w:rPr>
          <w:rFonts w:ascii="Arial" w:cs="Arial" w:eastAsia="Arial" w:hAnsi="Arial"/>
          <w:sz w:val="17"/>
          <w:szCs w:val="17"/>
          <w:i w:val="1"/>
          <w:iCs w:val="1"/>
          <w:color w:val="auto"/>
        </w:rPr>
        <w:t>Interest − Imputation of Interest (Subtopic 835−30), Simplifying the 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w:t>
      </w:r>
      <w:r>
        <w:rPr>
          <w:rFonts w:ascii="Arial" w:cs="Arial" w:eastAsia="Arial" w:hAnsi="Arial"/>
          <w:sz w:val="17"/>
          <w:szCs w:val="17"/>
          <w:color w:val="auto"/>
        </w:rPr>
        <w:t>(ASU 2015-03). The guidance simplifies the presentation of debt issuance costs by requiring debt issuance costs to be presented as a</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corresponding liability, consistent with debt discounts. The recognition and measurement guidance for debt issuance costs is not affected. Therefore, these costs will continue to be amortized as interest expense over the term of the corresponding debt issuance. The Company applied the new guidance retrospectively to all prior periods presented in the financial statements.</w:t>
      </w:r>
    </w:p>
    <w:p>
      <w:pPr>
        <w:spacing w:after="0" w:line="77"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The reclassification did not impact net income (loss) previously reported or any prior amounts reported on the Consolidated Statements of Operations. The following table presents the effect of the retrospective application of this change in accounting principle on the Company’s Consolidated Balance Sheets as of January 31, 2015.</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6"/>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 xml:space="preserve">Consolidated Balance Sheets </w:t>
            </w:r>
            <w:r>
              <w:rPr>
                <w:rFonts w:ascii="Arial" w:cs="Arial" w:eastAsia="Arial" w:hAnsi="Arial"/>
                <w:sz w:val="17"/>
                <w:szCs w:val="17"/>
                <w:i w:val="1"/>
                <w:iCs w:val="1"/>
                <w:color w:val="auto"/>
              </w:rPr>
              <w:t>(in thousands)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96"/>
              <w:spacing w:after="0"/>
              <w:rPr>
                <w:sz w:val="20"/>
                <w:szCs w:val="20"/>
                <w:color w:val="auto"/>
              </w:rPr>
            </w:pPr>
            <w:r>
              <w:rPr>
                <w:rFonts w:ascii="Arial" w:cs="Arial" w:eastAsia="Arial" w:hAnsi="Arial"/>
                <w:sz w:val="14"/>
                <w:szCs w:val="14"/>
                <w:color w:val="auto"/>
              </w:rPr>
              <w:t>As Reported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Effect of Change in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After Change in</w:t>
            </w:r>
          </w:p>
        </w:tc>
        <w:tc>
          <w:tcPr>
            <w:tcW w:w="0" w:type="dxa"/>
            <w:vAlign w:val="bottom"/>
          </w:tcPr>
          <w:p>
            <w:pPr>
              <w:spacing w:after="0"/>
              <w:rPr>
                <w:sz w:val="1"/>
                <w:szCs w:val="1"/>
                <w:color w:val="auto"/>
              </w:rPr>
            </w:pPr>
          </w:p>
        </w:tc>
      </w:tr>
      <w:tr>
        <w:trPr>
          <w:trHeight w:val="207"/>
        </w:trPr>
        <w:tc>
          <w:tcPr>
            <w:tcW w:w="5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76"/>
              <w:spacing w:after="0"/>
              <w:rPr>
                <w:sz w:val="20"/>
                <w:szCs w:val="20"/>
                <w:color w:val="auto"/>
              </w:rPr>
            </w:pPr>
            <w:r>
              <w:rPr>
                <w:rFonts w:ascii="Arial" w:cs="Arial" w:eastAsia="Arial" w:hAnsi="Arial"/>
                <w:sz w:val="14"/>
                <w:szCs w:val="14"/>
                <w:color w:val="auto"/>
                <w:w w:val="97"/>
              </w:rPr>
              <w:t>January 31, 2015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Accounting Principle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Accounting Principle</w:t>
            </w:r>
          </w:p>
        </w:tc>
        <w:tc>
          <w:tcPr>
            <w:tcW w:w="0" w:type="dxa"/>
            <w:vAlign w:val="bottom"/>
          </w:tcPr>
          <w:p>
            <w:pPr>
              <w:spacing w:after="0"/>
              <w:rPr>
                <w:sz w:val="1"/>
                <w:szCs w:val="1"/>
                <w:color w:val="auto"/>
              </w:rPr>
            </w:pPr>
          </w:p>
        </w:tc>
      </w:tr>
      <w:tr>
        <w:trPr>
          <w:trHeight w:val="214"/>
        </w:trPr>
        <w:tc>
          <w:tcPr>
            <w:tcW w:w="5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ASSETS:</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9,190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(277)</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1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132,615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132,338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Noncurrent assets: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120"/>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4,849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(942)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261,100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LIABILITIES AND STOCKHOLDERS'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Current portion of long-term debt</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7,489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(154)</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120"/>
              <w:spacing w:after="0"/>
              <w:rPr>
                <w:sz w:val="20"/>
                <w:szCs w:val="20"/>
                <w:color w:val="auto"/>
              </w:rPr>
            </w:pPr>
            <w:r>
              <w:rPr>
                <w:rFonts w:ascii="Arial" w:cs="Arial" w:eastAsia="Arial" w:hAnsi="Arial"/>
                <w:sz w:val="17"/>
                <w:szCs w:val="17"/>
                <w:color w:val="auto"/>
              </w:rPr>
              <w:t>Borrowings under credit facility</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19,402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(585)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90,307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(739)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7"/>
                <w:szCs w:val="17"/>
                <w:color w:val="auto"/>
              </w:rPr>
              <w:t>Long-term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Long-term debt, net of current portion</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26,651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7"/>
                <w:szCs w:val="17"/>
                <w:color w:val="auto"/>
              </w:rPr>
              <w:t>Total long-term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78,403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(480)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77,923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261,100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a result of the Company adopting ASU 2015-03, for the first six months of fiscal 2014, the Company has reclassified $78,000 from “Change in Other Assets” to “Amortization of Deferred Debt Issuance Costs” in the Consolidated Statement of Cash Flows.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Intangibles</w:t>
      </w:r>
    </w:p>
    <w:p>
      <w:pPr>
        <w:spacing w:after="0" w:line="117" w:lineRule="exact"/>
        <w:rPr>
          <w:sz w:val="20"/>
          <w:szCs w:val="20"/>
          <w:color w:val="auto"/>
        </w:rPr>
      </w:pPr>
    </w:p>
    <w:p>
      <w:pPr>
        <w:ind w:right="480"/>
        <w:spacing w:after="0" w:line="319" w:lineRule="auto"/>
        <w:rPr>
          <w:sz w:val="20"/>
          <w:szCs w:val="20"/>
          <w:color w:val="auto"/>
        </w:rPr>
      </w:pPr>
      <w:r>
        <w:rPr>
          <w:rFonts w:ascii="Arial" w:cs="Arial" w:eastAsia="Arial" w:hAnsi="Arial"/>
          <w:sz w:val="16"/>
          <w:szCs w:val="16"/>
          <w:color w:val="auto"/>
        </w:rPr>
        <w:t>At August 1, 2015, the “Casual Male” trademark had a carrying value of $1.2 million and is considered a definite-lived asset. The Company is amortizing the remaining carrying value on an accelerated basis, consistent with projected cash flows through fiscal 2018, its estimated remaining useful life.</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“Rochester” trademark is considered an indefinite-lived intangible asset and has a carrying value of $1.5 million. During the first six months ended August 1, 2015, no event or circumstance occurred which would cause a reduction in the fair value of the Company’s reporting units, requiring interim testing of the Company’s “Rochester” trademark.</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Financial Instruments</w:t>
      </w:r>
    </w:p>
    <w:p>
      <w:pPr>
        <w:spacing w:after="0" w:line="117" w:lineRule="exact"/>
        <w:rPr>
          <w:sz w:val="20"/>
          <w:szCs w:val="20"/>
          <w:color w:val="auto"/>
        </w:rPr>
      </w:pPr>
    </w:p>
    <w:p>
      <w:pPr>
        <w:ind w:right="600"/>
        <w:spacing w:after="0" w:line="319"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35"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117" w:lineRule="exact"/>
        <w:rPr>
          <w:sz w:val="20"/>
          <w:szCs w:val="20"/>
          <w:color w:val="auto"/>
        </w:rPr>
      </w:pPr>
    </w:p>
    <w:p>
      <w:pPr>
        <w:ind w:left="260" w:right="160"/>
        <w:spacing w:after="0" w:line="319"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observable market inputs (quoted market prices) when measuring fair value whenever possible.</w:t>
      </w:r>
    </w:p>
    <w:p>
      <w:pPr>
        <w:spacing w:after="0" w:line="2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fair value of long-term debt is classified within Level 2 of the valuation hierarchy. At August 1, 2015, the fair value approximates the carrying amount based upon terms available to the Company for borrowings with similar arrangements and remaining maturities.</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 w:name="page9"/>
    <w:bookmarkEnd w:id="8"/>
    <w:p>
      <w:pPr>
        <w:ind w:right="360"/>
        <w:spacing w:after="0" w:line="286" w:lineRule="auto"/>
        <w:rPr>
          <w:sz w:val="20"/>
          <w:szCs w:val="20"/>
          <w:color w:val="auto"/>
        </w:rPr>
      </w:pPr>
      <w:r>
        <w:rPr>
          <w:rFonts w:ascii="Arial" w:cs="Arial" w:eastAsia="Arial" w:hAnsi="Arial"/>
          <w:sz w:val="17"/>
          <w:szCs w:val="17"/>
          <w:color w:val="auto"/>
        </w:rPr>
        <w:t>The carrying amounts of cash and cash equivalents, accounts receivable, accounts payable, accrued expenses and short-term borrowings approximate fair value because of the short maturity of these instruments.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Income (Loss) - (“AOCI”)</w:t>
      </w:r>
    </w:p>
    <w:p>
      <w:pPr>
        <w:spacing w:after="0" w:line="117"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Other comprehensive income (loss) includes amounts related to foreign currency and pension plans and is reported in the Consolidated Statements of Comprehensive Income (Loss). Other comprehensive income and reclassifications from AOCI for the three and six months ended August 1, 2015 and August 2, 2014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1"/>
              </w:rPr>
              <w:t>August 1, 2015</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color w:val="auto"/>
                <w:w w:val="89"/>
              </w:rPr>
              <w:t>August 2, 2014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7"/>
          </w:tcPr>
          <w:p>
            <w:pPr>
              <w:jc w:val="right"/>
              <w:ind w:right="540"/>
              <w:spacing w:after="0" w:line="144" w:lineRule="exact"/>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w w:val="98"/>
              </w:rPr>
              <w:t>Pension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40"/>
              <w:spacing w:after="0" w:line="143" w:lineRule="exact"/>
              <w:rPr>
                <w:sz w:val="20"/>
                <w:szCs w:val="20"/>
                <w:color w:val="auto"/>
              </w:rPr>
            </w:pPr>
            <w:r>
              <w:rPr>
                <w:rFonts w:ascii="Arial" w:cs="Arial" w:eastAsia="Arial" w:hAnsi="Arial"/>
                <w:sz w:val="14"/>
                <w:szCs w:val="14"/>
                <w:color w:val="auto"/>
                <w:w w:val="88"/>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90"/>
              </w:rPr>
              <w:t>Pension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00"/>
              <w:spacing w:after="0" w:line="143" w:lineRule="exact"/>
              <w:rPr>
                <w:sz w:val="20"/>
                <w:szCs w:val="20"/>
                <w:color w:val="auto"/>
              </w:rPr>
            </w:pPr>
            <w:r>
              <w:rPr>
                <w:rFonts w:ascii="Arial" w:cs="Arial" w:eastAsia="Arial" w:hAnsi="Arial"/>
                <w:sz w:val="14"/>
                <w:szCs w:val="14"/>
                <w:color w:val="auto"/>
                <w:w w:val="92"/>
              </w:rPr>
              <w:t>Foreign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vMerge w:val="restart"/>
          </w:tcPr>
          <w:p>
            <w:pPr>
              <w:spacing w:after="0"/>
              <w:rPr>
                <w:sz w:val="20"/>
                <w:szCs w:val="20"/>
                <w:color w:val="auto"/>
              </w:rPr>
            </w:pPr>
            <w:r>
              <w:rPr>
                <w:rFonts w:ascii="Arial" w:cs="Arial" w:eastAsia="Arial" w:hAnsi="Arial"/>
                <w:sz w:val="17"/>
                <w:szCs w:val="17"/>
                <w:color w:val="auto"/>
              </w:rPr>
              <w:t>Balance at beginning of the quarter</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Plans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87"/>
              </w:rPr>
              <w:t>Currency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Plans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1"/>
              </w:rPr>
              <w:t>Currency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1320" w:type="dxa"/>
            <w:vAlign w:val="bottom"/>
            <w:gridSpan w:val="3"/>
          </w:tcPr>
          <w:p>
            <w:pPr>
              <w:ind w:left="1240"/>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100"/>
              <w:spacing w:after="0"/>
              <w:rPr>
                <w:sz w:val="20"/>
                <w:szCs w:val="20"/>
                <w:color w:val="auto"/>
              </w:rPr>
            </w:pPr>
            <w:r>
              <w:rPr>
                <w:rFonts w:ascii="Arial" w:cs="Arial" w:eastAsia="Arial" w:hAnsi="Arial"/>
                <w:sz w:val="17"/>
                <w:szCs w:val="17"/>
                <w:color w:val="auto"/>
              </w:rPr>
              <w:t>(7,559)</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93"/>
              <w:spacing w:after="0"/>
              <w:rPr>
                <w:sz w:val="20"/>
                <w:szCs w:val="20"/>
                <w:color w:val="auto"/>
              </w:rPr>
            </w:pPr>
            <w:r>
              <w:rPr>
                <w:rFonts w:ascii="Arial" w:cs="Arial" w:eastAsia="Arial" w:hAnsi="Arial"/>
                <w:sz w:val="17"/>
                <w:szCs w:val="17"/>
                <w:color w:val="auto"/>
              </w:rPr>
              <w:t>(420)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
              <w:spacing w:after="0"/>
              <w:rPr>
                <w:sz w:val="20"/>
                <w:szCs w:val="20"/>
                <w:color w:val="auto"/>
              </w:rPr>
            </w:pPr>
            <w:r>
              <w:rPr>
                <w:rFonts w:ascii="Arial" w:cs="Arial" w:eastAsia="Arial" w:hAnsi="Arial"/>
                <w:sz w:val="17"/>
                <w:szCs w:val="17"/>
                <w:color w:val="auto"/>
              </w:rPr>
              <w:t>(7,979)</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4"/>
          </w:tcPr>
          <w:p>
            <w:pPr>
              <w:jc w:val="right"/>
              <w:ind w:right="31"/>
              <w:spacing w:after="0"/>
              <w:rPr>
                <w:sz w:val="20"/>
                <w:szCs w:val="20"/>
                <w:color w:val="auto"/>
              </w:rPr>
            </w:pPr>
            <w:r>
              <w:rPr>
                <w:rFonts w:ascii="Arial" w:cs="Arial" w:eastAsia="Arial" w:hAnsi="Arial"/>
                <w:sz w:val="17"/>
                <w:szCs w:val="17"/>
                <w:color w:val="auto"/>
              </w:rPr>
              <w:t>(4,408)</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(4,329)</w:t>
            </w: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7"/>
                <w:szCs w:val="17"/>
                <w:color w:val="auto"/>
              </w:rPr>
              <w:t>Other comprehensive income before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140"/>
              <w:spacing w:after="0"/>
              <w:rPr>
                <w:sz w:val="20"/>
                <w:szCs w:val="20"/>
                <w:color w:val="auto"/>
              </w:rPr>
            </w:pPr>
            <w:r>
              <w:rPr>
                <w:rFonts w:ascii="Arial" w:cs="Arial" w:eastAsia="Arial" w:hAnsi="Arial"/>
                <w:sz w:val="17"/>
                <w:szCs w:val="17"/>
                <w:color w:val="auto"/>
              </w:rPr>
              <w:t>reclassifications, net of taxes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7"/>
                <w:szCs w:val="17"/>
                <w:color w:val="auto"/>
              </w:rPr>
              <w:t>Amounts reclassified from accumulated other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ind w:left="140"/>
              <w:spacing w:after="0"/>
              <w:rPr>
                <w:sz w:val="20"/>
                <w:szCs w:val="20"/>
                <w:color w:val="auto"/>
              </w:rPr>
            </w:pPr>
            <w:r>
              <w:rPr>
                <w:rFonts w:ascii="Arial" w:cs="Arial" w:eastAsia="Arial" w:hAnsi="Arial"/>
                <w:sz w:val="17"/>
                <w:szCs w:val="17"/>
                <w:color w:val="auto"/>
              </w:rPr>
              <w:t xml:space="preserve">comprehensive income, net of taxes </w:t>
            </w:r>
            <w:r>
              <w:rPr>
                <w:rFonts w:ascii="Arial" w:cs="Arial" w:eastAsia="Arial" w:hAnsi="Arial"/>
                <w:sz w:val="14"/>
                <w:szCs w:val="14"/>
                <w:color w:val="auto"/>
              </w:rPr>
              <w:t>(1)</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7"/>
                <w:szCs w:val="17"/>
                <w:color w:val="auto"/>
              </w:rPr>
              <w:t>Other comprehensive income for the period</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Arial" w:cs="Arial" w:eastAsia="Arial" w:hAnsi="Arial"/>
                <w:sz w:val="17"/>
                <w:szCs w:val="17"/>
                <w:color w:val="auto"/>
              </w:rPr>
              <w:t>Balance at end of quarter</w:t>
            </w:r>
          </w:p>
        </w:tc>
        <w:tc>
          <w:tcPr>
            <w:tcW w:w="1320" w:type="dxa"/>
            <w:vAlign w:val="bottom"/>
            <w:gridSpan w:val="3"/>
          </w:tcPr>
          <w:p>
            <w:pPr>
              <w:ind w:left="1240"/>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100"/>
              <w:spacing w:after="0"/>
              <w:rPr>
                <w:sz w:val="20"/>
                <w:szCs w:val="20"/>
                <w:color w:val="auto"/>
              </w:rPr>
            </w:pPr>
            <w:r>
              <w:rPr>
                <w:rFonts w:ascii="Arial" w:cs="Arial" w:eastAsia="Arial" w:hAnsi="Arial"/>
                <w:sz w:val="17"/>
                <w:szCs w:val="17"/>
                <w:color w:val="auto"/>
              </w:rPr>
              <w:t>(7,282)</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93"/>
              <w:spacing w:after="0"/>
              <w:rPr>
                <w:sz w:val="20"/>
                <w:szCs w:val="20"/>
                <w:color w:val="auto"/>
              </w:rPr>
            </w:pPr>
            <w:r>
              <w:rPr>
                <w:rFonts w:ascii="Arial" w:cs="Arial" w:eastAsia="Arial" w:hAnsi="Arial"/>
                <w:sz w:val="17"/>
                <w:szCs w:val="17"/>
                <w:color w:val="auto"/>
              </w:rPr>
              <w:t>(381)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
              <w:spacing w:after="0"/>
              <w:rPr>
                <w:sz w:val="20"/>
                <w:szCs w:val="20"/>
                <w:color w:val="auto"/>
              </w:rPr>
            </w:pPr>
            <w:r>
              <w:rPr>
                <w:rFonts w:ascii="Arial" w:cs="Arial" w:eastAsia="Arial" w:hAnsi="Arial"/>
                <w:sz w:val="17"/>
                <w:szCs w:val="17"/>
                <w:color w:val="auto"/>
              </w:rPr>
              <w:t>(7,663)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4"/>
          </w:tcPr>
          <w:p>
            <w:pPr>
              <w:jc w:val="right"/>
              <w:ind w:right="31"/>
              <w:spacing w:after="0"/>
              <w:rPr>
                <w:sz w:val="20"/>
                <w:szCs w:val="20"/>
                <w:color w:val="auto"/>
              </w:rPr>
            </w:pPr>
            <w:r>
              <w:rPr>
                <w:rFonts w:ascii="Arial" w:cs="Arial" w:eastAsia="Arial" w:hAnsi="Arial"/>
                <w:sz w:val="17"/>
                <w:szCs w:val="17"/>
                <w:color w:val="auto"/>
              </w:rPr>
              <w:t>(4,270)</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(4,176)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260" w:type="dxa"/>
            <w:vAlign w:val="bottom"/>
            <w:vMerge w:val="restart"/>
          </w:tcPr>
          <w:p>
            <w:pPr>
              <w:spacing w:after="0"/>
              <w:rPr>
                <w:sz w:val="20"/>
                <w:szCs w:val="20"/>
                <w:color w:val="auto"/>
              </w:rPr>
            </w:pPr>
            <w:r>
              <w:rPr>
                <w:rFonts w:ascii="Arial" w:cs="Arial" w:eastAsia="Arial" w:hAnsi="Arial"/>
                <w:sz w:val="14"/>
                <w:szCs w:val="14"/>
                <w:i w:val="1"/>
                <w:iCs w:val="1"/>
                <w:color w:val="auto"/>
              </w:rPr>
              <w:t>For the six months ended:</w:t>
            </w: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color w:val="auto"/>
                <w:w w:val="91"/>
              </w:rPr>
              <w:t>August 1, 2015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color w:val="auto"/>
                <w:w w:val="89"/>
              </w:rPr>
              <w:t>August 2, 2014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2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5"/>
          </w:tcPr>
          <w:p>
            <w:pPr>
              <w:jc w:val="right"/>
              <w:spacing w:after="0" w:line="144" w:lineRule="exact"/>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Pension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ind w:left="80"/>
              <w:spacing w:after="0" w:line="143" w:lineRule="exact"/>
              <w:rPr>
                <w:sz w:val="20"/>
                <w:szCs w:val="20"/>
                <w:color w:val="auto"/>
              </w:rPr>
            </w:pPr>
            <w:r>
              <w:rPr>
                <w:rFonts w:ascii="Arial" w:cs="Arial" w:eastAsia="Arial" w:hAnsi="Arial"/>
                <w:sz w:val="14"/>
                <w:szCs w:val="14"/>
                <w:color w:val="auto"/>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right"/>
              <w:ind w:right="360"/>
              <w:spacing w:after="0" w:line="143" w:lineRule="exact"/>
              <w:rPr>
                <w:sz w:val="20"/>
                <w:szCs w:val="20"/>
                <w:color w:val="auto"/>
              </w:rPr>
            </w:pPr>
            <w:r>
              <w:rPr>
                <w:rFonts w:ascii="Arial" w:cs="Arial" w:eastAsia="Arial" w:hAnsi="Arial"/>
                <w:sz w:val="14"/>
                <w:szCs w:val="14"/>
                <w:color w:val="auto"/>
                <w:w w:val="90"/>
              </w:rPr>
              <w:t>Pension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center"/>
              <w:ind w:right="380"/>
              <w:spacing w:after="0" w:line="143" w:lineRule="exact"/>
              <w:rPr>
                <w:sz w:val="20"/>
                <w:szCs w:val="20"/>
                <w:color w:val="auto"/>
              </w:rPr>
            </w:pPr>
            <w:r>
              <w:rPr>
                <w:rFonts w:ascii="Arial" w:cs="Arial" w:eastAsia="Arial" w:hAnsi="Arial"/>
                <w:sz w:val="14"/>
                <w:szCs w:val="14"/>
                <w:color w:val="auto"/>
                <w:w w:val="92"/>
              </w:rPr>
              <w:t>Foreign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vMerge w:val="restart"/>
          </w:tcPr>
          <w:p>
            <w:pPr>
              <w:spacing w:after="0"/>
              <w:rPr>
                <w:sz w:val="20"/>
                <w:szCs w:val="20"/>
                <w:color w:val="auto"/>
              </w:rPr>
            </w:pPr>
            <w:r>
              <w:rPr>
                <w:rFonts w:ascii="Arial" w:cs="Arial" w:eastAsia="Arial" w:hAnsi="Arial"/>
                <w:sz w:val="17"/>
                <w:szCs w:val="17"/>
                <w:color w:val="auto"/>
              </w:rPr>
              <w:t>Balance at beginning of fiscal year</w:t>
            </w:r>
          </w:p>
        </w:tc>
        <w:tc>
          <w:tcPr>
            <w:tcW w:w="1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w w:val="79"/>
              </w:rPr>
              <w:t>Plans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36"/>
              <w:spacing w:after="0"/>
              <w:rPr>
                <w:sz w:val="20"/>
                <w:szCs w:val="20"/>
                <w:color w:val="auto"/>
              </w:rPr>
            </w:pPr>
            <w:r>
              <w:rPr>
                <w:rFonts w:ascii="Arial" w:cs="Arial" w:eastAsia="Arial" w:hAnsi="Arial"/>
                <w:sz w:val="14"/>
                <w:szCs w:val="14"/>
                <w:color w:val="auto"/>
                <w:w w:val="87"/>
              </w:rPr>
              <w:t>Currency</w:t>
            </w:r>
          </w:p>
        </w:tc>
        <w:tc>
          <w:tcPr>
            <w:tcW w:w="20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color w:val="auto"/>
                <w:w w:val="96"/>
              </w:rPr>
              <w:t>Plans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Currency</w:t>
            </w:r>
          </w:p>
        </w:tc>
        <w:tc>
          <w:tcPr>
            <w:tcW w:w="20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w w:val="96"/>
              </w:rPr>
              <w:t>Total</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(7,795)</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(443)</w:t>
            </w:r>
          </w:p>
        </w:tc>
        <w:tc>
          <w:tcPr>
            <w:tcW w:w="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(8,238)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(4,547)</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7"/>
                <w:szCs w:val="17"/>
                <w:color w:val="auto"/>
              </w:rPr>
              <w:t>(4,560)</w:t>
            </w: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7"/>
                <w:szCs w:val="17"/>
                <w:color w:val="auto"/>
              </w:rPr>
              <w:t>Other comprehensive income before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140"/>
              <w:spacing w:after="0"/>
              <w:rPr>
                <w:sz w:val="20"/>
                <w:szCs w:val="20"/>
                <w:color w:val="auto"/>
              </w:rPr>
            </w:pPr>
            <w:r>
              <w:rPr>
                <w:rFonts w:ascii="Arial" w:cs="Arial" w:eastAsia="Arial" w:hAnsi="Arial"/>
                <w:sz w:val="17"/>
                <w:szCs w:val="17"/>
                <w:color w:val="auto"/>
              </w:rPr>
              <w:t>reclassifications, net of taxes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7"/>
                <w:szCs w:val="17"/>
                <w:color w:val="auto"/>
              </w:rPr>
              <w:t>Amounts reclassified from accumulated other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ind w:left="140"/>
              <w:spacing w:after="0"/>
              <w:rPr>
                <w:sz w:val="20"/>
                <w:szCs w:val="20"/>
                <w:color w:val="auto"/>
              </w:rPr>
            </w:pPr>
            <w:r>
              <w:rPr>
                <w:rFonts w:ascii="Arial" w:cs="Arial" w:eastAsia="Arial" w:hAnsi="Arial"/>
                <w:sz w:val="17"/>
                <w:szCs w:val="17"/>
                <w:color w:val="auto"/>
              </w:rPr>
              <w:t xml:space="preserve">comprehensive income, net of taxes </w:t>
            </w:r>
            <w:r>
              <w:rPr>
                <w:rFonts w:ascii="Arial" w:cs="Arial" w:eastAsia="Arial" w:hAnsi="Arial"/>
                <w:sz w:val="14"/>
                <w:szCs w:val="14"/>
                <w:color w:val="auto"/>
              </w:rPr>
              <w:t>(1)</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7"/>
                <w:szCs w:val="17"/>
                <w:color w:val="auto"/>
              </w:rPr>
              <w:t>Other comprehensive income for the period</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513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Arial" w:cs="Arial" w:eastAsia="Arial" w:hAnsi="Arial"/>
                <w:sz w:val="17"/>
                <w:szCs w:val="17"/>
                <w:color w:val="auto"/>
              </w:rPr>
              <w:t>Balance at end of quarter</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(7,282)</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(381)</w:t>
            </w:r>
          </w:p>
        </w:tc>
        <w:tc>
          <w:tcPr>
            <w:tcW w:w="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(7,663)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(4,270)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7"/>
                <w:szCs w:val="17"/>
                <w:color w:val="auto"/>
              </w:rPr>
              <w:t>(4,176)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020" w:right="20" w:hanging="498"/>
        <w:spacing w:after="0" w:line="265" w:lineRule="auto"/>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$184,000 and $56,000 for the three months ended August 1, 2015 and August 2, 2014, respectively, and $323,000 and $113,000 for the six months ended August 1, 2015 and August 2, 2014, respectively. There was no tax benefit for any period.</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 from the Company’s retail store operation is recorded upon purchase of merchandise by customers, net of an allowance for sales returns. Revenue from the Company’s e-commerce operations is recognized at the time a customer order is delivered, net of an allowance for sales returns. Revenue is recognized by the operating segment that fulfills a customer’s order.</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17" w:lineRule="exact"/>
        <w:rPr>
          <w:sz w:val="20"/>
          <w:szCs w:val="20"/>
          <w:color w:val="auto"/>
        </w:rPr>
      </w:pPr>
    </w:p>
    <w:p>
      <w:pPr>
        <w:ind w:right="260"/>
        <w:spacing w:after="0" w:line="306" w:lineRule="auto"/>
        <w:rPr>
          <w:sz w:val="20"/>
          <w:szCs w:val="20"/>
          <w:color w:val="auto"/>
        </w:rPr>
      </w:pPr>
      <w:r>
        <w:rPr>
          <w:rFonts w:ascii="Arial" w:cs="Arial" w:eastAsia="Arial" w:hAnsi="Arial"/>
          <w:sz w:val="15"/>
          <w:szCs w:val="15"/>
          <w:color w:val="auto"/>
        </w:rPr>
        <w:t>All share-based payments, including grants of employee stock options and restricted stock, are recognized as an expense in the Consolidated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7"/>
          <w:szCs w:val="17"/>
          <w:color w:val="auto"/>
        </w:rPr>
        <w:t>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 Capitalized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Advertising Costs</w:t>
      </w:r>
      <w:r>
        <w:rPr>
          <w:rFonts w:ascii="Arial" w:cs="Arial" w:eastAsia="Arial" w:hAnsi="Arial"/>
          <w:sz w:val="15"/>
          <w:szCs w:val="15"/>
          <w:color w:val="auto"/>
        </w:rPr>
        <w:t>”. The core principle of ASU 2014-09 is that an entity should recognize revenue in a way that depicts the transfer of promised goods or services to</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customers in an amount that reflects the consideration to which the entity expects to be entitled in exchange for those goods or services. ASU 2014-09 also includes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 cohesive set of disclosure requirements that would result in an entity providing users of financial statements with comprehensive information about the nature,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amount, timing and uncertainty of revenue and cash flows arising from the entity’s contracts with customers. In August 2015, the FASB issued ASU 2015-14,</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to defer the effective date of ASU 2014-09 by one year. ASU 2014-09 will be effective for fiscal years, and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interim periods within those years, beginning after December 15, 2017, and is to be applied either retrospectively to each prior reporting period presented or with</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effect recognized at the date of initial adoption as an adjustment to the opening balance of retained earnings (or other appropriate components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equity or net assets on the balance sheet). Early adoption is permitted after December 15, 2016. The Company does not believe that there will be any material</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impact of ASU 2014-09 on its Consolidated Financial Statements upon adoption.</w:t>
      </w:r>
    </w:p>
    <w:p>
      <w:pPr>
        <w:spacing w:after="0" w:line="20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June 2014, the FASB issued ASU 2014-12, “</w:t>
      </w:r>
      <w:r>
        <w:rPr>
          <w:rFonts w:ascii="Arial" w:cs="Arial" w:eastAsia="Arial" w:hAnsi="Arial"/>
          <w:sz w:val="17"/>
          <w:szCs w:val="17"/>
          <w:i w:val="1"/>
          <w:iCs w:val="1"/>
          <w:color w:val="auto"/>
        </w:rPr>
        <w:t>Accounting for Share-Based Payments When the Terms of an Award Provide That a Performance Target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Achieved after the Requisite Service Period”. </w:t>
      </w:r>
      <w:r>
        <w:rPr>
          <w:rFonts w:ascii="Arial" w:cs="Arial" w:eastAsia="Arial" w:hAnsi="Arial"/>
          <w:sz w:val="17"/>
          <w:szCs w:val="17"/>
          <w:color w:val="auto"/>
        </w:rPr>
        <w:t>ASU 2014-12 affects entities that grant their employees share-based payments in which terms of the award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The Company does not believe that there will be any material impact of ASU 2014-12 on its Consolidated Financial Statements upon adoption.</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January 2015, the FASB issued ASU 2015-01, “</w:t>
      </w:r>
      <w:r>
        <w:rPr>
          <w:rFonts w:ascii="Arial" w:cs="Arial" w:eastAsia="Arial" w:hAnsi="Arial"/>
          <w:sz w:val="16"/>
          <w:szCs w:val="16"/>
          <w:i w:val="1"/>
          <w:iCs w:val="1"/>
          <w:color w:val="auto"/>
        </w:rPr>
        <w:t>Income Statement - Extraordinary and Unusual Items (Subtopic 225-20)”.</w:t>
      </w:r>
      <w:r>
        <w:rPr>
          <w:rFonts w:ascii="Arial" w:cs="Arial" w:eastAsia="Arial" w:hAnsi="Arial"/>
          <w:sz w:val="16"/>
          <w:szCs w:val="16"/>
          <w:color w:val="auto"/>
        </w:rPr>
        <w:t xml:space="preserve"> ASU 2015-01 eliminates the concept of extraordinary items from GAAP, which requires an entity to separately classify, present, and disclose extraordinary events and transactions. ASU 2015-01 is effective for annual reporting periods beginning after December 15, 2015, and for annual periods and interim periods thereafter. Early application is permitted. The adoption of ASU 2015-01 is not expected to have an impact on the Company’s financial position or results of operations.</w:t>
      </w:r>
    </w:p>
    <w:p>
      <w:pPr>
        <w:spacing w:after="0" w:line="16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May 2015, the FASB issued ASU 2015-05, “</w:t>
      </w:r>
      <w:r>
        <w:rPr>
          <w:rFonts w:ascii="Arial" w:cs="Arial" w:eastAsia="Arial" w:hAnsi="Arial"/>
          <w:sz w:val="16"/>
          <w:szCs w:val="16"/>
          <w:i w:val="1"/>
          <w:iCs w:val="1"/>
          <w:color w:val="auto"/>
        </w:rPr>
        <w:t>Intangibles - Goodwill and Other - Internal - Use Software (Subtopic 350-40): Customer’s Accounting for Fees Paid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a Cloud Computing Arrangement”. </w:t>
      </w:r>
      <w:r>
        <w:rPr>
          <w:rFonts w:ascii="Arial" w:cs="Arial" w:eastAsia="Arial" w:hAnsi="Arial"/>
          <w:sz w:val="16"/>
          <w:szCs w:val="16"/>
          <w:color w:val="auto"/>
        </w:rPr>
        <w:t>ASU 2015-05 provides accounting guidance on how customers should treat cloud computing arrangements. If a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annual reporting periods beginning after December 15, 2015 and interim periods within those reporting periods. An entity can elect to adopt the amendments either (1) prospectively to all arrangements entered into or materially modified after the effective date or (2) retrospectively. The adoption of ASU 2015-05 is not expected to have a material impact on the Company’s financial position or results of operations.</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is a change from previous measurement of lower of cost or market, where market could be replacement cost, net realizable value, or net realizable value less an approximately normal profit margin. This ASU is effective for annual and interim periods beginning after December 15, 2016, and should be applied prospectively with early adoption permitted at the beginning of an interim or annual reporting period. The Company is currently evaluating the impact the pronouncement will have on the Company's financial position but does not expect that there will be any material impact of ASU 2015-11 on its Consolidated Financial Statements upon adoption.</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 other new accounting pronouncements, issued or effective during the first six months of fiscal 2015, have had or are expected to have a significant impact on the Company’s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2. Debt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 with Bank of America, N.A.</w:t>
      </w:r>
    </w:p>
    <w:p>
      <w:pPr>
        <w:spacing w:after="0" w:line="12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 of credits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described below and (ii) intellectual property.</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At August 1, 2015, the Company had outstanding borrowings under the Credit Facility of $34.6 million, before unamortized debt issuance costs of $0.5 million. Outstanding standby letters of credit were $2.2 million and documentary letters of credit were less than $0.1 million. Unused excess availability at August 1, 2015 was $73.9 million. Average monthly borrowings outstanding under the Credit Facility during the first six months of fiscal 2015 were $37.2 million, resulting in an average unused excess availability of approximately $67.9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August 1, 2015, the Company’s prime-based interest rate was 3.75%. At August 1, 2015, the Company had approximately $30.0 million of its outstanding borrowings in a LIBOR-based contract with an interest rate of 1.69%. The LIBOR-based contract expired on August 19, 2015. When a LIBOR-based borrowing expires, the borrowings revert back to prime-based borrowings unless the Company enters into a new LIBOR-based borrowing arrangement.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amount outstanding under the Credit Facility at August 1, 2015 approximated the carrying value.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Debt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Components of long-term debt are as follows:</w:t>
      </w:r>
    </w:p>
    <w:p>
      <w:pPr>
        <w:spacing w:after="0" w:line="2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89"/>
              </w:rPr>
              <w:t>August 1, 2015</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w w:val="90"/>
              </w:rPr>
              <w:t>January 31, 2015</w:t>
            </w:r>
          </w:p>
        </w:tc>
        <w:tc>
          <w:tcPr>
            <w:tcW w:w="100" w:type="dxa"/>
            <w:vAlign w:val="bottom"/>
            <w:tcBorders>
              <w:bottom w:val="single" w:sz="8" w:color="CFF0FC"/>
            </w:tcBorders>
          </w:tcPr>
          <w:p>
            <w:pPr>
              <w:spacing w:after="0"/>
              <w:rPr>
                <w:sz w:val="14"/>
                <w:szCs w:val="14"/>
                <w:color w:val="auto"/>
              </w:rPr>
            </w:pPr>
          </w:p>
        </w:tc>
      </w:tr>
      <w:tr>
        <w:trPr>
          <w:trHeight w:val="214"/>
        </w:trPr>
        <w:tc>
          <w:tcPr>
            <w:tcW w:w="55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Equipment financing notes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16,154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19,390</w:t>
            </w:r>
          </w:p>
        </w:tc>
        <w:tc>
          <w:tcPr>
            <w:tcW w:w="100" w:type="dxa"/>
            <w:vAlign w:val="bottom"/>
            <w:shd w:val="clear" w:color="auto" w:fill="CFF0FC"/>
          </w:tcPr>
          <w:p>
            <w:pPr>
              <w:spacing w:after="0"/>
              <w:rPr>
                <w:sz w:val="18"/>
                <w:szCs w:val="18"/>
                <w:color w:val="auto"/>
              </w:rPr>
            </w:pPr>
          </w:p>
        </w:tc>
      </w:tr>
      <w:tr>
        <w:trPr>
          <w:trHeight w:val="221"/>
        </w:trPr>
        <w:tc>
          <w:tcPr>
            <w:tcW w:w="5520" w:type="dxa"/>
            <w:vAlign w:val="bottom"/>
            <w:gridSpan w:val="2"/>
          </w:tcPr>
          <w:p>
            <w:pPr>
              <w:spacing w:after="0"/>
              <w:rPr>
                <w:sz w:val="20"/>
                <w:szCs w:val="20"/>
                <w:color w:val="auto"/>
              </w:rPr>
            </w:pPr>
            <w:r>
              <w:rPr>
                <w:rFonts w:ascii="Arial" w:cs="Arial" w:eastAsia="Arial" w:hAnsi="Arial"/>
                <w:sz w:val="17"/>
                <w:szCs w:val="17"/>
                <w:color w:val="auto"/>
              </w:rPr>
              <w:t>Term loan, due 2019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14,250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14,750</w:t>
            </w:r>
          </w:p>
        </w:tc>
        <w:tc>
          <w:tcPr>
            <w:tcW w:w="100" w:type="dxa"/>
            <w:vAlign w:val="bottom"/>
          </w:tcPr>
          <w:p>
            <w:pPr>
              <w:spacing w:after="0"/>
              <w:rPr>
                <w:sz w:val="19"/>
                <w:szCs w:val="19"/>
                <w:color w:val="auto"/>
              </w:rPr>
            </w:pPr>
          </w:p>
        </w:tc>
      </w:tr>
      <w:tr>
        <w:trPr>
          <w:trHeight w:val="221"/>
        </w:trPr>
        <w:tc>
          <w:tcPr>
            <w:tcW w:w="55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unamortized debt issuance costs (1)</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(572)</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(634)</w:t>
            </w:r>
          </w:p>
        </w:tc>
      </w:tr>
      <w:tr>
        <w:trPr>
          <w:trHeight w:val="214"/>
        </w:trPr>
        <w:tc>
          <w:tcPr>
            <w:tcW w:w="5520" w:type="dxa"/>
            <w:vAlign w:val="bottom"/>
            <w:gridSpan w:val="2"/>
          </w:tcPr>
          <w:p>
            <w:pPr>
              <w:spacing w:after="0"/>
              <w:rPr>
                <w:sz w:val="20"/>
                <w:szCs w:val="20"/>
                <w:color w:val="auto"/>
              </w:rPr>
            </w:pPr>
            <w:r>
              <w:rPr>
                <w:rFonts w:ascii="Arial" w:cs="Arial" w:eastAsia="Arial" w:hAnsi="Arial"/>
                <w:sz w:val="17"/>
                <w:szCs w:val="17"/>
                <w:color w:val="auto"/>
              </w:rPr>
              <w:t>Total long-term debt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29,832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33,506</w:t>
            </w:r>
          </w:p>
        </w:tc>
        <w:tc>
          <w:tcPr>
            <w:tcW w:w="100" w:type="dxa"/>
            <w:vAlign w:val="bottom"/>
          </w:tcPr>
          <w:p>
            <w:pPr>
              <w:spacing w:after="0"/>
              <w:rPr>
                <w:sz w:val="18"/>
                <w:szCs w:val="18"/>
                <w:color w:val="auto"/>
              </w:rPr>
            </w:pPr>
          </w:p>
        </w:tc>
      </w:tr>
      <w:tr>
        <w:trPr>
          <w:trHeight w:val="221"/>
        </w:trPr>
        <w:tc>
          <w:tcPr>
            <w:tcW w:w="55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current portion of long-term debt</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7,435</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7,335</w:t>
            </w:r>
          </w:p>
        </w:tc>
        <w:tc>
          <w:tcPr>
            <w:tcW w:w="100" w:type="dxa"/>
            <w:vAlign w:val="bottom"/>
            <w:shd w:val="clear" w:color="auto" w:fill="CFF0FC"/>
          </w:tcPr>
          <w:p>
            <w:pPr>
              <w:spacing w:after="0"/>
              <w:rPr>
                <w:sz w:val="19"/>
                <w:szCs w:val="19"/>
                <w:color w:val="auto"/>
              </w:rPr>
            </w:pPr>
          </w:p>
        </w:tc>
      </w:tr>
      <w:tr>
        <w:trPr>
          <w:trHeight w:val="214"/>
        </w:trPr>
        <w:tc>
          <w:tcPr>
            <w:tcW w:w="5520" w:type="dxa"/>
            <w:vAlign w:val="bottom"/>
            <w:gridSpan w:val="2"/>
          </w:tcPr>
          <w:p>
            <w:pPr>
              <w:spacing w:after="0"/>
              <w:rPr>
                <w:sz w:val="20"/>
                <w:szCs w:val="20"/>
                <w:color w:val="auto"/>
              </w:rPr>
            </w:pPr>
            <w:r>
              <w:rPr>
                <w:rFonts w:ascii="Arial" w:cs="Arial" w:eastAsia="Arial" w:hAnsi="Arial"/>
                <w:sz w:val="17"/>
                <w:szCs w:val="17"/>
                <w:color w:val="auto"/>
              </w:rPr>
              <w:t>Long-term debt, net of current portion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22,397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26,171</w:t>
            </w:r>
          </w:p>
        </w:tc>
        <w:tc>
          <w:tcPr>
            <w:tcW w:w="100" w:type="dxa"/>
            <w:vAlign w:val="bottom"/>
          </w:tcPr>
          <w:p>
            <w:pPr>
              <w:spacing w:after="0"/>
              <w:rPr>
                <w:sz w:val="18"/>
                <w:szCs w:val="18"/>
                <w:color w:val="auto"/>
              </w:rPr>
            </w:pPr>
          </w:p>
        </w:tc>
      </w:tr>
    </w:tbl>
    <w:p>
      <w:pPr>
        <w:spacing w:after="0" w:line="92" w:lineRule="exact"/>
        <w:rPr>
          <w:sz w:val="20"/>
          <w:szCs w:val="20"/>
          <w:color w:val="auto"/>
        </w:rPr>
      </w:pPr>
    </w:p>
    <w:p>
      <w:pPr>
        <w:ind w:left="760" w:right="20" w:hanging="376"/>
        <w:spacing w:after="0" w:line="286"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the reclassification of debt issuance costs of $0.1 million from “Prepaid expenses and other current assets” and $0.5 million from “Other assets” at January 31, 2015 as a result of the Company adopting ASU 2015-03, see Note 1.</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Equipment Financing Loans</w:t>
      </w:r>
    </w:p>
    <w:p>
      <w:pPr>
        <w:spacing w:after="0" w:line="11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and 3.50%. Principal and interest are paid monthly, in arrears.</w:t>
      </w:r>
    </w:p>
    <w:p>
      <w:pPr>
        <w:spacing w:after="0" w:line="17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Notes are secured by a security interest in all of the Company’s rights, title and interest in and to certain equipment. The Company is subject to a prepayment penalty equal to 1% of the prepaid principal of the Notes until the first anniversary of each Note,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ind w:right="120"/>
        <w:spacing w:after="0" w:line="319" w:lineRule="auto"/>
        <w:rPr>
          <w:sz w:val="20"/>
          <w:szCs w:val="20"/>
          <w:color w:val="auto"/>
        </w:rPr>
      </w:pPr>
      <w:r>
        <w:rPr>
          <w:rFonts w:ascii="Arial" w:cs="Arial" w:eastAsia="Arial" w:hAnsi="Arial"/>
          <w:sz w:val="16"/>
          <w:szCs w:val="16"/>
          <w:color w:val="auto"/>
        </w:rPr>
        <w:t>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Term Loan</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9"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commencing the first business day of January 2015, in an aggregate principal amount equal to $250,000, subject to adjustment, with the balance payable on the termination date.</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the first anniversary of the Effective Date; (b) 2% of the amount prepaid if the prepayment is after the first anniversary, but prior to the second anniversary, of the Effective Date; and (c) 1% of the amount prepaid if the prepayment is after the second anniversary, but prior to the third anniversary, of the Effective Date. There is no prepayment penalty after the third anniversary of the Effective Date.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Stock-Based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2013-2016 LTIP</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Company’s 2013-2016 Destination XL Group, Inc. Long-Term Incentive Plan (the “2013-2016 LTIP”) was approved in the second quarter of fiscal</w:t>
      </w:r>
    </w:p>
    <w:p>
      <w:pPr>
        <w:spacing w:after="0" w:line="39"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color w:val="auto"/>
        </w:rPr>
        <w:t>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 All shares were granted from the Company’s 2006 Incentive Compensation Plan.</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will vest at the end of fiscal 2015 and the remaining 40% will vest at the end of fiscal 2016.</w:t>
      </w:r>
    </w:p>
    <w:p>
      <w:pPr>
        <w:spacing w:after="0" w:line="199"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20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as of August 1, 2015, would be approximately $19.4 million. Approximately half of the compensation expense relates to the time-vested awards, which is being expensed over forty-four months, based on the respective vesting dates. As the performance targets were not deemed probable at August 1, 2015, no expense for the performance-based awards has been recognized through the end of the first six months of fiscal 2015.</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Long-Term Incentive Wrap-Around Plan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the fourth quarter of fiscal 2014, the Company’s Compensation Committee approved the 2016 Long-Term Incentive Wrap-Around Plan (the “Wrap-Around Plan”). The Wrap-Around Plan is a supplemental performance-based incentive plan that is only effective if there is no vesting of the performance-based awards under the 2013-2016 LTIP and, as a result, all performance-based awards under that plan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6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Wrap-Around Plan also provides for an opportunity to receive additional shares of restricted stock if the performance targets are achieved and the Company’s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closing stock price is $6.75 or higher on the day earnings for fiscal 2016 are publicly released. If the Company’s stock price is $6.75, the 50% payout in restricted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shares will be increased by 20% and if the stock price is $7.25 or higher, the 50% payout in restricted shares will be increased by 30%. In any event, the most that</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can be achieved is the 100% payout level. All awards granted pursuant to the Wrap-Around Plan will not vest until the last day of the second quarter of fiscal 2017</w:t>
      </w:r>
      <w:r>
        <w:rPr>
          <w:rFonts w:ascii="Arial" w:cs="Arial" w:eastAsia="Arial" w:hAnsi="Arial"/>
          <w:sz w:val="17"/>
          <w:szCs w:val="17"/>
          <w:color w:val="auto"/>
        </w:rPr>
        <w:t>.</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Assuming that the Company achieves the performance target at target levels under the Wrap-Around Plan, and further assuming that the Company’s stock price is greater than $7.25, at the time the Company’s earnings are publicly released, the compensation expense associated with this Wrap-Around Plan is estimated to be approximately $8.7 million. However, because the performance targets under the Wrap-Around Plan were not deemed probable at August 1, 2015, no compensation expense for the performance-based awards has been recognized through the end of the first six months of fiscal 2015.</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2006 Plan—Stock Option and Restricted Share Award Activity</w:t>
      </w:r>
    </w:p>
    <w:p>
      <w:pPr>
        <w:spacing w:after="0" w:line="2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Company’s 2006 Incentive Compensation Plan, as amended (the “2006 Plan”), the Company has 7,250,000 shares authorized for issuance, of which 4,250,000 shares may be subject to the granting of awards other than stock options and stock appreciation rights.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stock option activity and restricted share activity under the 2006 Plan for the first six months of fiscal 2015:</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Weighted-average</w:t>
            </w: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Weighted-average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540" w:type="dxa"/>
            <w:vAlign w:val="bottom"/>
          </w:tcPr>
          <w:p>
            <w:pPr>
              <w:spacing w:after="0"/>
              <w:rPr>
                <w:sz w:val="12"/>
                <w:szCs w:val="12"/>
                <w:color w:val="auto"/>
              </w:rPr>
            </w:pPr>
          </w:p>
        </w:tc>
        <w:tc>
          <w:tcPr>
            <w:tcW w:w="1220" w:type="dxa"/>
            <w:vAlign w:val="bottom"/>
            <w:gridSpan w:val="2"/>
          </w:tcPr>
          <w:p>
            <w:pPr>
              <w:jc w:val="right"/>
              <w:ind w:right="380"/>
              <w:spacing w:after="0" w:line="143"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3" w:lineRule="exact"/>
              <w:rPr>
                <w:sz w:val="20"/>
                <w:szCs w:val="20"/>
                <w:color w:val="auto"/>
              </w:rPr>
            </w:pPr>
            <w:r>
              <w:rPr>
                <w:rFonts w:ascii="Arial" w:cs="Arial" w:eastAsia="Arial" w:hAnsi="Arial"/>
                <w:sz w:val="14"/>
                <w:szCs w:val="14"/>
                <w:color w:val="auto"/>
                <w:w w:val="90"/>
              </w:rPr>
              <w:t>exercise price</w:t>
            </w:r>
          </w:p>
        </w:tc>
        <w:tc>
          <w:tcPr>
            <w:tcW w:w="1120" w:type="dxa"/>
            <w:vAlign w:val="bottom"/>
          </w:tcPr>
          <w:p>
            <w:pPr>
              <w:jc w:val="center"/>
              <w:spacing w:after="0" w:line="143" w:lineRule="exact"/>
              <w:rPr>
                <w:sz w:val="20"/>
                <w:szCs w:val="20"/>
                <w:color w:val="auto"/>
              </w:rPr>
            </w:pPr>
            <w:r>
              <w:rPr>
                <w:rFonts w:ascii="Arial" w:cs="Arial" w:eastAsia="Arial" w:hAnsi="Arial"/>
                <w:sz w:val="14"/>
                <w:szCs w:val="14"/>
                <w:color w:val="auto"/>
                <w:w w:val="91"/>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89"/>
              </w:rPr>
              <w:t>Aggregate</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per option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contractual term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intrinsic value</w:t>
            </w:r>
          </w:p>
        </w:tc>
        <w:tc>
          <w:tcPr>
            <w:tcW w:w="0" w:type="dxa"/>
            <w:vAlign w:val="bottom"/>
          </w:tcPr>
          <w:p>
            <w:pPr>
              <w:spacing w:after="0"/>
              <w:rPr>
                <w:sz w:val="1"/>
                <w:szCs w:val="1"/>
                <w:color w:val="auto"/>
              </w:rPr>
            </w:pPr>
          </w:p>
        </w:tc>
      </w:tr>
      <w:tr>
        <w:trPr>
          <w:trHeight w:val="214"/>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Stock Options</w:t>
            </w: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tcPr>
          <w:p>
            <w:pPr>
              <w:ind w:left="240"/>
              <w:spacing w:after="0"/>
              <w:rPr>
                <w:sz w:val="20"/>
                <w:szCs w:val="20"/>
                <w:color w:val="auto"/>
              </w:rPr>
            </w:pPr>
            <w:r>
              <w:rPr>
                <w:rFonts w:ascii="Arial" w:cs="Arial" w:eastAsia="Arial" w:hAnsi="Arial"/>
                <w:sz w:val="17"/>
                <w:szCs w:val="17"/>
                <w:color w:val="auto"/>
              </w:rPr>
              <w:t>Outstanding options at beginning of year</w:t>
            </w:r>
          </w:p>
        </w:tc>
        <w:tc>
          <w:tcPr>
            <w:tcW w:w="1120" w:type="dxa"/>
            <w:vAlign w:val="bottom"/>
          </w:tcPr>
          <w:p>
            <w:pPr>
              <w:jc w:val="right"/>
              <w:spacing w:after="0"/>
              <w:rPr>
                <w:sz w:val="20"/>
                <w:szCs w:val="20"/>
                <w:color w:val="auto"/>
              </w:rPr>
            </w:pPr>
            <w:r>
              <w:rPr>
                <w:rFonts w:ascii="Arial" w:cs="Arial" w:eastAsia="Arial" w:hAnsi="Arial"/>
                <w:sz w:val="17"/>
                <w:szCs w:val="17"/>
                <w:color w:val="auto"/>
              </w:rPr>
              <w:t>2,747,802</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4.97</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Options granted</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ind w:left="240"/>
              <w:spacing w:after="0"/>
              <w:rPr>
                <w:sz w:val="20"/>
                <w:szCs w:val="20"/>
                <w:color w:val="auto"/>
              </w:rPr>
            </w:pPr>
            <w:r>
              <w:rPr>
                <w:rFonts w:ascii="Arial" w:cs="Arial" w:eastAsia="Arial" w:hAnsi="Arial"/>
                <w:sz w:val="17"/>
                <w:szCs w:val="17"/>
                <w:color w:val="auto"/>
              </w:rPr>
              <w:t>Options canceled</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(13,791)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5.04</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Options exercised </w:t>
            </w:r>
            <w:r>
              <w:rPr>
                <w:rFonts w:ascii="Arial" w:cs="Arial" w:eastAsia="Arial" w:hAnsi="Arial"/>
                <w:sz w:val="14"/>
                <w:szCs w:val="14"/>
                <w:color w:val="auto"/>
              </w:rPr>
              <w:t>(1)</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(12,136)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5.04</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240"/>
              <w:spacing w:after="0"/>
              <w:rPr>
                <w:sz w:val="20"/>
                <w:szCs w:val="20"/>
                <w:color w:val="auto"/>
              </w:rPr>
            </w:pPr>
            <w:r>
              <w:rPr>
                <w:rFonts w:ascii="Arial" w:cs="Arial" w:eastAsia="Arial" w:hAnsi="Arial"/>
                <w:sz w:val="17"/>
                <w:szCs w:val="17"/>
                <w:color w:val="auto"/>
              </w:rPr>
              <w:t>Outstanding options at end of quarter</w:t>
            </w: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2,721,875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4.97</w:t>
            </w:r>
          </w:p>
        </w:tc>
        <w:tc>
          <w:tcPr>
            <w:tcW w:w="1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Arial" w:cs="Arial" w:eastAsia="Arial" w:hAnsi="Arial"/>
                <w:sz w:val="17"/>
                <w:szCs w:val="17"/>
                <w:color w:val="auto"/>
                <w:w w:val="88"/>
              </w:rPr>
              <w:t>7.4 years</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305,537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Options exercisable at end of quarter</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636,446</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4.74</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ind w:left="480"/>
              <w:spacing w:after="0"/>
              <w:rPr>
                <w:sz w:val="20"/>
                <w:szCs w:val="20"/>
                <w:color w:val="auto"/>
              </w:rPr>
            </w:pPr>
            <w:r>
              <w:rPr>
                <w:rFonts w:ascii="Arial" w:cs="Arial" w:eastAsia="Arial" w:hAnsi="Arial"/>
                <w:sz w:val="17"/>
                <w:szCs w:val="17"/>
                <w:color w:val="auto"/>
                <w:w w:val="88"/>
              </w:rPr>
              <w:t>5.9 years</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276,036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020" w:hanging="498"/>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intrinsic value of options exercised was immaterial.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tbl>
      <w:tblPr>
        <w:tblLayout w:type="fixed"/>
        <w:tblInd w:w="40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Weighted-</w:t>
            </w:r>
          </w:p>
        </w:tc>
        <w:tc>
          <w:tcPr>
            <w:tcW w:w="0" w:type="dxa"/>
            <w:vAlign w:val="bottom"/>
          </w:tcPr>
          <w:p>
            <w:pPr>
              <w:spacing w:after="0"/>
              <w:rPr>
                <w:sz w:val="1"/>
                <w:szCs w:val="1"/>
                <w:color w:val="auto"/>
              </w:rPr>
            </w:pPr>
          </w:p>
        </w:tc>
      </w:tr>
      <w:tr>
        <w:trPr>
          <w:trHeight w:val="143"/>
        </w:trPr>
        <w:tc>
          <w:tcPr>
            <w:tcW w:w="5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3"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3"/>
        </w:trPr>
        <w:tc>
          <w:tcPr>
            <w:tcW w:w="5920" w:type="dxa"/>
            <w:vAlign w:val="bottom"/>
          </w:tcPr>
          <w:p>
            <w:pPr>
              <w:spacing w:after="0"/>
              <w:rPr>
                <w:sz w:val="12"/>
                <w:szCs w:val="12"/>
                <w:color w:val="auto"/>
              </w:rPr>
            </w:pPr>
          </w:p>
        </w:tc>
        <w:tc>
          <w:tcPr>
            <w:tcW w:w="108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Restricted</w:t>
            </w:r>
          </w:p>
        </w:tc>
        <w:tc>
          <w:tcPr>
            <w:tcW w:w="82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Deferred</w:t>
            </w:r>
          </w:p>
        </w:tc>
        <w:tc>
          <w:tcPr>
            <w:tcW w:w="90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w w:val="90"/>
              </w:rPr>
              <w:t>Fully-vested</w:t>
            </w:r>
          </w:p>
        </w:tc>
        <w:tc>
          <w:tcPr>
            <w:tcW w:w="10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89"/>
              </w:rPr>
              <w:t>Total number of</w:t>
            </w: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3" w:lineRule="exact"/>
              <w:rPr>
                <w:sz w:val="20"/>
                <w:szCs w:val="20"/>
                <w:color w:val="auto"/>
              </w:rPr>
            </w:pPr>
            <w:r>
              <w:rPr>
                <w:rFonts w:ascii="Arial" w:cs="Arial" w:eastAsia="Arial" w:hAnsi="Arial"/>
                <w:sz w:val="14"/>
                <w:szCs w:val="14"/>
                <w:color w:val="auto"/>
                <w:w w:val="87"/>
              </w:rPr>
              <w:t>grant-date</w:t>
            </w:r>
          </w:p>
        </w:tc>
        <w:tc>
          <w:tcPr>
            <w:tcW w:w="0" w:type="dxa"/>
            <w:vAlign w:val="bottom"/>
          </w:tcPr>
          <w:p>
            <w:pPr>
              <w:spacing w:after="0"/>
              <w:rPr>
                <w:sz w:val="1"/>
                <w:szCs w:val="1"/>
                <w:color w:val="auto"/>
              </w:rPr>
            </w:pPr>
          </w:p>
        </w:tc>
      </w:tr>
      <w:tr>
        <w:trPr>
          <w:trHeight w:val="162"/>
        </w:trPr>
        <w:tc>
          <w:tcPr>
            <w:tcW w:w="5920" w:type="dxa"/>
            <w:vAlign w:val="bottom"/>
            <w:vMerge w:val="restart"/>
          </w:tcPr>
          <w:p>
            <w:pPr>
              <w:spacing w:after="0"/>
              <w:rPr>
                <w:sz w:val="20"/>
                <w:szCs w:val="20"/>
                <w:color w:val="auto"/>
              </w:rPr>
            </w:pPr>
            <w:r>
              <w:rPr>
                <w:rFonts w:ascii="Arial" w:cs="Arial" w:eastAsia="Arial" w:hAnsi="Arial"/>
                <w:sz w:val="17"/>
                <w:szCs w:val="17"/>
                <w:b w:val="1"/>
                <w:bCs w:val="1"/>
                <w:color w:val="auto"/>
              </w:rPr>
              <w:t>Shares</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1"/>
                <w:szCs w:val="11"/>
                <w:color w:val="auto"/>
              </w:rPr>
              <w:t>(1)</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1"/>
                <w:szCs w:val="11"/>
                <w:color w:val="auto"/>
              </w:rPr>
              <w:t>(2)</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 xml:space="preserve">fair value </w:t>
            </w:r>
            <w:r>
              <w:rPr>
                <w:rFonts w:ascii="Arial" w:cs="Arial" w:eastAsia="Arial" w:hAnsi="Arial"/>
                <w:sz w:val="11"/>
                <w:szCs w:val="11"/>
                <w:color w:val="auto"/>
                <w:w w:val="94"/>
              </w:rPr>
              <w:t>(3)</w:t>
            </w:r>
          </w:p>
        </w:tc>
        <w:tc>
          <w:tcPr>
            <w:tcW w:w="0" w:type="dxa"/>
            <w:vAlign w:val="bottom"/>
          </w:tcPr>
          <w:p>
            <w:pPr>
              <w:spacing w:after="0"/>
              <w:rPr>
                <w:sz w:val="1"/>
                <w:szCs w:val="1"/>
                <w:color w:val="auto"/>
              </w:rPr>
            </w:pPr>
          </w:p>
        </w:tc>
      </w:tr>
      <w:tr>
        <w:trPr>
          <w:trHeight w:val="214"/>
        </w:trPr>
        <w:tc>
          <w:tcPr>
            <w:tcW w:w="592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Outstanding non-vested shares at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1,685,290</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11,238</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1,696,528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Shares granted</w:t>
            </w:r>
          </w:p>
        </w:tc>
        <w:tc>
          <w:tcPr>
            <w:tcW w:w="920" w:type="dxa"/>
            <w:vAlign w:val="bottom"/>
          </w:tcPr>
          <w:p>
            <w:pPr>
              <w:jc w:val="right"/>
              <w:spacing w:after="0"/>
              <w:rPr>
                <w:sz w:val="20"/>
                <w:szCs w:val="20"/>
                <w:color w:val="auto"/>
              </w:rPr>
            </w:pPr>
            <w:r>
              <w:rPr>
                <w:rFonts w:ascii="Arial" w:cs="Arial" w:eastAsia="Arial" w:hAnsi="Arial"/>
                <w:sz w:val="17"/>
                <w:szCs w:val="17"/>
                <w:color w:val="auto"/>
              </w:rPr>
              <w:t>10,000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10,342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30,564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50,906</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Shares vested/issued</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(32,223)</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(30,564)</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(62,787)</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Shares canceled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Outstanding non-vested shares at end of quarter</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1,663,067</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21,580</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1,684,647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020" w:right="280" w:hanging="498"/>
        <w:spacing w:after="0" w:line="270"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first six months of fiscal 2015, the Company granted 10,342 shares of deferred stock, with a fair value of approximately $51,856 to certain directors as compensation in lieu of cash, in accordance with their irrevocable elections. The shares of deferred stock will vest three years from the date of grant or at separation of service, based on the irrevocable election of each director.</w:t>
      </w:r>
    </w:p>
    <w:p>
      <w:pPr>
        <w:spacing w:after="0" w:line="198" w:lineRule="exact"/>
        <w:rPr>
          <w:rFonts w:ascii="Arial" w:cs="Arial" w:eastAsia="Arial" w:hAnsi="Arial"/>
          <w:sz w:val="17"/>
          <w:szCs w:val="17"/>
          <w:color w:val="auto"/>
        </w:rPr>
      </w:pPr>
    </w:p>
    <w:p>
      <w:pPr>
        <w:ind w:left="1020" w:hanging="498"/>
        <w:spacing w:after="0" w:line="276"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first six months of fiscal 2015, the Company granted 30,564 shares of stock, with a fair value of approximately $153,323 to certain directors as compensation in lieu of cash, in accordance with their irrevocable elections. Beginning in fiscal 2015, directors are required to elect 50% of their quarterly retainer in equity. All shares paid to directors to satisfy this election are issued from the Company’s 2006 Stock Incentive</w:t>
      </w:r>
    </w:p>
    <w:p>
      <w:pPr>
        <w:spacing w:after="0" w:line="1"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Plan. Any shares in excess of the minimum required election will be issued from the Company’s Non-Employee Director Stock Purchase Plan.</w:t>
      </w:r>
    </w:p>
    <w:p>
      <w:pPr>
        <w:spacing w:after="0" w:line="115" w:lineRule="exact"/>
        <w:rPr>
          <w:rFonts w:ascii="Arial" w:cs="Arial" w:eastAsia="Arial" w:hAnsi="Arial"/>
          <w:sz w:val="16"/>
          <w:szCs w:val="16"/>
          <w:color w:val="auto"/>
        </w:rPr>
      </w:pPr>
    </w:p>
    <w:p>
      <w:pPr>
        <w:ind w:left="1020" w:hanging="498"/>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a restricted share, deferred share and fully-vested share is equal to the Company’s closing stock price on the date of grant.</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1992 Stock Incentive Plan (the “1992 Plan”)—Stock Option Activity</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stock option activity under the 1992 Plan for the first six months of fiscal 2015:</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Weighted-average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Weighted-average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5440" w:type="dxa"/>
            <w:vAlign w:val="bottom"/>
          </w:tcPr>
          <w:p>
            <w:pPr>
              <w:spacing w:after="0"/>
              <w:rPr>
                <w:sz w:val="12"/>
                <w:szCs w:val="12"/>
                <w:color w:val="auto"/>
              </w:rPr>
            </w:pPr>
          </w:p>
        </w:tc>
        <w:tc>
          <w:tcPr>
            <w:tcW w:w="1200" w:type="dxa"/>
            <w:vAlign w:val="bottom"/>
            <w:gridSpan w:val="2"/>
          </w:tcPr>
          <w:p>
            <w:pPr>
              <w:jc w:val="right"/>
              <w:ind w:right="400"/>
              <w:spacing w:after="0" w:line="143"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3" w:lineRule="exact"/>
              <w:rPr>
                <w:sz w:val="20"/>
                <w:szCs w:val="20"/>
                <w:color w:val="auto"/>
              </w:rPr>
            </w:pPr>
            <w:r>
              <w:rPr>
                <w:rFonts w:ascii="Arial" w:cs="Arial" w:eastAsia="Arial" w:hAnsi="Arial"/>
                <w:sz w:val="14"/>
                <w:szCs w:val="14"/>
                <w:color w:val="auto"/>
                <w:w w:val="87"/>
              </w:rPr>
              <w:t>exercise price</w:t>
            </w:r>
          </w:p>
        </w:tc>
        <w:tc>
          <w:tcPr>
            <w:tcW w:w="124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1"/>
              </w:rPr>
              <w:t>remaining</w:t>
            </w:r>
          </w:p>
        </w:tc>
        <w:tc>
          <w:tcPr>
            <w:tcW w:w="116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89"/>
              </w:rPr>
              <w:t>Aggregate</w:t>
            </w:r>
          </w:p>
        </w:tc>
      </w:tr>
      <w:tr>
        <w:trPr>
          <w:trHeight w:val="162"/>
        </w:trPr>
        <w:tc>
          <w:tcPr>
            <w:tcW w:w="54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per option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contractual term</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 xml:space="preserve">intrinsic value </w:t>
            </w:r>
            <w:r>
              <w:rPr>
                <w:rFonts w:ascii="Arial" w:cs="Arial" w:eastAsia="Arial" w:hAnsi="Arial"/>
                <w:sz w:val="11"/>
                <w:szCs w:val="11"/>
                <w:color w:val="auto"/>
                <w:w w:val="93"/>
              </w:rPr>
              <w:t>(1)</w:t>
            </w:r>
          </w:p>
        </w:tc>
      </w:tr>
      <w:tr>
        <w:trPr>
          <w:trHeight w:val="214"/>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Stock Options</w:t>
            </w: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5440" w:type="dxa"/>
            <w:vAlign w:val="bottom"/>
          </w:tcPr>
          <w:p>
            <w:pPr>
              <w:ind w:left="240"/>
              <w:spacing w:after="0"/>
              <w:rPr>
                <w:sz w:val="20"/>
                <w:szCs w:val="20"/>
                <w:color w:val="auto"/>
              </w:rPr>
            </w:pPr>
            <w:r>
              <w:rPr>
                <w:rFonts w:ascii="Arial" w:cs="Arial" w:eastAsia="Arial" w:hAnsi="Arial"/>
                <w:sz w:val="17"/>
                <w:szCs w:val="17"/>
                <w:color w:val="auto"/>
              </w:rPr>
              <w:t>Outstanding options at beginning of year</w:t>
            </w:r>
          </w:p>
        </w:tc>
        <w:tc>
          <w:tcPr>
            <w:tcW w:w="1020" w:type="dxa"/>
            <w:vAlign w:val="bottom"/>
          </w:tcPr>
          <w:p>
            <w:pPr>
              <w:jc w:val="right"/>
              <w:spacing w:after="0"/>
              <w:rPr>
                <w:sz w:val="20"/>
                <w:szCs w:val="20"/>
                <w:color w:val="auto"/>
              </w:rPr>
            </w:pPr>
            <w:r>
              <w:rPr>
                <w:rFonts w:ascii="Arial" w:cs="Arial" w:eastAsia="Arial" w:hAnsi="Arial"/>
                <w:sz w:val="17"/>
                <w:szCs w:val="17"/>
                <w:color w:val="auto"/>
              </w:rPr>
              <w:t>217,500</w:t>
            </w: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7.01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Options granted</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5440" w:type="dxa"/>
            <w:vAlign w:val="bottom"/>
          </w:tcPr>
          <w:p>
            <w:pPr>
              <w:ind w:left="240"/>
              <w:spacing w:after="0"/>
              <w:rPr>
                <w:sz w:val="20"/>
                <w:szCs w:val="20"/>
                <w:color w:val="auto"/>
              </w:rPr>
            </w:pPr>
            <w:r>
              <w:rPr>
                <w:rFonts w:ascii="Arial" w:cs="Arial" w:eastAsia="Arial" w:hAnsi="Arial"/>
                <w:sz w:val="17"/>
                <w:szCs w:val="17"/>
                <w:color w:val="auto"/>
              </w:rPr>
              <w:t>Options expired</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(201,500)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7.00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Options canceled</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7.38</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Options exercised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14"/>
        </w:trPr>
        <w:tc>
          <w:tcPr>
            <w:tcW w:w="5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Outstanding options at end of quarter</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7.18</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0.5 years</w:t>
            </w: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r>
      <w:tr>
        <w:trPr>
          <w:trHeight w:val="221"/>
        </w:trPr>
        <w:tc>
          <w:tcPr>
            <w:tcW w:w="5440" w:type="dxa"/>
            <w:vAlign w:val="bottom"/>
          </w:tcPr>
          <w:p>
            <w:pPr>
              <w:ind w:left="240"/>
              <w:spacing w:after="0"/>
              <w:rPr>
                <w:sz w:val="20"/>
                <w:szCs w:val="20"/>
                <w:color w:val="auto"/>
              </w:rPr>
            </w:pPr>
            <w:r>
              <w:rPr>
                <w:rFonts w:ascii="Arial" w:cs="Arial" w:eastAsia="Arial" w:hAnsi="Arial"/>
                <w:sz w:val="17"/>
                <w:szCs w:val="17"/>
                <w:color w:val="auto"/>
              </w:rPr>
              <w:t>Options exercisable at end of quarter</w:t>
            </w:r>
          </w:p>
        </w:tc>
        <w:tc>
          <w:tcPr>
            <w:tcW w:w="1020" w:type="dxa"/>
            <w:vAlign w:val="bottom"/>
          </w:tcPr>
          <w:p>
            <w:pPr>
              <w:jc w:val="right"/>
              <w:spacing w:after="0"/>
              <w:rPr>
                <w:sz w:val="20"/>
                <w:szCs w:val="20"/>
                <w:color w:val="auto"/>
              </w:rPr>
            </w:pPr>
            <w:r>
              <w:rPr>
                <w:rFonts w:ascii="Arial" w:cs="Arial" w:eastAsia="Arial" w:hAnsi="Arial"/>
                <w:sz w:val="17"/>
                <w:szCs w:val="17"/>
                <w:color w:val="auto"/>
              </w:rPr>
              <w:t>15,000</w:t>
            </w: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7.18</w:t>
            </w:r>
          </w:p>
        </w:tc>
        <w:tc>
          <w:tcPr>
            <w:tcW w:w="180" w:type="dxa"/>
            <w:vAlign w:val="bottom"/>
          </w:tcPr>
          <w:p>
            <w:pPr>
              <w:spacing w:after="0"/>
              <w:rPr>
                <w:sz w:val="19"/>
                <w:szCs w:val="19"/>
                <w:color w:val="auto"/>
              </w:rPr>
            </w:pPr>
          </w:p>
        </w:tc>
        <w:tc>
          <w:tcPr>
            <w:tcW w:w="1240" w:type="dxa"/>
            <w:vAlign w:val="bottom"/>
            <w:gridSpan w:val="2"/>
          </w:tcPr>
          <w:p>
            <w:pPr>
              <w:ind w:left="500"/>
              <w:spacing w:after="0"/>
              <w:rPr>
                <w:sz w:val="20"/>
                <w:szCs w:val="20"/>
                <w:color w:val="auto"/>
              </w:rPr>
            </w:pPr>
            <w:r>
              <w:rPr>
                <w:rFonts w:ascii="Arial" w:cs="Arial" w:eastAsia="Arial" w:hAnsi="Arial"/>
                <w:sz w:val="17"/>
                <w:szCs w:val="17"/>
                <w:color w:val="auto"/>
              </w:rPr>
              <w:t>0.5 years</w:t>
            </w:r>
          </w:p>
        </w:tc>
        <w:tc>
          <w:tcPr>
            <w:tcW w:w="1160" w:type="dxa"/>
            <w:vAlign w:val="bottom"/>
            <w:gridSpan w:val="2"/>
          </w:tcPr>
          <w:p>
            <w:pPr>
              <w:ind w:left="860"/>
              <w:spacing w:after="0"/>
              <w:rPr>
                <w:sz w:val="20"/>
                <w:szCs w:val="20"/>
                <w:color w:val="auto"/>
              </w:rPr>
            </w:pPr>
            <w:r>
              <w:rPr>
                <w:rFonts w:ascii="Arial" w:cs="Arial" w:eastAsia="Arial" w:hAnsi="Arial"/>
                <w:sz w:val="17"/>
                <w:szCs w:val="17"/>
                <w:color w:val="auto"/>
              </w:rPr>
              <w:t>—</w:t>
            </w:r>
          </w:p>
        </w:tc>
      </w:tr>
    </w:tbl>
    <w:p>
      <w:pPr>
        <w:spacing w:after="0" w:line="196" w:lineRule="exact"/>
        <w:rPr>
          <w:sz w:val="20"/>
          <w:szCs w:val="20"/>
          <w:color w:val="auto"/>
        </w:rPr>
      </w:pPr>
    </w:p>
    <w:p>
      <w:pPr>
        <w:ind w:left="1020" w:hanging="498"/>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intrinsic value of the options outstanding at August 1, 2015 was immaterial.</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Share Availability Under the 2006 Plan</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At August 1, 2015, the Company had 1,085,532 shares available for future grant under the 2006 Plan, of which 964,380 remain available under the sublimit for awards other than options and stock appreciation rights. No further grants can be made under the 1992 Plan.</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Non-Employee Director Stock Purchase Plan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granted 12,195 shares of common stock, with a fair value of approximately $60,872, to certain of its non-employee directors as compensation in lieu of cash in the first six months of fiscal 2015.</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Valuation Assumptions for Stock Options and Restricted Stock</w:t>
      </w:r>
    </w:p>
    <w:p>
      <w:pPr>
        <w:spacing w:after="0" w:line="117"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color w:val="auto"/>
        </w:rPr>
        <w:t>For the first six months of fiscal 2015, the Company granted 10,342 shares of deferred stock and 10,000 shares of restricted stock. For the first six months of fiscal 2014, the Company granted 74,018 shares of restricted stock, 5,448 shares of deferred stock and stock options to purchase 106,882 shares of common stock.</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14" w:name="page15"/>
    <w:bookmarkEnd w:id="14"/>
    <w:p>
      <w:pPr>
        <w:ind w:right="280"/>
        <w:spacing w:after="0" w:line="263" w:lineRule="auto"/>
        <w:rPr>
          <w:sz w:val="20"/>
          <w:szCs w:val="20"/>
          <w:color w:val="auto"/>
        </w:rPr>
      </w:pPr>
      <w:r>
        <w:rPr>
          <w:rFonts w:ascii="Arial" w:cs="Arial" w:eastAsia="Arial" w:hAnsi="Arial"/>
          <w:sz w:val="17"/>
          <w:szCs w:val="17"/>
          <w:color w:val="auto"/>
        </w:rPr>
        <w:t>The fair value of each option granted is estimated on the date of grant using the Black-Scholes option-pricing model. For the first six months of fiscal 2015, there were no grants of stock options. The following assumptions were used for grants for the first six months of fiscal 2014:</w:t>
      </w:r>
    </w:p>
    <w:tbl>
      <w:tblPr>
        <w:tblLayout w:type="fixed"/>
        <w:tblInd w:w="0" w:type="dxa"/>
        <w:tblCellMar>
          <w:top w:w="0" w:type="dxa"/>
          <w:left w:w="0" w:type="dxa"/>
          <w:bottom w:w="0" w:type="dxa"/>
          <w:right w:w="0" w:type="dxa"/>
        </w:tblCellMar>
      </w:tblPr>
      <w:tr>
        <w:trPr>
          <w:trHeight w:val="156"/>
        </w:trPr>
        <w:tc>
          <w:tcPr>
            <w:tcW w:w="9400" w:type="dxa"/>
            <w:vAlign w:val="bottom"/>
            <w:tcBorders>
              <w:bottom w:val="single" w:sz="8" w:color="CFF0FC"/>
            </w:tcBorders>
          </w:tcPr>
          <w:p>
            <w:pPr>
              <w:spacing w:after="0"/>
              <w:rPr>
                <w:sz w:val="13"/>
                <w:szCs w:val="13"/>
                <w:color w:val="auto"/>
              </w:rPr>
            </w:pPr>
          </w:p>
        </w:tc>
        <w:tc>
          <w:tcPr>
            <w:tcW w:w="1840" w:type="dxa"/>
            <w:vAlign w:val="bottom"/>
            <w:tcBorders>
              <w:bottom w:val="single" w:sz="8" w:color="auto"/>
            </w:tcBorders>
          </w:tcPr>
          <w:p>
            <w:pPr>
              <w:jc w:val="right"/>
              <w:ind w:right="417"/>
              <w:spacing w:after="0" w:line="156" w:lineRule="exact"/>
              <w:rPr>
                <w:sz w:val="20"/>
                <w:szCs w:val="20"/>
                <w:color w:val="auto"/>
              </w:rPr>
            </w:pPr>
            <w:r>
              <w:rPr>
                <w:rFonts w:ascii="Arial" w:cs="Arial" w:eastAsia="Arial" w:hAnsi="Arial"/>
                <w:sz w:val="14"/>
                <w:szCs w:val="14"/>
                <w:color w:val="auto"/>
              </w:rPr>
              <w:t>August 2, 2014</w:t>
            </w:r>
          </w:p>
        </w:tc>
        <w:tc>
          <w:tcPr>
            <w:tcW w:w="180" w:type="dxa"/>
            <w:vAlign w:val="bottom"/>
            <w:tcBorders>
              <w:bottom w:val="single" w:sz="8" w:color="CFF0FC"/>
            </w:tcBorders>
          </w:tcPr>
          <w:p>
            <w:pPr>
              <w:spacing w:after="0"/>
              <w:rPr>
                <w:sz w:val="13"/>
                <w:szCs w:val="13"/>
                <w:color w:val="auto"/>
              </w:rPr>
            </w:pPr>
          </w:p>
        </w:tc>
      </w:tr>
      <w:tr>
        <w:trPr>
          <w:trHeight w:val="214"/>
        </w:trPr>
        <w:tc>
          <w:tcPr>
            <w:tcW w:w="9400" w:type="dxa"/>
            <w:vAlign w:val="bottom"/>
            <w:shd w:val="clear" w:color="auto" w:fill="CFF0FC"/>
          </w:tcPr>
          <w:p>
            <w:pPr>
              <w:spacing w:after="0"/>
              <w:rPr>
                <w:sz w:val="20"/>
                <w:szCs w:val="20"/>
                <w:color w:val="auto"/>
              </w:rPr>
            </w:pPr>
            <w:r>
              <w:rPr>
                <w:rFonts w:ascii="Arial" w:cs="Arial" w:eastAsia="Arial" w:hAnsi="Arial"/>
                <w:sz w:val="17"/>
                <w:szCs w:val="17"/>
                <w:color w:val="auto"/>
              </w:rPr>
              <w:t>Expected volatility</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46.0%</w:t>
            </w:r>
          </w:p>
        </w:tc>
      </w:tr>
      <w:tr>
        <w:trPr>
          <w:trHeight w:val="221"/>
        </w:trPr>
        <w:tc>
          <w:tcPr>
            <w:tcW w:w="94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020" w:type="dxa"/>
            <w:vAlign w:val="bottom"/>
            <w:gridSpan w:val="2"/>
          </w:tcPr>
          <w:p>
            <w:pPr>
              <w:jc w:val="right"/>
              <w:ind w:right="40"/>
              <w:spacing w:after="0"/>
              <w:rPr>
                <w:sz w:val="20"/>
                <w:szCs w:val="20"/>
                <w:color w:val="auto"/>
              </w:rPr>
            </w:pPr>
            <w:r>
              <w:rPr>
                <w:rFonts w:ascii="Arial" w:cs="Arial" w:eastAsia="Arial" w:hAnsi="Arial"/>
                <w:sz w:val="17"/>
                <w:szCs w:val="17"/>
                <w:color w:val="auto"/>
              </w:rPr>
              <w:t>0.79%</w:t>
            </w:r>
          </w:p>
        </w:tc>
      </w:tr>
      <w:tr>
        <w:trPr>
          <w:trHeight w:val="221"/>
        </w:trPr>
        <w:tc>
          <w:tcPr>
            <w:tcW w:w="9400" w:type="dxa"/>
            <w:vAlign w:val="bottom"/>
            <w:shd w:val="clear" w:color="auto" w:fill="CFF0FC"/>
          </w:tcPr>
          <w:p>
            <w:pPr>
              <w:spacing w:after="0"/>
              <w:rPr>
                <w:sz w:val="20"/>
                <w:szCs w:val="20"/>
                <w:color w:val="auto"/>
              </w:rPr>
            </w:pPr>
            <w:r>
              <w:rPr>
                <w:rFonts w:ascii="Arial" w:cs="Arial" w:eastAsia="Arial" w:hAnsi="Arial"/>
                <w:sz w:val="17"/>
                <w:szCs w:val="17"/>
                <w:color w:val="auto"/>
              </w:rPr>
              <w:t>Expected life</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3.1 yrs</w:t>
            </w:r>
          </w:p>
        </w:tc>
      </w:tr>
      <w:tr>
        <w:trPr>
          <w:trHeight w:val="221"/>
        </w:trPr>
        <w:tc>
          <w:tcPr>
            <w:tcW w:w="9400" w:type="dxa"/>
            <w:vAlign w:val="bottom"/>
          </w:tcPr>
          <w:p>
            <w:pPr>
              <w:spacing w:after="0"/>
              <w:rPr>
                <w:sz w:val="20"/>
                <w:szCs w:val="20"/>
                <w:color w:val="auto"/>
              </w:rPr>
            </w:pPr>
            <w:r>
              <w:rPr>
                <w:rFonts w:ascii="Arial" w:cs="Arial" w:eastAsia="Arial" w:hAnsi="Arial"/>
                <w:sz w:val="17"/>
                <w:szCs w:val="17"/>
                <w:color w:val="auto"/>
              </w:rPr>
              <w:t>Dividend rate</w:t>
            </w:r>
          </w:p>
        </w:tc>
        <w:tc>
          <w:tcPr>
            <w:tcW w:w="2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bl>
    <w:p>
      <w:pPr>
        <w:spacing w:after="0" w:line="9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73" w:lineRule="exact"/>
        <w:rPr>
          <w:sz w:val="20"/>
          <w:szCs w:val="20"/>
          <w:color w:val="auto"/>
        </w:rPr>
      </w:pPr>
    </w:p>
    <w:p>
      <w:pPr>
        <w:ind w:right="220"/>
        <w:spacing w:after="0" w:line="306" w:lineRule="auto"/>
        <w:rPr>
          <w:sz w:val="20"/>
          <w:szCs w:val="20"/>
          <w:color w:val="auto"/>
        </w:rPr>
      </w:pPr>
      <w:r>
        <w:rPr>
          <w:rFonts w:ascii="Arial" w:cs="Arial" w:eastAsia="Arial" w:hAnsi="Arial"/>
          <w:sz w:val="15"/>
          <w:szCs w:val="15"/>
          <w:color w:val="auto"/>
        </w:rPr>
        <w:t>For the first six months of fiscal 2015 and fiscal 2014, the Company recognized total stock-based compensation expense of $1.1 million and $1.5 million, respectively. The total compensation cost related to time-vested stock options and time-based restricted stock awards not yet recognized as of August 1, 2015 is approximately $1.6 million, net of estimated forfeitures, which will be expensed over a weighted average remaining life of 13.1 months. At August 1, 2015, the Company had $7.1 million of unrecognized compensation expense, net of estimated forfeitures, related to its performance-based stock options and restricted stock. As discussed above, the Company will begin recognizing compensation if, and when, achievement of the 2013-2016 LTIP performance targets becomes probable.</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Earnings per Share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number of shares outstanding for basic and diluted earnings per share:</w:t>
      </w:r>
    </w:p>
    <w:p>
      <w:pPr>
        <w:spacing w:after="0" w:line="2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840" w:type="dxa"/>
            <w:vAlign w:val="bottom"/>
            <w:gridSpan w:val="4"/>
          </w:tcPr>
          <w:p>
            <w:pPr>
              <w:ind w:left="560"/>
              <w:spacing w:after="0"/>
              <w:rPr>
                <w:sz w:val="20"/>
                <w:szCs w:val="20"/>
                <w:color w:val="auto"/>
              </w:rPr>
            </w:pPr>
            <w:r>
              <w:rPr>
                <w:rFonts w:ascii="Arial" w:cs="Arial" w:eastAsia="Arial" w:hAnsi="Arial"/>
                <w:sz w:val="14"/>
                <w:szCs w:val="14"/>
                <w:color w:val="auto"/>
              </w:rPr>
              <w:t>For the three months ended</w:t>
            </w:r>
          </w:p>
        </w:tc>
        <w:tc>
          <w:tcPr>
            <w:tcW w:w="2420" w:type="dxa"/>
            <w:vAlign w:val="bottom"/>
            <w:gridSpan w:val="4"/>
          </w:tcPr>
          <w:p>
            <w:pPr>
              <w:ind w:left="4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2"/>
        </w:trPr>
        <w:tc>
          <w:tcPr>
            <w:tcW w:w="57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540" w:type="dxa"/>
            <w:vAlign w:val="bottom"/>
            <w:gridSpan w:val="2"/>
          </w:tcPr>
          <w:p>
            <w:pPr>
              <w:ind w:left="240"/>
              <w:spacing w:after="0"/>
              <w:rPr>
                <w:sz w:val="20"/>
                <w:szCs w:val="20"/>
                <w:color w:val="auto"/>
              </w:rPr>
            </w:pPr>
            <w:r>
              <w:rPr>
                <w:rFonts w:ascii="Arial" w:cs="Arial" w:eastAsia="Arial" w:hAnsi="Arial"/>
                <w:sz w:val="14"/>
                <w:szCs w:val="14"/>
                <w:color w:val="auto"/>
              </w:rPr>
              <w:t>August 1, 2015</w:t>
            </w:r>
          </w:p>
        </w:tc>
        <w:tc>
          <w:tcPr>
            <w:tcW w:w="1300" w:type="dxa"/>
            <w:vAlign w:val="bottom"/>
            <w:gridSpan w:val="2"/>
          </w:tcPr>
          <w:p>
            <w:pPr>
              <w:ind w:left="120"/>
              <w:spacing w:after="0"/>
              <w:rPr>
                <w:sz w:val="20"/>
                <w:szCs w:val="20"/>
                <w:color w:val="auto"/>
              </w:rPr>
            </w:pPr>
            <w:r>
              <w:rPr>
                <w:rFonts w:ascii="Arial" w:cs="Arial" w:eastAsia="Arial" w:hAnsi="Arial"/>
                <w:sz w:val="14"/>
                <w:szCs w:val="14"/>
                <w:color w:val="auto"/>
              </w:rPr>
              <w:t>August 2, 2014</w:t>
            </w: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August 1, 2015</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August 2, 2014</w:t>
            </w:r>
          </w:p>
        </w:tc>
        <w:tc>
          <w:tcPr>
            <w:tcW w:w="0" w:type="dxa"/>
            <w:vAlign w:val="bottom"/>
          </w:tcPr>
          <w:p>
            <w:pPr>
              <w:spacing w:after="0"/>
              <w:rPr>
                <w:sz w:val="1"/>
                <w:szCs w:val="1"/>
                <w:color w:val="auto"/>
              </w:rPr>
            </w:pPr>
          </w:p>
        </w:tc>
      </w:tr>
      <w:tr>
        <w:trPr>
          <w:trHeight w:val="149"/>
        </w:trPr>
        <w:tc>
          <w:tcPr>
            <w:tcW w:w="5760" w:type="dxa"/>
            <w:vAlign w:val="bottom"/>
            <w:gridSpan w:val="2"/>
            <w:vMerge w:val="continue"/>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Common Stock Outstanding:</w:t>
            </w: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gridSpan w:val="2"/>
          </w:tcPr>
          <w:p>
            <w:pPr>
              <w:spacing w:after="0"/>
              <w:rPr>
                <w:sz w:val="20"/>
                <w:szCs w:val="20"/>
                <w:color w:val="auto"/>
              </w:rPr>
            </w:pPr>
            <w:r>
              <w:rPr>
                <w:rFonts w:ascii="Arial" w:cs="Arial" w:eastAsia="Arial" w:hAnsi="Arial"/>
                <w:sz w:val="17"/>
                <w:szCs w:val="17"/>
                <w:color w:val="auto"/>
              </w:rPr>
              <w:t>Basic weighted average common shares outstanding</w:t>
            </w:r>
          </w:p>
        </w:tc>
        <w:tc>
          <w:tcPr>
            <w:tcW w:w="1360" w:type="dxa"/>
            <w:vAlign w:val="bottom"/>
          </w:tcPr>
          <w:p>
            <w:pPr>
              <w:jc w:val="right"/>
              <w:spacing w:after="0"/>
              <w:rPr>
                <w:sz w:val="20"/>
                <w:szCs w:val="20"/>
                <w:color w:val="auto"/>
              </w:rPr>
            </w:pPr>
            <w:r>
              <w:rPr>
                <w:rFonts w:ascii="Arial" w:cs="Arial" w:eastAsia="Arial" w:hAnsi="Arial"/>
                <w:sz w:val="17"/>
                <w:szCs w:val="17"/>
                <w:color w:val="auto"/>
              </w:rPr>
              <w:t>49,081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48,743</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49,050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Common stock equivalents – stock options and restricted stock </w:t>
            </w:r>
            <w:r>
              <w:rPr>
                <w:rFonts w:ascii="Arial" w:cs="Arial" w:eastAsia="Arial" w:hAnsi="Arial"/>
                <w:sz w:val="14"/>
                <w:szCs w:val="14"/>
                <w:color w:val="auto"/>
              </w:rPr>
              <w:t>(1)</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760" w:type="dxa"/>
            <w:vAlign w:val="bottom"/>
            <w:gridSpan w:val="2"/>
          </w:tcPr>
          <w:p>
            <w:pPr>
              <w:spacing w:after="0"/>
              <w:rPr>
                <w:sz w:val="20"/>
                <w:szCs w:val="20"/>
                <w:color w:val="auto"/>
              </w:rPr>
            </w:pPr>
            <w:r>
              <w:rPr>
                <w:rFonts w:ascii="Arial" w:cs="Arial" w:eastAsia="Arial" w:hAnsi="Arial"/>
                <w:sz w:val="17"/>
                <w:szCs w:val="17"/>
                <w:color w:val="auto"/>
              </w:rPr>
              <w:t>Diluted weighted average common shares outstanding</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49,081</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48,743</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49,050</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20" w:right="140" w:hanging="498"/>
        <w:spacing w:after="0" w:line="28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Common Stock equivalents of </w:t>
      </w:r>
      <w:r>
        <w:rPr>
          <w:rFonts w:ascii="Arial" w:cs="Arial" w:eastAsia="Arial" w:hAnsi="Arial"/>
          <w:sz w:val="20"/>
          <w:szCs w:val="20"/>
          <w:color w:val="auto"/>
        </w:rPr>
        <w:t>483</w:t>
      </w:r>
      <w:r>
        <w:rPr>
          <w:rFonts w:ascii="Arial" w:cs="Arial" w:eastAsia="Arial" w:hAnsi="Arial"/>
          <w:sz w:val="17"/>
          <w:szCs w:val="17"/>
          <w:color w:val="auto"/>
        </w:rPr>
        <w:t xml:space="preserve"> and 520 shares for the three months ended August 1, 2015 and August 2, 2014, respectively, and 508 and 538 for the first six months ended August 1, 2015 and August 2, 2014, respectively, were excluded due to the net loss.</w:t>
      </w:r>
    </w:p>
    <w:p>
      <w:pPr>
        <w:spacing w:after="0" w:line="178"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the stock options or restricted stock.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0" w:type="dxa"/>
            <w:vAlign w:val="bottom"/>
            <w:gridSpan w:val="4"/>
          </w:tcPr>
          <w:p>
            <w:pPr>
              <w:ind w:left="660"/>
              <w:spacing w:after="0"/>
              <w:rPr>
                <w:sz w:val="20"/>
                <w:szCs w:val="20"/>
                <w:color w:val="auto"/>
              </w:rPr>
            </w:pPr>
            <w:r>
              <w:rPr>
                <w:rFonts w:ascii="Arial" w:cs="Arial" w:eastAsia="Arial" w:hAnsi="Arial"/>
                <w:sz w:val="14"/>
                <w:szCs w:val="14"/>
                <w:color w:val="auto"/>
              </w:rPr>
              <w:t>For the three months ended</w:t>
            </w:r>
          </w:p>
        </w:tc>
        <w:tc>
          <w:tcPr>
            <w:tcW w:w="2680" w:type="dxa"/>
            <w:vAlign w:val="bottom"/>
            <w:gridSpan w:val="3"/>
          </w:tcPr>
          <w:p>
            <w:pPr>
              <w:jc w:val="right"/>
              <w:ind w:right="538"/>
              <w:spacing w:after="0"/>
              <w:rPr>
                <w:sz w:val="20"/>
                <w:szCs w:val="20"/>
                <w:color w:val="auto"/>
              </w:rPr>
            </w:pPr>
            <w:r>
              <w:rPr>
                <w:rFonts w:ascii="Arial" w:cs="Arial" w:eastAsia="Arial" w:hAnsi="Arial"/>
                <w:sz w:val="14"/>
                <w:szCs w:val="14"/>
                <w:color w:val="auto"/>
              </w:rPr>
              <w:t>For the six months ended</w:t>
            </w:r>
          </w:p>
        </w:tc>
      </w:tr>
      <w:tr>
        <w:trPr>
          <w:trHeight w:val="162"/>
        </w:trPr>
        <w:tc>
          <w:tcPr>
            <w:tcW w:w="584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color w:val="auto"/>
              </w:rPr>
              <w:t>August 1, 2015</w:t>
            </w:r>
          </w:p>
        </w:tc>
        <w:tc>
          <w:tcPr>
            <w:tcW w:w="1480" w:type="dxa"/>
            <w:vAlign w:val="bottom"/>
            <w:gridSpan w:val="2"/>
          </w:tcPr>
          <w:p>
            <w:pPr>
              <w:ind w:left="220"/>
              <w:spacing w:after="0"/>
              <w:rPr>
                <w:sz w:val="20"/>
                <w:szCs w:val="20"/>
                <w:color w:val="auto"/>
              </w:rPr>
            </w:pPr>
            <w:r>
              <w:rPr>
                <w:rFonts w:ascii="Arial" w:cs="Arial" w:eastAsia="Arial" w:hAnsi="Arial"/>
                <w:sz w:val="14"/>
                <w:szCs w:val="14"/>
                <w:color w:val="auto"/>
              </w:rPr>
              <w:t>August 2, 2014</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August 1, 2015</w:t>
            </w:r>
          </w:p>
        </w:tc>
        <w:tc>
          <w:tcPr>
            <w:tcW w:w="1180" w:type="dxa"/>
            <w:vAlign w:val="bottom"/>
          </w:tcPr>
          <w:p>
            <w:pPr>
              <w:jc w:val="right"/>
              <w:ind w:right="78"/>
              <w:spacing w:after="0"/>
              <w:rPr>
                <w:sz w:val="20"/>
                <w:szCs w:val="20"/>
                <w:color w:val="auto"/>
              </w:rPr>
            </w:pPr>
            <w:r>
              <w:rPr>
                <w:rFonts w:ascii="Arial" w:cs="Arial" w:eastAsia="Arial" w:hAnsi="Arial"/>
                <w:sz w:val="14"/>
                <w:szCs w:val="14"/>
                <w:color w:val="auto"/>
              </w:rPr>
              <w:t>August 2, 2014</w:t>
            </w:r>
          </w:p>
        </w:tc>
      </w:tr>
      <w:tr>
        <w:trPr>
          <w:trHeight w:val="162"/>
        </w:trPr>
        <w:tc>
          <w:tcPr>
            <w:tcW w:w="5840" w:type="dxa"/>
            <w:vAlign w:val="bottom"/>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3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21"/>
        </w:trPr>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Stock Options (time-vested)</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1,467</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1,648</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1,461</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1,648</w:t>
            </w: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Restricted Stock (time-vested)</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Range of exercise prices of such options</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$4.91 - $7.52</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$4.96 - $7.52</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$4.96 - $7.52</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$4.96 - $7.52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above options, which were outstanding at August 1, 2015, expire from January 16, 2016 to November 10, 2024.</w:t>
      </w:r>
    </w:p>
    <w:p>
      <w:pPr>
        <w:spacing w:after="0" w:line="221"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color w:val="auto"/>
        </w:rPr>
        <w:t>Excluded from the Company’s computation of basic and diluted earnings per share for both the second quarter and first six months of fiscal 2015 were 933,486 shares of unvested performance-based restricted stock and 1,162,047 performance-based stock options. For the second quarter and first six months of fiscal 2014, 936,224 shares of unvested performance-based restricted stock and 1,158,570 performance-based stock options were excluded from the Company’s computation of basic and diluted earnings per share for both periods. Performance-based awards will be included in the computation of basic and diluted earnings per share if, and when, the respective performance targets are achieved. In addition, shares of unvested time-based restricted stock of 729,581 and 936,224 were excluded from the computation of basic earnings per share for the second quarter and first six months of fiscal 2015 and fiscal 2014, respectively, and will be until such shares vest. See Note 3, Stock-Based Compensation, for a discussion of the Company’s 2013-2016 LTIP and the respective performance targets.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520"/>
          </w:cols>
          <w:pgMar w:left="240" w:top="231" w:right="139" w:bottom="1440" w:gutter="0" w:footer="0" w:header="0"/>
        </w:sectPr>
      </w:pPr>
    </w:p>
    <w:bookmarkStart w:id="15" w:name="page16"/>
    <w:bookmarkEnd w:id="15"/>
    <w:p>
      <w:pPr>
        <w:jc w:val="both"/>
        <w:ind w:right="20"/>
        <w:spacing w:after="0" w:line="287"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1,663,067 shares of restricted stock outstanding at August 1, 2015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2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At August 1, 2015, the Company had total deferred tax assets of approximately $78.9 million, total deferred tax liabilities of $18.2 million and a corresponding valuation allowance of $60.8 million.</w:t>
      </w:r>
    </w:p>
    <w:p>
      <w:pPr>
        <w:spacing w:after="0" w:line="15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2015, the Company believes that a full allowance remains appropriate at this time.</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As of August 1, 2015, the Company had net operating loss carryforwards of $129.7 million for federal income tax purposes and $69.6 million for state income tax purposes that are available to offset future taxable income through fiscal year 2035. Additionally, the Company has alternative minimum tax credit carryforwards of $2.3 million, which are available to further reduce income taxes over an indefinite period. Additionally, the Company has $0.1 million and $2.4 million of net operating loss for tax purposes related to the Company’s operations in Hong Kong and Canada, respectively, though both are expected to expire largely unutilized. Included in the net operating loss carryforwards for both federal and state income tax is approximately $15.2 million relating to stock compensation deductions, the tax benefit from which, if realized, will be credited to additional paid-in capital.</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tax provision for the first six months of fiscal 2015 and fiscal 2014 represents an increase in our deferred tax liability for indefinite-lived intangibles as well as current state margin tax and foreign income tax.</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5"/>
          <w:szCs w:val="15"/>
          <w:i w:val="1"/>
          <w:iCs w:val="1"/>
          <w:color w:val="auto"/>
        </w:rPr>
        <w:t>Income Taxes</w:t>
      </w:r>
      <w:r>
        <w:rPr>
          <w:rFonts w:ascii="Arial" w:cs="Arial" w:eastAsia="Arial" w:hAnsi="Arial"/>
          <w:sz w:val="15"/>
          <w:szCs w:val="15"/>
          <w:color w:val="auto"/>
        </w:rPr>
        <w:t>”, the Company will recognize the benefit from a tax position only if it is more likely than not that the position would be sustained upon audit based solely on the technical merits of the tax position. The liability for unrecognized tax benefits at August 1, 2015 was $3.0 million. This amount is directly associated with a prior year tax position related to exiting the European direct business.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60"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2001, with remaining fiscal years subject to income tax examination by federal tax authorities.</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Discontinued Operations</w:t>
      </w:r>
    </w:p>
    <w:p>
      <w:pPr>
        <w:spacing w:after="0" w:line="227" w:lineRule="exact"/>
        <w:rPr>
          <w:sz w:val="20"/>
          <w:szCs w:val="20"/>
          <w:color w:val="auto"/>
        </w:rPr>
      </w:pPr>
    </w:p>
    <w:p>
      <w:pPr>
        <w:ind w:right="440"/>
        <w:spacing w:after="0" w:line="279" w:lineRule="auto"/>
        <w:rPr>
          <w:sz w:val="20"/>
          <w:szCs w:val="20"/>
          <w:color w:val="auto"/>
        </w:rPr>
      </w:pPr>
      <w:r>
        <w:rPr>
          <w:rFonts w:ascii="Arial" w:cs="Arial" w:eastAsia="Arial" w:hAnsi="Arial"/>
          <w:sz w:val="16"/>
          <w:szCs w:val="16"/>
          <w:color w:val="auto"/>
        </w:rPr>
        <w:t>In the second quarter of fiscal 2014, the Company notified Sears Canada of its intent to exit the business and began the process of an orderly wind-down. The Company ceased taking new orders and completed the run-off of operations through a final settlement with Sears during the fourth quarter of fiscal</w:t>
      </w:r>
    </w:p>
    <w:p>
      <w:pPr>
        <w:spacing w:after="0" w:line="1"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2014. Accordingly, the results of operations for the second quarter and first six months of fiscal 2014 have been reclassified to reflect the operating results as discontinued operations. The loss for the second quarter and first six months of fiscal 2014, as shown in the table below, includes a charge of approximately $0.8 million related primarily to inventory reserves and sales allowances as a result of the Company’s decision to exit the business.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w w:val="93"/>
              </w:rPr>
              <w:t>For the three months ended August</w:t>
            </w: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w w:val="95"/>
              </w:rPr>
              <w:t>For the six months ended August 2,</w:t>
            </w:r>
          </w:p>
        </w:tc>
      </w:tr>
      <w:tr>
        <w:trPr>
          <w:trHeight w:val="162"/>
        </w:trPr>
        <w:tc>
          <w:tcPr>
            <w:tcW w:w="7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color w:val="auto"/>
              </w:rPr>
              <w:t>2, 2014</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r>
      <w:tr>
        <w:trPr>
          <w:trHeight w:val="214"/>
        </w:trPr>
        <w:tc>
          <w:tcPr>
            <w:tcW w:w="7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7100" w:type="dxa"/>
            <w:vAlign w:val="bottom"/>
            <w:shd w:val="clear" w:color="auto" w:fill="CFF0FC"/>
          </w:tcPr>
          <w:p>
            <w:pPr>
              <w:spacing w:after="0"/>
              <w:rPr>
                <w:sz w:val="20"/>
                <w:szCs w:val="20"/>
                <w:color w:val="auto"/>
              </w:rPr>
            </w:pPr>
            <w:r>
              <w:rPr>
                <w:rFonts w:ascii="Arial" w:cs="Arial" w:eastAsia="Arial" w:hAnsi="Arial"/>
                <w:sz w:val="17"/>
                <w:szCs w:val="17"/>
                <w:color w:val="auto"/>
              </w:rPr>
              <w:t>Sales</w:t>
            </w: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(455)</w:t>
            </w:r>
          </w:p>
        </w:tc>
        <w:tc>
          <w:tcPr>
            <w:tcW w:w="5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(347)</w:t>
            </w:r>
          </w:p>
        </w:tc>
      </w:tr>
      <w:tr>
        <w:trPr>
          <w:trHeight w:val="221"/>
        </w:trPr>
        <w:tc>
          <w:tcPr>
            <w:tcW w:w="7100" w:type="dxa"/>
            <w:vAlign w:val="bottom"/>
          </w:tcPr>
          <w:p>
            <w:pPr>
              <w:spacing w:after="0"/>
              <w:rPr>
                <w:sz w:val="20"/>
                <w:szCs w:val="20"/>
                <w:color w:val="auto"/>
              </w:rPr>
            </w:pPr>
            <w:r>
              <w:rPr>
                <w:rFonts w:ascii="Arial" w:cs="Arial" w:eastAsia="Arial" w:hAnsi="Arial"/>
                <w:sz w:val="17"/>
                <w:szCs w:val="17"/>
                <w:color w:val="auto"/>
              </w:rPr>
              <w:t>Gross profit</w:t>
            </w:r>
          </w:p>
        </w:tc>
        <w:tc>
          <w:tcPr>
            <w:tcW w:w="4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7"/>
                <w:szCs w:val="17"/>
                <w:color w:val="auto"/>
              </w:rPr>
              <w:t>(815)</w:t>
            </w:r>
          </w:p>
        </w:tc>
        <w:tc>
          <w:tcPr>
            <w:tcW w:w="5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(824)</w:t>
            </w:r>
          </w:p>
        </w:tc>
      </w:tr>
      <w:tr>
        <w:trPr>
          <w:trHeight w:val="221"/>
        </w:trPr>
        <w:tc>
          <w:tcPr>
            <w:tcW w:w="7100" w:type="dxa"/>
            <w:vAlign w:val="bottom"/>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FF0FC"/>
          </w:tcPr>
          <w:p>
            <w:pPr>
              <w:spacing w:after="0"/>
              <w:rPr>
                <w:sz w:val="19"/>
                <w:szCs w:val="19"/>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42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100" w:type="dxa"/>
            <w:vAlign w:val="bottom"/>
            <w:shd w:val="clear" w:color="auto" w:fill="CFF0FC"/>
          </w:tcPr>
          <w:p>
            <w:pPr>
              <w:spacing w:after="0"/>
              <w:rPr>
                <w:sz w:val="20"/>
                <w:szCs w:val="20"/>
                <w:color w:val="auto"/>
              </w:rPr>
            </w:pPr>
            <w:r>
              <w:rPr>
                <w:rFonts w:ascii="Arial" w:cs="Arial" w:eastAsia="Arial" w:hAnsi="Arial"/>
                <w:sz w:val="17"/>
                <w:szCs w:val="17"/>
                <w:color w:val="auto"/>
              </w:rPr>
              <w:t>Provision (benefit) from income taxes</w:t>
            </w:r>
          </w:p>
        </w:tc>
        <w:tc>
          <w:tcPr>
            <w:tcW w:w="4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r>
      <w:tr>
        <w:trPr>
          <w:trHeight w:val="214"/>
        </w:trPr>
        <w:tc>
          <w:tcPr>
            <w:tcW w:w="7100" w:type="dxa"/>
            <w:vAlign w:val="bottom"/>
          </w:tcPr>
          <w:p>
            <w:pPr>
              <w:spacing w:after="0"/>
              <w:rPr>
                <w:sz w:val="20"/>
                <w:szCs w:val="20"/>
                <w:color w:val="auto"/>
              </w:rPr>
            </w:pPr>
            <w:r>
              <w:rPr>
                <w:rFonts w:ascii="Arial" w:cs="Arial" w:eastAsia="Arial" w:hAnsi="Arial"/>
                <w:sz w:val="17"/>
                <w:szCs w:val="17"/>
                <w:color w:val="auto"/>
              </w:rPr>
              <w:t>Loss from discontinued operations, net of taxes</w:t>
            </w:r>
          </w:p>
        </w:tc>
        <w:tc>
          <w:tcPr>
            <w:tcW w:w="42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40"/>
              <w:spacing w:after="0"/>
              <w:rPr>
                <w:sz w:val="20"/>
                <w:szCs w:val="20"/>
                <w:color w:val="auto"/>
              </w:rPr>
            </w:pPr>
            <w:r>
              <w:rPr>
                <w:rFonts w:ascii="Arial" w:cs="Arial" w:eastAsia="Arial" w:hAnsi="Arial"/>
                <w:sz w:val="17"/>
                <w:szCs w:val="17"/>
                <w:color w:val="auto"/>
              </w:rPr>
              <w:t>(956)</w:t>
            </w:r>
          </w:p>
        </w:tc>
        <w:tc>
          <w:tcPr>
            <w:tcW w:w="580" w:type="dxa"/>
            <w:vAlign w:val="bottom"/>
          </w:tcPr>
          <w:p>
            <w:pPr>
              <w:ind w:left="12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(1,095)</w:t>
            </w:r>
          </w:p>
        </w:tc>
      </w:tr>
      <w:tr>
        <w:trPr>
          <w:trHeight w:val="20"/>
        </w:trPr>
        <w:tc>
          <w:tcPr>
            <w:tcW w:w="7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operating and gross profit margins, store counts, costs, capital expenditures, borrowings, sales and earnings expectations for fiscal 2015 and beyond, the expected benefit of marketing initiatives and the anticipated pace and number of store openings in fiscal 2015.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the Quarterly Report on Form 10-Q and our audited consolidated financial statement for the year ended January 31, 2015, included in our Annual Report on Form 10-K, for the year ended January 31, 2015, as filed with the Securities and Exchange Commission on March 25, 2015.</w:t>
      </w:r>
    </w:p>
    <w:p>
      <w:pPr>
        <w:spacing w:after="0" w:line="7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Numerous factors could cause our actual results to differ materially from such forward-looking statements. We encourage readers to refer to the “Risk Factors” section in Part I, Item 1A of our Annual Report on Form 10-K for the fiscal year ended January 31, 2015, that sets forth certain risks and uncertainties that may have an impact on future results and direction of our Company, including risks relating to the execution of our DXL strategy and ability to grow our market share, our ability to predict customer tastes and fashion trends and to compete successfully in the United States men’s big &amp; tall apparel market.</w:t>
      </w:r>
    </w:p>
    <w:p>
      <w:pPr>
        <w:spacing w:after="0" w:line="16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SUMMARY</w:t>
      </w:r>
    </w:p>
    <w:p>
      <w:pPr>
        <w:spacing w:after="0" w:line="123" w:lineRule="exact"/>
        <w:rPr>
          <w:sz w:val="20"/>
          <w:szCs w:val="20"/>
          <w:color w:val="auto"/>
        </w:rPr>
      </w:pPr>
    </w:p>
    <w:p>
      <w:pPr>
        <w:ind w:right="40"/>
        <w:spacing w:after="0" w:line="217" w:lineRule="auto"/>
        <w:rPr>
          <w:sz w:val="20"/>
          <w:szCs w:val="20"/>
          <w:color w:val="auto"/>
        </w:rPr>
      </w:pPr>
      <w:r>
        <w:rPr>
          <w:rFonts w:ascii="Arial" w:cs="Arial" w:eastAsia="Arial" w:hAnsi="Arial"/>
          <w:sz w:val="17"/>
          <w:szCs w:val="17"/>
          <w:color w:val="auto"/>
        </w:rPr>
        <w:t>Destination XL Group, Inc., together with our consolidated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5"/>
          <w:szCs w:val="25"/>
          <w:color w:val="auto"/>
          <w:vertAlign w:val="superscript"/>
        </w:rPr>
        <w:t>®</w:t>
      </w:r>
      <w:r>
        <w:rPr>
          <w:rFonts w:ascii="Arial" w:cs="Arial" w:eastAsia="Arial" w:hAnsi="Arial"/>
          <w:sz w:val="17"/>
          <w:szCs w:val="17"/>
          <w:color w:val="auto"/>
        </w:rPr>
        <w:t>, DXL</w:t>
      </w:r>
      <w:r>
        <w:rPr>
          <w:rFonts w:ascii="Arial" w:cs="Arial" w:eastAsia="Arial" w:hAnsi="Arial"/>
          <w:sz w:val="25"/>
          <w:szCs w:val="25"/>
          <w:color w:val="auto"/>
          <w:vertAlign w:val="superscript"/>
        </w:rPr>
        <w:t>®</w:t>
      </w:r>
      <w:r>
        <w:rPr>
          <w:rFonts w:ascii="Arial" w:cs="Arial" w:eastAsia="Arial" w:hAnsi="Arial"/>
          <w:sz w:val="17"/>
          <w:szCs w:val="17"/>
          <w:color w:val="auto"/>
        </w:rPr>
        <w:t>, DXL Outlets, Casual Male XL</w:t>
      </w:r>
      <w:r>
        <w:rPr>
          <w:rFonts w:ascii="Arial" w:cs="Arial" w:eastAsia="Arial" w:hAnsi="Arial"/>
          <w:sz w:val="25"/>
          <w:szCs w:val="25"/>
          <w:color w:val="auto"/>
          <w:vertAlign w:val="superscript"/>
        </w:rPr>
        <w:t>®</w:t>
      </w:r>
      <w:r>
        <w:rPr>
          <w:rFonts w:ascii="Arial" w:cs="Arial" w:eastAsia="Arial" w:hAnsi="Arial"/>
          <w:sz w:val="17"/>
          <w:szCs w:val="17"/>
          <w:color w:val="auto"/>
        </w:rPr>
        <w:t>, Casual Male XL Outlets, Rochester Clothing, ShoesXL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LivingXL</w:t>
      </w:r>
      <w:r>
        <w:rPr>
          <w:rFonts w:ascii="Arial" w:cs="Arial" w:eastAsia="Arial" w:hAnsi="Arial"/>
          <w:sz w:val="25"/>
          <w:szCs w:val="25"/>
          <w:color w:val="auto"/>
          <w:vertAlign w:val="superscript"/>
        </w:rPr>
        <w:t>®</w:t>
      </w:r>
      <w:r>
        <w:rPr>
          <w:rFonts w:ascii="Arial" w:cs="Arial" w:eastAsia="Arial" w:hAnsi="Arial"/>
          <w:sz w:val="17"/>
          <w:szCs w:val="17"/>
          <w:color w:val="auto"/>
        </w:rPr>
        <w:t>. At August 1, 2015, we operated 153 Destination XL stores, 144 Casual Male XL retail stores, 5 DXL outlet stores, 44 Casual Male XL outlet stores and 8 Rochester Clothing stores. Our direct business includes our DestinationXL.com and bigandtall.com e-commerce sites which support our stores, brands and product extensions.</w:t>
      </w:r>
    </w:p>
    <w:p>
      <w:pPr>
        <w:spacing w:after="0" w:line="19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Unless the context indicates otherwise, all references to “we,” “our,” “us” and “the Company” refer to Destination XL Group, Inc. and our consolidated subsidiaries. We refer to our fiscal years which end on January 30, 2016 and January 31, 2015 as “fiscal 2015” and “fiscal 2014,” respectively. Both fiscal years are 52-week periods.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w:t>
      </w:r>
    </w:p>
    <w:p>
      <w:pPr>
        <w:spacing w:after="0" w:line="1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report our operations as one reportable segment, Big &amp; Tall Men’s Apparel. We consider our retail and direct business, especially in our growing omni-channel environment, to be similar in terms of economic characteristics, production processes and operations, and have, therefore, aggregated them into a single reporting segment.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COMPARABLE SALES</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7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Our customer’s shopping experience continues to evolve across multiple channels and we are continually changing to meet his needs. Effective fiscal 2014, as part of our omni-channel initiatives, more than 300 of our retail stores now have the capability of fulfilling online orders if merchandise is not available in the warehouse. As a result, we are seeing more transactions that begin online but are ultimately completed at the store level. Similarly, if a customer visits a store and the item is out of stock, the associate can order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18" w:name="page19"/>
    <w:bookmarkEnd w:id="18"/>
    <w:p>
      <w:pPr>
        <w:ind w:right="120"/>
        <w:spacing w:after="0" w:line="265" w:lineRule="auto"/>
        <w:rPr>
          <w:sz w:val="20"/>
          <w:szCs w:val="20"/>
          <w:color w:val="auto"/>
        </w:rPr>
      </w:pPr>
      <w:r>
        <w:rPr>
          <w:rFonts w:ascii="Arial" w:cs="Arial" w:eastAsia="Arial" w:hAnsi="Arial"/>
          <w:sz w:val="17"/>
          <w:szCs w:val="17"/>
          <w:color w:val="auto"/>
        </w:rPr>
        <w:t>item through our website. Because this omni-channel approach to retailing is changing the boundaries of where a sale originates and where a sale is ultimately settled, we no longer report comparable sales separately for our retail and direct businesses. We anticipate that we will continue to provide specific information on our DXL comparable store sales in the near-term, but as we near completion of our roll-out we expect to transition to one comparable sales figure for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2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In the first quarter of fiscal 2015, we elected early adoption of ASU 2015-03 “</w:t>
      </w:r>
      <w:r>
        <w:rPr>
          <w:rFonts w:ascii="Arial" w:cs="Arial" w:eastAsia="Arial" w:hAnsi="Arial"/>
          <w:sz w:val="15"/>
          <w:szCs w:val="15"/>
          <w:i w:val="1"/>
          <w:iCs w:val="1"/>
          <w:color w:val="auto"/>
        </w:rPr>
        <w:t>Interest-Imputation of Interest (Subtopic 835-30), Simplifying the Presentation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Debt Issuance Costs.</w:t>
      </w:r>
      <w:r>
        <w:rPr>
          <w:rFonts w:ascii="Arial" w:cs="Arial" w:eastAsia="Arial" w:hAnsi="Arial"/>
          <w:sz w:val="15"/>
          <w:szCs w:val="15"/>
          <w:color w:val="auto"/>
        </w:rPr>
        <w:t>” Historically, we presented deferred debt issuance costs, or fees, directly related to issuing debt, as assets on the Consolidated Balance</w:t>
      </w:r>
      <w:r>
        <w:rPr>
          <w:rFonts w:ascii="Arial" w:cs="Arial" w:eastAsia="Arial" w:hAnsi="Arial"/>
          <w:sz w:val="15"/>
          <w:szCs w:val="15"/>
          <w:i w:val="1"/>
          <w:iCs w:val="1"/>
          <w:color w:val="auto"/>
        </w:rPr>
        <w:t xml:space="preserve"> </w:t>
      </w:r>
      <w:r>
        <w:rPr>
          <w:rFonts w:ascii="Arial" w:cs="Arial" w:eastAsia="Arial" w:hAnsi="Arial"/>
          <w:sz w:val="15"/>
          <w:szCs w:val="15"/>
          <w:color w:val="auto"/>
        </w:rPr>
        <w:t>Sheets. With the adoption of ASU 2015-03, these costs are now shown as a deduction from the corresponding liability, consistent with debt discounts. Accordingly, we have applied the new guidance retrospectively to all prior periods presented and treated the adoption as a change in accounting principle. The reclassification did not impact any amounts reported on the Consolidated Statements of Operations. See Note 1 to the Consolidated Financial Statements for a full description.</w:t>
      </w:r>
    </w:p>
    <w:p>
      <w:pPr>
        <w:spacing w:after="0" w:line="4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fourth quarter of fiscal 2014, we ended our business relationship with Sears Canada and, as a result, the operating results for this business were reclassified to discontinued operations for the second quarter and first six months of fiscal 2014.</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right="280"/>
        <w:spacing w:after="0" w:line="335" w:lineRule="auto"/>
        <w:rPr>
          <w:sz w:val="20"/>
          <w:szCs w:val="20"/>
          <w:color w:val="auto"/>
        </w:rPr>
      </w:pPr>
      <w:r>
        <w:rPr>
          <w:rFonts w:ascii="Arial" w:cs="Arial" w:eastAsia="Arial" w:hAnsi="Arial"/>
          <w:sz w:val="16"/>
          <w:szCs w:val="16"/>
          <w:color w:val="auto"/>
        </w:rPr>
        <w:t xml:space="preserve">The following is a summary of results for the second quarter and first six months of fiscal 2015, including EBITDA from continuing operations and adjusted net loss, which are non-GAAP measures </w:t>
      </w:r>
      <w:r>
        <w:rPr>
          <w:rFonts w:ascii="Arial" w:cs="Arial" w:eastAsia="Arial" w:hAnsi="Arial"/>
          <w:sz w:val="16"/>
          <w:szCs w:val="16"/>
          <w:i w:val="1"/>
          <w:iCs w:val="1"/>
          <w:color w:val="auto"/>
        </w:rPr>
        <w:t>(Certain columns may not foot due to rounding)</w:t>
      </w:r>
      <w:r>
        <w:rPr>
          <w:rFonts w:ascii="Arial" w:cs="Arial" w:eastAsia="Arial" w:hAnsi="Arial"/>
          <w:sz w:val="16"/>
          <w:szCs w:val="16"/>
          <w:color w:val="auto"/>
        </w:rPr>
        <w:t>. Please see “Presentation of Non-GAAP Measures” below.</w:t>
      </w:r>
    </w:p>
    <w:tbl>
      <w:tblPr>
        <w:tblLayout w:type="fixed"/>
        <w:tblInd w:w="0" w:type="dxa"/>
        <w:tblCellMar>
          <w:top w:w="0" w:type="dxa"/>
          <w:left w:w="0" w:type="dxa"/>
          <w:bottom w:w="0" w:type="dxa"/>
          <w:right w:w="0" w:type="dxa"/>
        </w:tblCellMar>
      </w:tblPr>
      <w:tr>
        <w:trPr>
          <w:trHeight w:val="157"/>
        </w:trPr>
        <w:tc>
          <w:tcPr>
            <w:tcW w:w="1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6"/>
          </w:tcPr>
          <w:p>
            <w:pPr>
              <w:jc w:val="right"/>
              <w:ind w:right="640"/>
              <w:spacing w:after="0" w:line="157" w:lineRule="exact"/>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6"/>
          </w:tcPr>
          <w:p>
            <w:pPr>
              <w:jc w:val="right"/>
              <w:ind w:right="680"/>
              <w:spacing w:after="0" w:line="157" w:lineRule="exact"/>
              <w:rPr>
                <w:sz w:val="20"/>
                <w:szCs w:val="20"/>
                <w:color w:val="auto"/>
              </w:rPr>
            </w:pPr>
            <w:r>
              <w:rPr>
                <w:rFonts w:ascii="Arial" w:cs="Arial" w:eastAsia="Arial" w:hAnsi="Arial"/>
                <w:sz w:val="14"/>
                <w:szCs w:val="14"/>
                <w:color w:val="auto"/>
              </w:rPr>
              <w:t>For the six months ended</w:t>
            </w:r>
          </w:p>
        </w:tc>
      </w:tr>
      <w:tr>
        <w:trPr>
          <w:trHeight w:val="162"/>
        </w:trPr>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w w:val="91"/>
              </w:rPr>
              <w:t>August 1, 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w w:val="93"/>
              </w:rPr>
              <w:t>August 2, 2014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August 1, 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August 2, 2014</w:t>
            </w:r>
          </w:p>
        </w:tc>
      </w:tr>
      <w:tr>
        <w:trPr>
          <w:trHeight w:val="194"/>
        </w:trPr>
        <w:tc>
          <w:tcPr>
            <w:tcW w:w="2440" w:type="dxa"/>
            <w:vAlign w:val="bottom"/>
            <w:tcBorders>
              <w:top w:val="single" w:sz="8" w:color="CFF0FC"/>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7"/>
                <w:szCs w:val="17"/>
                <w:i w:val="1"/>
                <w:iCs w:val="1"/>
                <w:color w:val="auto"/>
                <w:w w:val="93"/>
              </w:rPr>
              <w:t>(in millions, except per share data)</w:t>
            </w:r>
          </w:p>
        </w:tc>
        <w:tc>
          <w:tcPr>
            <w:tcW w:w="354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0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108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08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100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21"/>
        </w:trPr>
        <w:tc>
          <w:tcPr>
            <w:tcW w:w="5980" w:type="dxa"/>
            <w:vAlign w:val="bottom"/>
            <w:gridSpan w:val="3"/>
          </w:tcPr>
          <w:p>
            <w:pPr>
              <w:spacing w:after="0"/>
              <w:rPr>
                <w:sz w:val="20"/>
                <w:szCs w:val="20"/>
                <w:color w:val="auto"/>
              </w:rPr>
            </w:pPr>
            <w:r>
              <w:rPr>
                <w:rFonts w:ascii="Arial" w:cs="Arial" w:eastAsia="Arial" w:hAnsi="Arial"/>
                <w:sz w:val="17"/>
                <w:szCs w:val="17"/>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(5.5)</w:t>
            </w:r>
          </w:p>
        </w:tc>
      </w:tr>
      <w:tr>
        <w:trPr>
          <w:trHeight w:val="221"/>
        </w:trPr>
        <w:tc>
          <w:tcPr>
            <w:tcW w:w="5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Add back: Depreciation and amortization expense</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FF0FC"/>
          </w:tcPr>
          <w:p>
            <w:pPr>
              <w:spacing w:after="0"/>
              <w:rPr>
                <w:sz w:val="19"/>
                <w:szCs w:val="19"/>
                <w:color w:val="auto"/>
              </w:rPr>
            </w:pPr>
          </w:p>
        </w:tc>
      </w:tr>
      <w:tr>
        <w:trPr>
          <w:trHeight w:val="214"/>
        </w:trPr>
        <w:tc>
          <w:tcPr>
            <w:tcW w:w="5980" w:type="dxa"/>
            <w:vAlign w:val="bottom"/>
            <w:gridSpan w:val="3"/>
          </w:tcPr>
          <w:p>
            <w:pPr>
              <w:spacing w:after="0"/>
              <w:rPr>
                <w:sz w:val="20"/>
                <w:szCs w:val="20"/>
                <w:color w:val="auto"/>
              </w:rPr>
            </w:pPr>
            <w:r>
              <w:rPr>
                <w:rFonts w:ascii="Arial" w:cs="Arial" w:eastAsia="Arial" w:hAnsi="Arial"/>
                <w:sz w:val="17"/>
                <w:szCs w:val="17"/>
                <w:color w:val="auto"/>
              </w:rPr>
              <w:t>EBITDA from continuing operations (Non-GAAP basis)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8"/>
                <w:szCs w:val="18"/>
                <w:color w:val="auto"/>
              </w:rPr>
            </w:pPr>
          </w:p>
        </w:tc>
      </w:tr>
      <w:tr>
        <w:trPr>
          <w:trHeight w:val="221"/>
        </w:trPr>
        <w:tc>
          <w:tcPr>
            <w:tcW w:w="1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192"/>
        </w:trPr>
        <w:tc>
          <w:tcPr>
            <w:tcW w:w="1560" w:type="dxa"/>
            <w:vAlign w:val="bottom"/>
            <w:tcBorders>
              <w:bottom w:val="single" w:sz="8" w:color="auto"/>
            </w:tcBorders>
          </w:tcPr>
          <w:p>
            <w:pPr>
              <w:spacing w:after="0" w:line="182" w:lineRule="exact"/>
              <w:rPr>
                <w:sz w:val="20"/>
                <w:szCs w:val="20"/>
                <w:color w:val="auto"/>
              </w:rPr>
            </w:pPr>
            <w:r>
              <w:rPr>
                <w:rFonts w:ascii="Arial" w:cs="Arial" w:eastAsia="Arial" w:hAnsi="Arial"/>
                <w:sz w:val="17"/>
                <w:szCs w:val="17"/>
                <w:color w:val="auto"/>
                <w:w w:val="91"/>
              </w:rPr>
              <w:t>Diluted loss per share:</w:t>
            </w:r>
          </w:p>
        </w:tc>
        <w:tc>
          <w:tcPr>
            <w:tcW w:w="44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5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(0.02)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(0.08)</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(0.03)</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(0.16)</w:t>
            </w:r>
          </w:p>
        </w:tc>
      </w:tr>
      <w:tr>
        <w:trPr>
          <w:trHeight w:val="221"/>
        </w:trPr>
        <w:tc>
          <w:tcPr>
            <w:tcW w:w="5980" w:type="dxa"/>
            <w:vAlign w:val="bottom"/>
            <w:gridSpan w:val="3"/>
          </w:tcPr>
          <w:p>
            <w:pPr>
              <w:spacing w:after="0"/>
              <w:rPr>
                <w:sz w:val="20"/>
                <w:szCs w:val="20"/>
                <w:color w:val="auto"/>
              </w:rPr>
            </w:pPr>
            <w:r>
              <w:rPr>
                <w:rFonts w:ascii="Arial" w:cs="Arial" w:eastAsia="Arial" w:hAnsi="Arial"/>
                <w:sz w:val="17"/>
                <w:szCs w:val="17"/>
                <w:color w:val="auto"/>
              </w:rPr>
              <w:t>Adjusted net loss (Non-GAAP basis)</w:t>
            </w: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(0.01)</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(0.05)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(0.02)</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(0.09)</w:t>
            </w:r>
          </w:p>
        </w:tc>
      </w:tr>
    </w:tbl>
    <w:p>
      <w:pPr>
        <w:spacing w:after="0" w:line="94" w:lineRule="exact"/>
        <w:rPr>
          <w:sz w:val="20"/>
          <w:szCs w:val="20"/>
          <w:color w:val="auto"/>
        </w:rPr>
      </w:pPr>
    </w:p>
    <w:p>
      <w:pPr>
        <w:ind w:left="760" w:hanging="376"/>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a normalized tax rate of 40% for the all periods.</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17"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We are extremely pleased with our performance during the second quarter of fiscal 2015. EBITDA from continuing operations improved 116%, to $6.8 million, over the prior year second quarter. We had a net loss of $(1.0) million for the second quarter of fiscal 2015 as compared to a net loss of $(4.0) million for the second quarter of fiscal 2014. This improvement in profitability is principally driven by our top line growth in sales of 9.6%, with our 111 DXL stores contributing a comparable sales increase of 11.9% for the second quarter of fiscal 2015. This 11.9% increase was against an 11.3% comparable sales increase from the second quarter of fiscal 2014. An increase in DXL store traffic resulted in a 9.2% increase in same-store transactions and a 2.5% increase in dollars per transaction.</w:t>
      </w:r>
    </w:p>
    <w:p>
      <w:pPr>
        <w:spacing w:after="0" w:line="4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Through the end of the second quarter of fiscal 2015, our new customer growth has already exceeded the growth for all of fiscal 2014. With each year of openings, we are attracting a greater number of new customers to our DXL store format. Our 2015 store openings through August 1, 2015 have attracted 26% more customers than our stores that we opened during the first six months of fiscal 2014, and those stores attracted 21% more customers than stores opened during the first six months of fiscal 2013.</w:t>
      </w:r>
    </w:p>
    <w:p>
      <w:pPr>
        <w:spacing w:after="0" w:line="7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In the past, we have talked about the importance of attracting the “end-of-rack” customer, which for us is that customer with a waist size smaller than 46”. This customer visits, on average, 2.4 times a year compared to our larger-waist customer who shops on average 1.7 times a year. Furthermore, the end-of-rack customer, on average, spends double the amount of our larger-waist customer in an average transaction. For the first six months of fiscal 2015, our end-of-rack customer represented 42.3% of our sales in bottoms, compared with 39.6% for the first six months of fiscal 2014.</w:t>
      </w:r>
    </w:p>
    <w:p>
      <w:pPr>
        <w:spacing w:after="0" w:line="73"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A key metric that we monitor very closely to ensure we are making progress towards our long term sales goals is sales per square foot. For our DXL stores, sales per square foot, on a rolling 12-month basis, were $172 at the end of the second quarter as compared with $156 per square foot for the rolling 12-month period at the end of the second quarter last year.</w:t>
      </w:r>
    </w:p>
    <w:p>
      <w:pPr>
        <w:spacing w:after="0" w:line="6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sales growth is further supported by our gross margin, which increased 90 basis points to 47.2% for the second quarter of fiscal 2015 as compared to the prior year second quarter. Approximately 60 of the 90 basis point improvement is the result of an increase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9" w:name="page20"/>
    <w:bookmarkEnd w:id="19"/>
    <w:p>
      <w:pPr>
        <w:ind w:right="40"/>
        <w:spacing w:after="0" w:line="286" w:lineRule="auto"/>
        <w:rPr>
          <w:sz w:val="20"/>
          <w:szCs w:val="20"/>
          <w:color w:val="auto"/>
        </w:rPr>
      </w:pPr>
      <w:r>
        <w:rPr>
          <w:rFonts w:ascii="Arial" w:cs="Arial" w:eastAsia="Arial" w:hAnsi="Arial"/>
          <w:sz w:val="17"/>
          <w:szCs w:val="17"/>
          <w:color w:val="auto"/>
        </w:rPr>
        <w:t>our merchandise margins, due to fewer promotional markdowns and less clearance inventory. The reduced level of clearance inventory is the result of our ability to fulfill direct orders through more than 300 of our retail stores.</w:t>
      </w:r>
    </w:p>
    <w:p>
      <w:pPr>
        <w:spacing w:after="0" w:line="54"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During the first six months of fiscal 2015, we opened 15 DXL retail stores and closed 13 Casual Male XL retail stores. In addition, we opened 3 DXL outlets during the first six months of fiscal 2015, while closing 5 Casual Male XL outlets. We expect that we will open another 15 DXL retail stores and 5 DXL outlets through the remainder of fiscal 2015. Of the 15 DXL retail stores opened in the first six months of fiscal 2015, 5 were our smaller store format (less than 6,500 square feet).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Opportunity Study</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2014, we launched two new initiatives that we now believe will have a profound impact on our long term outlook. First, we successfully introduced our smaller DXL concept that allows us to penetrate into markets previously believed to be too small to warrant a DXL store. Second, we developed a successful DXL outlet format that allows us to deliver the DXL brand and experience to our outlet customers. Together with increasing brand awareness, the small format DXL store and the DXL outlet store provide us with increased opportunities for continued store growth beyond our projected 230 DXL stores at the end of fiscal 2017.</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During the second quarter of fiscal 2015, we completed a market opportunity study of our existing Casual Male XL and DXL store portfolio. We have identified approximately 400 locations nationwide that could support our DXL concept, up from 250 locations we originally identified. We believe the DXL concept will succeed in approximately 340 DXL retail stores and approximately 60 DXL outlet stores. We are currently projecting sufficient free cash flow to fund the expanded roll-out, and anticipate healthy returns on invested capital based on our experience to date. We now expect to open 30 to 40 DXL stores per year through at least fiscal 2020.</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Campaign</w:t>
      </w:r>
    </w:p>
    <w:p>
      <w:pPr>
        <w:spacing w:after="0" w:line="117"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color w:val="auto"/>
        </w:rPr>
        <w:t>During the second quarter of fiscal 2015, we completed our spring advertising campaign, which included television and radio commercials. We kicked off our spring campaign during the NFL draft and it ran through June, with increased presence leading into Father’s Day. Our commercial aired on several major networks, including ESPN, CBS and FX, and was strategically placed around such programming as The Late Show, ESPN Monday Night Baseball and the NBA playoffs.</w:t>
      </w:r>
    </w:p>
    <w:p>
      <w:pPr>
        <w:spacing w:after="0" w:line="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campaign outperformed our Spring 2014 and Holiday 2014 campaigns with increased traffic to our stores and websites. As discussed above, our new customer growth through August 1, 2015 has surpassed all of our growth from fiscal 2014 and our marketing efforts continue to attract the end-of-rack customers. Our Father’s Day promotion and bounce-back campaign also outperformed the prior year’s promotion.</w:t>
      </w:r>
    </w:p>
    <w:p>
      <w:pPr>
        <w:spacing w:after="0" w:line="6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For fiscal 2015, we are expecting to spend approximately 8% less than in fiscal 2014, as we fine-tune our advertising efforts and increase our digital marketing presence.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2015 Outlook</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Our earnings guidance for fiscal 2015 remains unchanged with a net loss range of $(0.20)-$(0.23) per diluted share, but we are currently trending toward the higher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end of our sales and EBITDA guidance. On an adjusted basis, we are expecting a net loss of $(0.12)-$(0.14) per diluted share. We expect to continue providing 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full valuation allowance against our deferred tax assets; therefore, we will not recognize any income tax benefit in fiscal 2015. The adjusted net loss of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$(0.12)-$(0.14) per diluted share, assumes a normal tax benefit of approximately 40%. This adjusted net loss was calculated by taking the 2015 forecasted net loss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of $(0.20)-$(0.23) and multiplying each by 40% to calculate an estimated income tax benefit of $0.08-$0.09 per diluted share, resulting in an adjusted non-GAAP</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net loss of $(0.12)-$(0.14) per diluted share.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Accordingly, our guidance for fiscal 2015 remains unchanged and is as follows:</w:t>
      </w:r>
    </w:p>
    <w:p>
      <w:pPr>
        <w:spacing w:after="0" w:line="221" w:lineRule="exact"/>
        <w:rPr>
          <w:sz w:val="20"/>
          <w:szCs w:val="20"/>
          <w:color w:val="auto"/>
        </w:rPr>
      </w:pPr>
    </w:p>
    <w:p>
      <w:pPr>
        <w:ind w:left="760" w:hanging="376"/>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Sales range of $438.0 million to $443.0 million.</w:t>
      </w:r>
    </w:p>
    <w:p>
      <w:pPr>
        <w:spacing w:after="0" w:line="220" w:lineRule="exact"/>
        <w:rPr>
          <w:rFonts w:ascii="Arial" w:cs="Arial" w:eastAsia="Arial" w:hAnsi="Arial"/>
          <w:sz w:val="17"/>
          <w:szCs w:val="17"/>
          <w:color w:val="auto"/>
        </w:rPr>
      </w:pPr>
    </w:p>
    <w:p>
      <w:pPr>
        <w:ind w:left="760" w:right="40" w:hanging="376"/>
        <w:spacing w:after="0" w:line="286"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margin rate is expected to be 45.9%, which is flat as compared to fiscal 2014. This rate is based on merchandise margins improving approximately 30 basis points, offset by occupancy costs increasing 30 basis points from fiscal 2014.</w:t>
      </w:r>
    </w:p>
    <w:p>
      <w:pPr>
        <w:spacing w:after="0" w:line="158" w:lineRule="exact"/>
        <w:rPr>
          <w:rFonts w:ascii="Arial" w:cs="Arial" w:eastAsia="Arial" w:hAnsi="Arial"/>
          <w:sz w:val="17"/>
          <w:szCs w:val="17"/>
          <w:color w:val="auto"/>
        </w:rPr>
      </w:pPr>
    </w:p>
    <w:p>
      <w:pPr>
        <w:ind w:left="760" w:right="20" w:hanging="376"/>
        <w:spacing w:after="0" w:line="270"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SG&amp;A costs are planned to increase to approximately $180.5 million, primarily related to an increase in operating costs associated with a greater number of DXL stores, including pre-opening costs and payroll (both store and support). As a percentage of sales, SG&amp;A expenses are expected to decrease by approximately 110 to 140 basis points.</w:t>
      </w:r>
    </w:p>
    <w:p>
      <w:pPr>
        <w:spacing w:after="0" w:line="172" w:lineRule="exact"/>
        <w:rPr>
          <w:rFonts w:ascii="Arial" w:cs="Arial" w:eastAsia="Arial" w:hAnsi="Arial"/>
          <w:sz w:val="17"/>
          <w:szCs w:val="17"/>
          <w:color w:val="auto"/>
        </w:rPr>
      </w:pPr>
    </w:p>
    <w:p>
      <w:pPr>
        <w:ind w:left="760" w:hanging="376"/>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EBITDA from continuing operations is expected to be $21.0-$23.0 million.</w:t>
      </w:r>
    </w:p>
    <w:p>
      <w:pPr>
        <w:spacing w:after="0" w:line="220" w:lineRule="exact"/>
        <w:rPr>
          <w:rFonts w:ascii="Arial" w:cs="Arial" w:eastAsia="Arial" w:hAnsi="Arial"/>
          <w:sz w:val="17"/>
          <w:szCs w:val="17"/>
          <w:color w:val="auto"/>
        </w:rPr>
      </w:pPr>
    </w:p>
    <w:p>
      <w:pPr>
        <w:ind w:left="760" w:hanging="376"/>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Depreciation is expected to increase to $28.5 million, as a result of new store growth.</w:t>
      </w:r>
    </w:p>
    <w:p>
      <w:pPr>
        <w:spacing w:after="0" w:line="220" w:lineRule="exact"/>
        <w:rPr>
          <w:rFonts w:ascii="Arial" w:cs="Arial" w:eastAsia="Arial" w:hAnsi="Arial"/>
          <w:sz w:val="17"/>
          <w:szCs w:val="17"/>
          <w:color w:val="auto"/>
        </w:rPr>
      </w:pPr>
    </w:p>
    <w:p>
      <w:pPr>
        <w:ind w:left="760" w:hanging="376"/>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Operating margin is expected to be (1.7%)-(1.2%).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20" w:name="page21"/>
    <w:bookmarkEnd w:id="20"/>
    <w:p>
      <w:pPr>
        <w:ind w:left="760" w:hanging="376"/>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Interest costs are expected to be approximately $3.8 million.</w:t>
      </w:r>
    </w:p>
    <w:p>
      <w:pPr>
        <w:spacing w:after="0" w:line="117"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We expect to spend approximately $36.0-$39.0 million in capital expenditures in fiscal 2015. These capital expenditures are expected to be partially offset by approximately $6.0-$7.0 million in tenant allowances, primarily related to opening our DXL retail and outlet stores. We expect to fund our capital expenditures primarily from our operating cash flow and our credit facility. We expect that our total debt at the end of fiscal 2015 will be approximately $72.0-$76.0 million, consisting of $13.8 million outstanding from a term loan, $12.9 million outstanding from equipment financing notes with the balance from our credit facility. From a liquidity perspective, we expect cash flow from operating activities of $16.5 million to $17.5 million (including tenant allowances), resulting in free cash flow (as defined below under “Presentation of Non-GAAP Measures”) of approximately $(18.5)-$(22.5) million.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6"/>
                <w:szCs w:val="16"/>
                <w:color w:val="auto"/>
                <w:w w:val="93"/>
              </w:rPr>
              <w:t>Second Quarter</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First Six Months</w:t>
            </w:r>
          </w:p>
        </w:tc>
      </w:tr>
      <w:tr>
        <w:trPr>
          <w:trHeight w:val="149"/>
        </w:trPr>
        <w:tc>
          <w:tcPr>
            <w:tcW w:w="8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spacing w:after="0" w:line="149" w:lineRule="exact"/>
              <w:rPr>
                <w:sz w:val="20"/>
                <w:szCs w:val="20"/>
                <w:color w:val="auto"/>
              </w:rPr>
            </w:pPr>
            <w:r>
              <w:rPr>
                <w:rFonts w:ascii="Arial" w:cs="Arial" w:eastAsia="Arial" w:hAnsi="Arial"/>
                <w:sz w:val="14"/>
                <w:szCs w:val="14"/>
                <w:i w:val="1"/>
                <w:iCs w:val="1"/>
                <w:color w:val="auto"/>
              </w:rPr>
              <w:t>(in millions)</w:t>
            </w: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1"/>
        </w:trPr>
        <w:tc>
          <w:tcPr>
            <w:tcW w:w="80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Sales for the second quarter and first six months of fiscal 2014</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104.2</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4"/>
              <w:spacing w:after="0"/>
              <w:rPr>
                <w:sz w:val="20"/>
                <w:szCs w:val="20"/>
                <w:color w:val="auto"/>
              </w:rPr>
            </w:pPr>
            <w:r>
              <w:rPr>
                <w:rFonts w:ascii="Arial" w:cs="Arial" w:eastAsia="Arial" w:hAnsi="Arial"/>
                <w:sz w:val="17"/>
                <w:szCs w:val="17"/>
                <w:b w:val="1"/>
                <w:bCs w:val="1"/>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200.8</w:t>
            </w:r>
          </w:p>
        </w:tc>
        <w:tc>
          <w:tcPr>
            <w:tcW w:w="120" w:type="dxa"/>
            <w:vAlign w:val="bottom"/>
            <w:shd w:val="clear" w:color="auto" w:fill="CFF0FC"/>
          </w:tcPr>
          <w:p>
            <w:pPr>
              <w:spacing w:after="0"/>
              <w:rPr>
                <w:sz w:val="19"/>
                <w:szCs w:val="19"/>
                <w:color w:val="auto"/>
              </w:rPr>
            </w:pPr>
          </w:p>
        </w:tc>
      </w:tr>
      <w:tr>
        <w:trPr>
          <w:trHeight w:val="221"/>
        </w:trPr>
        <w:tc>
          <w:tcPr>
            <w:tcW w:w="8000" w:type="dxa"/>
            <w:vAlign w:val="bottom"/>
          </w:tcPr>
          <w:p>
            <w:pPr>
              <w:spacing w:after="0"/>
              <w:rPr>
                <w:sz w:val="20"/>
                <w:szCs w:val="20"/>
                <w:color w:val="auto"/>
              </w:rPr>
            </w:pPr>
            <w:r>
              <w:rPr>
                <w:rFonts w:ascii="Arial" w:cs="Arial" w:eastAsia="Arial" w:hAnsi="Arial"/>
                <w:sz w:val="17"/>
                <w:szCs w:val="17"/>
                <w:color w:val="auto"/>
              </w:rPr>
              <w:t>Less 2014 sales for stores that have closed</w:t>
            </w:r>
          </w:p>
        </w:tc>
        <w:tc>
          <w:tcPr>
            <w:tcW w:w="1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(18.2)</w:t>
            </w:r>
          </w:p>
        </w:tc>
      </w:tr>
      <w:tr>
        <w:trPr>
          <w:trHeight w:val="214"/>
        </w:trPr>
        <w:tc>
          <w:tcPr>
            <w:tcW w:w="80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94.4</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182.6</w:t>
            </w: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8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8000" w:type="dxa"/>
            <w:vAlign w:val="bottom"/>
            <w:shd w:val="clear" w:color="auto" w:fill="CFF0FC"/>
          </w:tcPr>
          <w:p>
            <w:pPr>
              <w:spacing w:after="0"/>
              <w:rPr>
                <w:sz w:val="20"/>
                <w:szCs w:val="20"/>
                <w:color w:val="auto"/>
              </w:rPr>
            </w:pPr>
            <w:r>
              <w:rPr>
                <w:rFonts w:ascii="Arial" w:cs="Arial" w:eastAsia="Arial" w:hAnsi="Arial"/>
                <w:sz w:val="17"/>
                <w:szCs w:val="17"/>
                <w:color w:val="auto"/>
              </w:rPr>
              <w:t>Increase in comparable sales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FF0FC"/>
          </w:tcPr>
          <w:p>
            <w:pPr>
              <w:spacing w:after="0"/>
              <w:rPr>
                <w:sz w:val="19"/>
                <w:szCs w:val="19"/>
                <w:color w:val="auto"/>
              </w:rPr>
            </w:pPr>
          </w:p>
        </w:tc>
      </w:tr>
      <w:tr>
        <w:trPr>
          <w:trHeight w:val="221"/>
        </w:trPr>
        <w:tc>
          <w:tcPr>
            <w:tcW w:w="8000" w:type="dxa"/>
            <w:vAlign w:val="bottom"/>
          </w:tcPr>
          <w:p>
            <w:pPr>
              <w:spacing w:after="0"/>
              <w:rPr>
                <w:sz w:val="20"/>
                <w:szCs w:val="20"/>
                <w:color w:val="auto"/>
              </w:rPr>
            </w:pPr>
            <w:r>
              <w:rPr>
                <w:rFonts w:ascii="Arial" w:cs="Arial" w:eastAsia="Arial" w:hAnsi="Arial"/>
                <w:sz w:val="17"/>
                <w:szCs w:val="17"/>
                <w:color w:val="auto"/>
              </w:rPr>
              <w:t>Non-comparable sales, primarily DXL stores open less than 13 months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24.4</w:t>
            </w:r>
          </w:p>
        </w:tc>
        <w:tc>
          <w:tcPr>
            <w:tcW w:w="120" w:type="dxa"/>
            <w:vAlign w:val="bottom"/>
          </w:tcPr>
          <w:p>
            <w:pPr>
              <w:spacing w:after="0"/>
              <w:rPr>
                <w:sz w:val="19"/>
                <w:szCs w:val="19"/>
                <w:color w:val="auto"/>
              </w:rPr>
            </w:pPr>
          </w:p>
        </w:tc>
      </w:tr>
      <w:tr>
        <w:trPr>
          <w:trHeight w:val="221"/>
        </w:trPr>
        <w:tc>
          <w:tcPr>
            <w:tcW w:w="8000" w:type="dxa"/>
            <w:vAlign w:val="bottom"/>
            <w:shd w:val="clear" w:color="auto" w:fill="CFF0FC"/>
          </w:tcPr>
          <w:p>
            <w:pPr>
              <w:spacing w:after="0"/>
              <w:rPr>
                <w:sz w:val="20"/>
                <w:szCs w:val="20"/>
                <w:color w:val="auto"/>
              </w:rPr>
            </w:pPr>
            <w:r>
              <w:rPr>
                <w:rFonts w:ascii="Arial" w:cs="Arial" w:eastAsia="Arial" w:hAnsi="Arial"/>
                <w:sz w:val="17"/>
                <w:szCs w:val="17"/>
                <w:color w:val="auto"/>
              </w:rPr>
              <w:t>Other, net</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FF0FC"/>
          </w:tcPr>
          <w:p>
            <w:pPr>
              <w:spacing w:after="0"/>
              <w:rPr>
                <w:sz w:val="19"/>
                <w:szCs w:val="19"/>
                <w:color w:val="auto"/>
              </w:rPr>
            </w:pPr>
          </w:p>
        </w:tc>
      </w:tr>
      <w:tr>
        <w:trPr>
          <w:trHeight w:val="214"/>
        </w:trPr>
        <w:tc>
          <w:tcPr>
            <w:tcW w:w="8000" w:type="dxa"/>
            <w:vAlign w:val="bottom"/>
          </w:tcPr>
          <w:p>
            <w:pPr>
              <w:spacing w:after="0"/>
              <w:rPr>
                <w:sz w:val="20"/>
                <w:szCs w:val="20"/>
                <w:color w:val="auto"/>
              </w:rPr>
            </w:pPr>
            <w:r>
              <w:rPr>
                <w:rFonts w:ascii="Arial" w:cs="Arial" w:eastAsia="Arial" w:hAnsi="Arial"/>
                <w:sz w:val="17"/>
                <w:szCs w:val="17"/>
                <w:b w:val="1"/>
                <w:bCs w:val="1"/>
                <w:color w:val="auto"/>
              </w:rPr>
              <w:t>Sales for the second quarter and first six months of fiscal 2015</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218.6</w:t>
            </w:r>
          </w:p>
        </w:tc>
        <w:tc>
          <w:tcPr>
            <w:tcW w:w="12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For the second quarter of fiscal 2015, total sales were $114.1 million as compared to $104.2 million for the second quarter of fiscal 2014. The increase of $9.9 million in total sales was primarily due to a 6.7% increase in comparable sales of $6.3 million, an increase in non-comparable store sales of $13.2 million and an increase of $0.2 million of other revenue, partially offset by $9.8 million in lost sales from closed stores.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Comparable sales from our 111 DXL retail stores returned to a double-digit comparable sales increase in the second quarter of fiscal 2015, with an increase of</w:t>
      </w:r>
    </w:p>
    <w:p>
      <w:pPr>
        <w:spacing w:after="0" w:line="36"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11.9%, or $4.8 million, against a double-digit comparable increase of 11.3% for the second quarter of fiscal 2014. Sales continued to increase throughout the second quarter, as a result of increased store traffic, higher dollars per transaction and continuing sales growth with our end-of-rack customers. The number of transactions increased 9.2% for the second quarter of fiscal 2015 as compared to the prior year second quarter.</w:t>
      </w:r>
    </w:p>
    <w:p>
      <w:pPr>
        <w:spacing w:after="0" w:line="17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For the first six months of fiscal 2015, total sales were $218.6 million as compared to $200.8 million for the first six months of fiscal 2014. The increase in sales of $17.8 million was due to a 6.1% increase in comparable sales of $11.0 million, an increase in non-comparable store sales of $24.4 million and an increase of $0.6 million in other revenue, partially offset by $18.2 million in lost sales from closed stores. Comparable sales for our 111 DXL retail stores increased 10.4%, or $7.9 million for the first six months of fiscal 2015.</w:t>
      </w:r>
    </w:p>
    <w:p>
      <w:pPr>
        <w:spacing w:after="0" w:line="177" w:lineRule="exact"/>
        <w:rPr>
          <w:sz w:val="20"/>
          <w:szCs w:val="20"/>
          <w:color w:val="auto"/>
        </w:rPr>
      </w:pPr>
    </w:p>
    <w:p>
      <w:pPr>
        <w:ind w:right="1900"/>
        <w:spacing w:after="0" w:line="407" w:lineRule="auto"/>
        <w:rPr>
          <w:sz w:val="20"/>
          <w:szCs w:val="20"/>
          <w:color w:val="auto"/>
        </w:rPr>
      </w:pPr>
      <w:r>
        <w:rPr>
          <w:rFonts w:ascii="Arial" w:cs="Arial" w:eastAsia="Arial" w:hAnsi="Arial"/>
          <w:sz w:val="17"/>
          <w:szCs w:val="17"/>
          <w:color w:val="auto"/>
        </w:rPr>
        <w:t xml:space="preserve">For fiscal 2015, we are forecasting sales to be $438.0 million to $443.0 million, with a comparable sales increase of approximately 5.6%. </w:t>
      </w:r>
      <w:r>
        <w:rPr>
          <w:rFonts w:ascii="Arial" w:cs="Arial" w:eastAsia="Arial" w:hAnsi="Arial"/>
          <w:sz w:val="17"/>
          <w:szCs w:val="17"/>
          <w:i w:val="1"/>
          <w:iCs w:val="1"/>
          <w:color w:val="auto"/>
        </w:rPr>
        <w:t>Gross Profit Margin</w:t>
      </w:r>
    </w:p>
    <w:p>
      <w:pPr>
        <w:ind w:right="120"/>
        <w:spacing w:after="0" w:line="283" w:lineRule="auto"/>
        <w:rPr>
          <w:sz w:val="20"/>
          <w:szCs w:val="20"/>
          <w:color w:val="auto"/>
        </w:rPr>
      </w:pPr>
      <w:r>
        <w:rPr>
          <w:rFonts w:ascii="Arial" w:cs="Arial" w:eastAsia="Arial" w:hAnsi="Arial"/>
          <w:sz w:val="16"/>
          <w:szCs w:val="16"/>
          <w:color w:val="auto"/>
        </w:rPr>
        <w:t>For the second quarter of fiscal 2015, our gross margin rate, inclusive of occupancy costs, was 47.2% as compared to a gross margin rate of 46.3% for the second quarter of fiscal 2014. The 90 basis point improvement for the second quarter of fiscal 2015 was due to an improvement in merchandise margins of 60 basis points and occupancy costs, which, as a percentage of sales, improved 30 basis points. The 60 basis point improvement in merchandise margins was due to fewer markdowns and less clearance merchandise. On a dollar basis, occupancy costs for the second quarter of fiscal 2015 increased 7.3% over the prior year second quarter, driven primarily by the overall increase in square footage as a result of our DXL store openings.</w:t>
      </w:r>
    </w:p>
    <w:p>
      <w:pPr>
        <w:spacing w:after="0" w:line="60"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For the first six months of fiscal 2015, our gross margin rate, inclusive of occupancy costs, was 46.7% as compared to a gross margin rate of 45.9% for the first six months of fiscal 2014. This 80 basis point improvement was due to an improvement in merchandise margins of 30 basis points and occupancy costs, which, as a percentage of sales, improved 50 basis points. The 30 basis point improvement in merchandise margins was due to fewer markdowns and less clearance merchandise. The improvement in occupancy costs is partly due to a favorable change in lease exit accruals during the first quarter of fiscal 2015. On a dollar basis, occupancy costs for the first six months of fiscal 2015 increased 5.1% over the prior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ind w:right="160"/>
        <w:spacing w:after="0" w:line="261" w:lineRule="auto"/>
        <w:rPr>
          <w:sz w:val="20"/>
          <w:szCs w:val="20"/>
          <w:color w:val="auto"/>
        </w:rPr>
      </w:pPr>
      <w:r>
        <w:rPr>
          <w:rFonts w:ascii="Arial" w:cs="Arial" w:eastAsia="Arial" w:hAnsi="Arial"/>
          <w:sz w:val="17"/>
          <w:szCs w:val="17"/>
          <w:color w:val="auto"/>
        </w:rPr>
        <w:t>For fiscal 2015, we are expecting that our occupancy costs, on a dollar-basis, will increase approximately $5.3-$5.9 million over fiscal 2014. We anticipate that approximately half of the increased costs will be the result of adding approximately 38 DXL retail and outlet stores to our store count in fiscal 2015 and the remainder of the anticipated increase reflects $2.5 million that we received in fiscal 2014 for exiting a lease prior to the end of the lease term, which resulted in lower occupancy costs in the fourth quarter of last year. As a percentage of sales, we anticipate occupancy costs will be approximately 30 basis points higher than fiscal 2014. We are expecting that our merchandise margins will improve by approximately 30 basis points. Accordingly, for fiscal 2015, we are expecting that gross margin will be approximately 45.9% of sales and will be flat as compared to fiscal 2014.</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21"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As a percentage of sales, SG&amp;A expenses for the second quarter of fiscal 2015 were 41.3% as compared to 43.3% for the second quarter of fiscal 2014. For the first six months of fiscal 2015, SG&amp;A expenses were 40.5% of sales as compared to 43.1% for the first six months of fiscal 2014. On a dollar basis, SG&amp;A increased $2.0 million for the second quarter and first six months of fiscal 2015 as compared to the second quarter and first six months of fiscal 2014. Increases in store and corporate payroll and supporting expense for the second quarter and first six months of fiscal 2015 were offset by a decrease in marketing costs due to improved advertising rates. Pre-opening payroll, training and other incremental costs to support our DXL store openings were $0.9 million and $2.0 million for the second quarter and first six months of fiscal 2015, respectively, as compared to $0.8 million and $1.7 million for the second quarter and first six months of fiscal 2014.</w:t>
      </w:r>
    </w:p>
    <w:p>
      <w:pPr>
        <w:spacing w:after="0" w:line="15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For fiscal 2015, we are expecting that our SG&amp;A expenses will be approximately $180.5 million as we continue to grow our DXL concept. The approximate $5.7 million increase is primarily related to expected increases in store payroll, payroll-related costs and other costs to support our growing DXL stores, partially offset by an expected decrease of $2.0 million in marketing costs. Overall, we expect to limit our SG&amp;A growth rates, except where necessary to support our growth activities or where there are unanticipated costs that are necessary to support our overall activities.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Depreciation and amortization for the second quarter of fiscal 2015 increased $1.2 million to $6.9 million as compared to $5.7 million for the second quarter of fiscal 2014. For the first six months of fiscal 2015, depreciation and amortization was $13.5 million as compared to $11.1 million for the first six months of fiscal 2014. The increase in depreciation and amortization for the second quarter and first six months of fiscal 2015 is due to the continued store growth associated with our rollout of the DXL store concept.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Net interest expense was $0.7 million for the second quarter of fiscal 2015 as compared to $0.5 million for the second quarter of fiscal 2014. For the first six months of fiscal 2015, net interest expense was $1.5 million as compared to $0.9 million for the first six months of fiscal 2014. With our continued planned store growth in fiscal 2015, we expect interest costs to increase as we fund a portion of our store growth with borrowings under our credit facility. See “Liquidity and Capital Resources” for more discussion regarding our current credit facility, long-term debt and future liquidity needs.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At August 1, 2015, we had total deferred tax assets of $78.9 million, total deferred tax liabilities of $18.2 million and a corresponding valuation allowance of $60.8 million. The deferred tax assets include approximately $45.4 million of net operating loss carryforwards and approximately $6.0 million of deferred gain on our sale-leaseback and, to a lesser extent, other book/tax timing differences.</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At the end of fiscal 2013, we established a full valuation allowance against our deferred tax assets. Based on our earnings guidance for fiscal 2015, we believe that a full valuation allowance remains appropriate at this time.</w:t>
      </w:r>
    </w:p>
    <w:p>
      <w:pPr>
        <w:spacing w:after="0" w:line="15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tax provision, for the second quarter and first six months of fiscal 2015 and fiscal 2014, represents an increase in our deferred tax liability for indefinite-lived intangibles as well as current state margin tax and foreign income tax.</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w:t>
      </w:r>
    </w:p>
    <w:p>
      <w:pPr>
        <w:spacing w:after="0" w:line="117"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For the second quarter of fiscal 2015, we had a net loss of $(1.0) million, or $(0.02) per diluted share, compared with a net loss of $(4.0) million, or $(0.08) per diluted share, for the second quarter of fiscal 2014. On a non-GAAP basis, assuming a normalized tax rate for both periods, the net loss for the second quarter of fiscal 2015 was $(0.01) per diluted share as compared to $(0.05) per diluted share for the second quarter of fiscal 2014.</w:t>
      </w:r>
    </w:p>
    <w:p>
      <w:pPr>
        <w:spacing w:after="0" w:line="6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net loss for the first six months of fiscal 2015 was $(1.6) million, or $(0.03) per diluted share, compared with a net loss of $(7.6) million, or $(0.16) per diluted share, for the first six months of fiscal 2014. On a non-GAAP basis, assuming a normalized tax rate,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net loss for the first six months of fiscal 2015 was $(0.02) per diluted share as compared to $(0.09) per diluted share for the first six months of fiscal 2014.</w:t>
      </w:r>
    </w:p>
    <w:p>
      <w:pPr>
        <w:spacing w:after="0" w:line="23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net loss for the second quarter and first six months of fiscal 2014 includes a loss from discontinued operations of $(1.0) million and $(1.1) million, respectively, related to the discontinuation of our direct business with Sears Canada, which occurred in the fourth quarter of fiscal 2014. Included in the loss from discontinued operations was a charge, recorded in the second quarter of fiscal 2014, of approximately $0.8 million related primarily to inventory reserves and sales allowances as a result of our decision to exit the business.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w:t>
      </w:r>
    </w:p>
    <w:p>
      <w:pPr>
        <w:spacing w:after="0" w:line="11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At August 1, 2015, total inventory was $123.6 million compared to $115.2 million at January 31, 2015 and $116.0 million at August 2, 2014. The 6.6% increase of $7.6 million from August 2, 2014 is primarily due to an increase of 7.9% in total square footage, as well as a greater mix of higher cost branded apparel. Clearance merchandise as a percentage of inventory is down 14.3% as compared to August 2, 2014, with clearance merchandise representing 7.2% of our total inventory at the end of the second quarter of fiscal 2015.</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which was most recently amended in October 2014, with Bank of America, N.A. (“Credit Facility”) and our term loan. Our current cash needs are primarily for working capital (essentially inventory requirements), capital expenditures and growth initiatives. As discussed below, our capital expenditures for fiscal 2015 are expected to be $36.0-$39.0 million, primarily related to the planned opening of approximately 30 new DXL stores and 8 DXL outlet stores and information technology projects. However, we expect to receive approximately $6.0-$7.0 million in tenant allowances to offset these capital expenditures. We expect to fund our store growth in fiscal 2015 primarily through earnings and borrowings from our Credit Facility. We expect that our total debt at the end of fiscal 2015 will be approximately $72.0-$76.0 million.</w:t>
      </w:r>
    </w:p>
    <w:p>
      <w:pPr>
        <w:spacing w:after="0" w:line="16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currently believe that our existing cash generated by operations together with our Credit Facility will be sufficient within current forecasts for us to meet our foreseeable liquidity requirements. As discussed below, during the third quarter of fiscal 2014, we entered into a $15.0 million, 5-year term loan facility and also amended our current Credit Facility, increasing our maximum borrowing levels by $25.0 million. The primary purpose for amending our Credit Facility and entering into this 5-year term loan was to increase our current availability and provide additional borrowing capacity as we continue to complete our DXL store roll-out.</w:t>
      </w:r>
    </w:p>
    <w:p>
      <w:pPr>
        <w:spacing w:after="0" w:line="17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For the first six months of fiscal 2015, free cash flow, which we define as cash flow from operating activities, less capital expenditures and discretionary store asset acquisitions, if any, improved by $11.3 million to $(10.3) million from $(21.6) million for the first six months of fiscal 2014. This improvement in free cash flow was primarily due to the improvement in operating results and lower capital expenditures as compared to fiscal 2014. See “Presentation of Non-GAAP Measure” below regarding non-GAAP free cash flow.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at August 1, 2015 with the associated unamortized debt issuance costs: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Less Debt Issuance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Net Debt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1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0"/>
              </w:rPr>
              <w:t>Gross Debt Outstanding</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89"/>
              </w:rPr>
              <w:t>Costs</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w w:val="95"/>
              </w:rPr>
              <w:t>Outstanding</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Credit facility</w:t>
            </w:r>
          </w:p>
        </w:tc>
        <w:tc>
          <w:tcPr>
            <w:tcW w:w="3740" w:type="dxa"/>
            <w:vAlign w:val="bottom"/>
            <w:gridSpan w:val="3"/>
            <w:shd w:val="clear" w:color="auto" w:fill="CFF0FC"/>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34,613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(523)</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34,090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40" w:type="dxa"/>
            <w:vAlign w:val="bottom"/>
          </w:tcPr>
          <w:p>
            <w:pPr>
              <w:spacing w:after="0"/>
              <w:rPr>
                <w:sz w:val="20"/>
                <w:szCs w:val="20"/>
                <w:color w:val="auto"/>
              </w:rPr>
            </w:pPr>
            <w:r>
              <w:rPr>
                <w:rFonts w:ascii="Arial" w:cs="Arial" w:eastAsia="Arial" w:hAnsi="Arial"/>
                <w:sz w:val="17"/>
                <w:szCs w:val="17"/>
                <w:color w:val="auto"/>
              </w:rPr>
              <w:t>Equipment financing notes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16,154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16,039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Term loan, due 2019</w:t>
            </w:r>
          </w:p>
        </w:tc>
        <w:tc>
          <w:tcPr>
            <w:tcW w:w="3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7"/>
                <w:szCs w:val="17"/>
                <w:color w:val="auto"/>
              </w:rPr>
              <w:t>Total debt</w:t>
            </w: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40" w:type="dxa"/>
            <w:vAlign w:val="bottom"/>
            <w:vMerge w:val="continue"/>
          </w:tcPr>
          <w:p>
            <w:pPr>
              <w:spacing w:after="0"/>
              <w:rPr>
                <w:sz w:val="18"/>
                <w:szCs w:val="18"/>
                <w:color w:val="auto"/>
              </w:rPr>
            </w:pPr>
          </w:p>
        </w:tc>
        <w:tc>
          <w:tcPr>
            <w:tcW w:w="3240" w:type="dxa"/>
            <w:vAlign w:val="bottom"/>
            <w:gridSpan w:val="2"/>
          </w:tcPr>
          <w:p>
            <w:pPr>
              <w:spacing w:after="0"/>
              <w:rPr>
                <w:sz w:val="18"/>
                <w:szCs w:val="18"/>
                <w:color w:val="auto"/>
              </w:rPr>
            </w:pPr>
          </w:p>
        </w:tc>
        <w:tc>
          <w:tcPr>
            <w:tcW w:w="500" w:type="dxa"/>
            <w:vAlign w:val="bottom"/>
          </w:tcPr>
          <w:p>
            <w:pPr>
              <w:jc w:val="right"/>
              <w:ind w:right="322"/>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65,017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(1,095)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63,922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3740" w:type="dxa"/>
            <w:vAlign w:val="bottom"/>
          </w:tcPr>
          <w:p>
            <w:pPr>
              <w:spacing w:after="0"/>
              <w:rPr>
                <w:sz w:val="24"/>
                <w:szCs w:val="24"/>
                <w:color w:val="auto"/>
              </w:rPr>
            </w:pPr>
          </w:p>
        </w:tc>
        <w:tc>
          <w:tcPr>
            <w:tcW w:w="3140" w:type="dxa"/>
            <w:vAlign w:val="bottom"/>
          </w:tcPr>
          <w:p>
            <w:pPr>
              <w:jc w:val="right"/>
              <w:ind w:right="993"/>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74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31" w:right="21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Credit Facility</w:t>
      </w:r>
    </w:p>
    <w:p>
      <w:pPr>
        <w:spacing w:after="0" w:line="11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Credit Facility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2 to the Notes to the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Borrowings made pursuant to the Credit Facility bear interest at a rate equal to the base rate (determined as the highest of (a) Bank of America N.A.’s prime rate,</w:t>
      </w:r>
    </w:p>
    <w:p>
      <w:pPr>
        <w:spacing w:after="0" w:line="36" w:lineRule="exact"/>
        <w:rPr>
          <w:sz w:val="20"/>
          <w:szCs w:val="20"/>
          <w:color w:val="auto"/>
        </w:rPr>
      </w:pPr>
    </w:p>
    <w:p>
      <w:pPr>
        <w:ind w:right="340" w:firstLine="4"/>
        <w:spacing w:after="0" w:line="271" w:lineRule="auto"/>
        <w:tabs>
          <w:tab w:leader="none" w:pos="2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Funds rate plus 0.50% and (c) the annual ICE-LIBOR (“LIBOR”) rate for the respective interest period) plus a varying percentage, based on our borrowing base, of 0.50%-0.75% for prime-based borrowings and 1.50%-1.75% for LIBOR-based borrowings.</w:t>
      </w:r>
    </w:p>
    <w:p>
      <w:pPr>
        <w:spacing w:after="0" w:line="17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had outstanding borrowings of $34.6 million under the Credit Facility at August 1, 2015. Outstanding standby letters of credit were $2.2 million and outstanding documentary letters of credit were less than $0.1 million. The average monthly borrowing outstanding under the Credit Facility during the first six months ended August 1, 2015 was approximately $37.2 million, resulting in an average unused excess availability of approximately $67.9 million. Unused excess availability at August 1, 2015 was $73.9 million. Our obligations under the Credit Facility are secured by a lien on substantially all of our assets, excluding (i) a first priority lien held by the lenders of the Term Loan Facility on certain of our equipment described below and (ii) intellectual property.</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Equipment Financing Loans</w:t>
      </w:r>
    </w:p>
    <w:p>
      <w:pPr>
        <w:spacing w:after="0" w:line="11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Notes are for 48 months and accrue interest at fixed rates ranging from 3.07% to 3.50%. Principal and interest, are payable monthly, in arrears. We are subject to a prepayment penalty equal to 1% of the prepaid principal of the Notes until the first anniversary of each Note, 0.5% of the prepaid principal from the first anniversary until the second anniversary and no prepayment penalty thereafter.</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Term Loan, Due 2019</w:t>
      </w:r>
    </w:p>
    <w:p>
      <w:pPr>
        <w:spacing w:after="0" w:line="11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on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October 29, 2015; (b) 2% of the amount prepaid if the prepayment is after October 29, 2015, but prior to the October 29, 2016; and (c) 1% of the amount prepaid if the prepayment is after October 29, 2016, but prior to October 29, 2017. There is no prepayment penalty after October 29, 2017.</w:t>
      </w:r>
    </w:p>
    <w:p>
      <w:pPr>
        <w:spacing w:after="0" w:line="178"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It is secured by a first priority lien on certain of our equipment, and a second priority lien on substantially all of our remaining assets, excluding intellectual property.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open stores and related square footage at August 1, 2015 and August 2, 2014, respectively: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ind w:left="840"/>
              <w:spacing w:after="0"/>
              <w:rPr>
                <w:sz w:val="20"/>
                <w:szCs w:val="20"/>
                <w:color w:val="auto"/>
              </w:rPr>
            </w:pPr>
            <w:r>
              <w:rPr>
                <w:rFonts w:ascii="Arial" w:cs="Arial" w:eastAsia="Arial" w:hAnsi="Arial"/>
                <w:sz w:val="14"/>
                <w:szCs w:val="14"/>
                <w:color w:val="auto"/>
                <w:w w:val="91"/>
              </w:rPr>
              <w:t>August 1, 2015</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ind w:left="840"/>
              <w:spacing w:after="0"/>
              <w:rPr>
                <w:sz w:val="20"/>
                <w:szCs w:val="20"/>
                <w:color w:val="auto"/>
              </w:rPr>
            </w:pPr>
            <w:r>
              <w:rPr>
                <w:rFonts w:ascii="Arial" w:cs="Arial" w:eastAsia="Arial" w:hAnsi="Arial"/>
                <w:sz w:val="14"/>
                <w:szCs w:val="14"/>
                <w:color w:val="auto"/>
                <w:w w:val="91"/>
              </w:rPr>
              <w:t>August 2, 2014</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ind w:left="280"/>
              <w:spacing w:after="0" w:line="143" w:lineRule="exact"/>
              <w:rPr>
                <w:sz w:val="20"/>
                <w:szCs w:val="20"/>
                <w:color w:val="auto"/>
              </w:rPr>
            </w:pPr>
            <w:r>
              <w:rPr>
                <w:rFonts w:ascii="Arial" w:cs="Arial" w:eastAsia="Arial" w:hAnsi="Arial"/>
                <w:sz w:val="14"/>
                <w:szCs w:val="14"/>
                <w:color w:val="auto"/>
              </w:rPr>
              <w:t>Number of</w:t>
            </w:r>
          </w:p>
        </w:tc>
        <w:tc>
          <w:tcPr>
            <w:tcW w:w="104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Square</w:t>
            </w:r>
          </w:p>
        </w:tc>
        <w:tc>
          <w:tcPr>
            <w:tcW w:w="1720" w:type="dxa"/>
            <w:vAlign w:val="bottom"/>
            <w:gridSpan w:val="3"/>
          </w:tcPr>
          <w:p>
            <w:pPr>
              <w:ind w:left="260"/>
              <w:spacing w:after="0" w:line="143" w:lineRule="exact"/>
              <w:rPr>
                <w:sz w:val="20"/>
                <w:szCs w:val="20"/>
                <w:color w:val="auto"/>
              </w:rPr>
            </w:pPr>
            <w:r>
              <w:rPr>
                <w:rFonts w:ascii="Arial" w:cs="Arial" w:eastAsia="Arial" w:hAnsi="Arial"/>
                <w:sz w:val="14"/>
                <w:szCs w:val="14"/>
                <w:color w:val="auto"/>
              </w:rPr>
              <w:t>Number of</w:t>
            </w:r>
          </w:p>
        </w:tc>
        <w:tc>
          <w:tcPr>
            <w:tcW w:w="96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Square</w:t>
            </w:r>
          </w:p>
        </w:tc>
      </w:tr>
      <w:tr>
        <w:trPr>
          <w:trHeight w:val="162"/>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Store Concept</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Stores</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color w:val="auto"/>
                <w:w w:val="85"/>
              </w:rPr>
              <w:t>Footage</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Stores</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color w:val="auto"/>
                <w:w w:val="85"/>
              </w:rPr>
              <w:t>Footage</w:t>
            </w:r>
          </w:p>
        </w:tc>
        <w:tc>
          <w:tcPr>
            <w:tcW w:w="120" w:type="dxa"/>
            <w:vAlign w:val="bottom"/>
          </w:tcPr>
          <w:p>
            <w:pPr>
              <w:spacing w:after="0"/>
              <w:rPr>
                <w:sz w:val="14"/>
                <w:szCs w:val="14"/>
                <w:color w:val="auto"/>
              </w:rPr>
            </w:pPr>
          </w:p>
        </w:tc>
      </w:tr>
      <w:tr>
        <w:trPr>
          <w:trHeight w:val="189"/>
        </w:trPr>
        <w:tc>
          <w:tcPr>
            <w:tcW w:w="5980" w:type="dxa"/>
            <w:vAlign w:val="bottom"/>
            <w:gridSpan w:val="2"/>
          </w:tcPr>
          <w:p>
            <w:pPr>
              <w:spacing w:after="0"/>
              <w:rPr>
                <w:sz w:val="20"/>
                <w:szCs w:val="20"/>
                <w:color w:val="auto"/>
              </w:rPr>
            </w:pPr>
            <w:r>
              <w:rPr>
                <w:rFonts w:ascii="Arial" w:cs="Arial" w:eastAsia="Arial" w:hAnsi="Arial"/>
                <w:sz w:val="14"/>
                <w:szCs w:val="14"/>
                <w:i w:val="1"/>
                <w:iCs w:val="1"/>
                <w:color w:val="auto"/>
              </w:rPr>
              <w:t>(square footage in thousands)</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1"/>
        </w:trPr>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DXL Retail</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1,290</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1,003</w:t>
            </w:r>
          </w:p>
        </w:tc>
        <w:tc>
          <w:tcPr>
            <w:tcW w:w="120" w:type="dxa"/>
            <w:vAlign w:val="bottom"/>
            <w:shd w:val="clear" w:color="auto" w:fill="CFF0FC"/>
          </w:tcPr>
          <w:p>
            <w:pPr>
              <w:spacing w:after="0"/>
              <w:rPr>
                <w:sz w:val="19"/>
                <w:szCs w:val="19"/>
                <w:color w:val="auto"/>
              </w:rPr>
            </w:pPr>
          </w:p>
        </w:tc>
      </w:tr>
      <w:tr>
        <w:trPr>
          <w:trHeight w:val="221"/>
        </w:trPr>
        <w:tc>
          <w:tcPr>
            <w:tcW w:w="5980" w:type="dxa"/>
            <w:vAlign w:val="bottom"/>
            <w:gridSpan w:val="2"/>
          </w:tcPr>
          <w:p>
            <w:pPr>
              <w:spacing w:after="0"/>
              <w:rPr>
                <w:sz w:val="20"/>
                <w:szCs w:val="20"/>
                <w:color w:val="auto"/>
              </w:rPr>
            </w:pPr>
            <w:r>
              <w:rPr>
                <w:rFonts w:ascii="Arial" w:cs="Arial" w:eastAsia="Arial" w:hAnsi="Arial"/>
                <w:sz w:val="17"/>
                <w:szCs w:val="17"/>
                <w:color w:val="auto"/>
              </w:rPr>
              <w:t>DXL Outlets</w:t>
            </w:r>
          </w:p>
        </w:tc>
        <w:tc>
          <w:tcPr>
            <w:tcW w:w="116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9"/>
                <w:szCs w:val="19"/>
                <w:color w:val="auto"/>
              </w:rPr>
            </w:pPr>
          </w:p>
        </w:tc>
        <w:tc>
          <w:tcPr>
            <w:tcW w:w="172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Casual Male XL Retail</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643</w:t>
            </w:r>
          </w:p>
        </w:tc>
        <w:tc>
          <w:tcPr>
            <w:tcW w:w="120" w:type="dxa"/>
            <w:vAlign w:val="bottom"/>
            <w:shd w:val="clear" w:color="auto" w:fill="CFF0FC"/>
          </w:tcPr>
          <w:p>
            <w:pPr>
              <w:spacing w:after="0"/>
              <w:rPr>
                <w:sz w:val="19"/>
                <w:szCs w:val="19"/>
                <w:color w:val="auto"/>
              </w:rPr>
            </w:pPr>
          </w:p>
        </w:tc>
      </w:tr>
      <w:tr>
        <w:trPr>
          <w:trHeight w:val="221"/>
        </w:trPr>
        <w:tc>
          <w:tcPr>
            <w:tcW w:w="5980" w:type="dxa"/>
            <w:vAlign w:val="bottom"/>
            <w:gridSpan w:val="2"/>
          </w:tcPr>
          <w:p>
            <w:pPr>
              <w:spacing w:after="0"/>
              <w:rPr>
                <w:sz w:val="20"/>
                <w:szCs w:val="20"/>
                <w:color w:val="auto"/>
              </w:rPr>
            </w:pPr>
            <w:r>
              <w:rPr>
                <w:rFonts w:ascii="Arial" w:cs="Arial" w:eastAsia="Arial" w:hAnsi="Arial"/>
                <w:sz w:val="17"/>
                <w:szCs w:val="17"/>
                <w:color w:val="auto"/>
              </w:rPr>
              <w:t>Casual Male Outlets</w:t>
            </w:r>
          </w:p>
        </w:tc>
        <w:tc>
          <w:tcPr>
            <w:tcW w:w="1160" w:type="dxa"/>
            <w:vAlign w:val="bottom"/>
          </w:tcPr>
          <w:p>
            <w:pPr>
              <w:jc w:val="right"/>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141</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164</w:t>
            </w:r>
          </w:p>
        </w:tc>
        <w:tc>
          <w:tcPr>
            <w:tcW w:w="120" w:type="dxa"/>
            <w:vAlign w:val="bottom"/>
          </w:tcPr>
          <w:p>
            <w:pPr>
              <w:spacing w:after="0"/>
              <w:rPr>
                <w:sz w:val="19"/>
                <w:szCs w:val="19"/>
                <w:color w:val="auto"/>
              </w:rPr>
            </w:pPr>
          </w:p>
        </w:tc>
      </w:tr>
      <w:tr>
        <w:trPr>
          <w:trHeight w:val="221"/>
        </w:trPr>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Rochester Clothing</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2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FF0FC"/>
          </w:tcPr>
          <w:p>
            <w:pPr>
              <w:spacing w:after="0"/>
              <w:rPr>
                <w:sz w:val="19"/>
                <w:szCs w:val="19"/>
                <w:color w:val="auto"/>
              </w:rPr>
            </w:pPr>
          </w:p>
        </w:tc>
      </w:tr>
      <w:tr>
        <w:trPr>
          <w:trHeight w:val="214"/>
        </w:trPr>
        <w:tc>
          <w:tcPr>
            <w:tcW w:w="5980" w:type="dxa"/>
            <w:vAlign w:val="bottom"/>
            <w:gridSpan w:val="2"/>
          </w:tcPr>
          <w:p>
            <w:pPr>
              <w:spacing w:after="0"/>
              <w:rPr>
                <w:sz w:val="20"/>
                <w:szCs w:val="20"/>
                <w:color w:val="auto"/>
              </w:rPr>
            </w:pPr>
            <w:r>
              <w:rPr>
                <w:rFonts w:ascii="Arial" w:cs="Arial" w:eastAsia="Arial" w:hAnsi="Arial"/>
                <w:sz w:val="17"/>
                <w:szCs w:val="17"/>
                <w:color w:val="auto"/>
              </w:rPr>
              <w:t>Total Stores</w:t>
            </w:r>
          </w:p>
        </w:tc>
        <w:tc>
          <w:tcPr>
            <w:tcW w:w="1160" w:type="dxa"/>
            <w:vAlign w:val="bottom"/>
          </w:tcPr>
          <w:p>
            <w:pPr>
              <w:jc w:val="right"/>
              <w:spacing w:after="0"/>
              <w:rPr>
                <w:sz w:val="20"/>
                <w:szCs w:val="20"/>
                <w:color w:val="auto"/>
              </w:rPr>
            </w:pPr>
            <w:r>
              <w:rPr>
                <w:rFonts w:ascii="Arial" w:cs="Arial" w:eastAsia="Arial" w:hAnsi="Arial"/>
                <w:sz w:val="17"/>
                <w:szCs w:val="17"/>
                <w:color w:val="auto"/>
              </w:rPr>
              <w:t>354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2,042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1,893</w:t>
            </w:r>
          </w:p>
        </w:tc>
        <w:tc>
          <w:tcPr>
            <w:tcW w:w="12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Below is a summary of store openings and closings from January 31, 2015 to August 1,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w w:val="95"/>
              </w:rPr>
              <w:t>Casual Male</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Casual Male</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Rochester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 of Stores:</w:t>
            </w:r>
          </w:p>
        </w:tc>
        <w:tc>
          <w:tcPr>
            <w:tcW w:w="1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DXL</w:t>
            </w:r>
          </w:p>
        </w:tc>
        <w:tc>
          <w:tcPr>
            <w:tcW w:w="2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DXL Outlets</w:t>
            </w:r>
          </w:p>
        </w:tc>
        <w:tc>
          <w:tcPr>
            <w:tcW w:w="2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XL Retail</w:t>
            </w: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XL Outlets</w:t>
            </w: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Clothing</w:t>
            </w:r>
          </w:p>
        </w:tc>
        <w:tc>
          <w:tcPr>
            <w:tcW w:w="2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97"/>
              </w:rPr>
              <w:t>Total Stores</w:t>
            </w:r>
          </w:p>
        </w:tc>
        <w:tc>
          <w:tcPr>
            <w:tcW w:w="120" w:type="dxa"/>
            <w:vAlign w:val="bottom"/>
            <w:tcBorders>
              <w:bottom w:val="single" w:sz="8" w:color="CFF0FC"/>
            </w:tcBorders>
          </w:tcPr>
          <w:p>
            <w:pPr>
              <w:spacing w:after="0"/>
              <w:rPr>
                <w:sz w:val="14"/>
                <w:szCs w:val="14"/>
                <w:color w:val="auto"/>
              </w:rPr>
            </w:pPr>
          </w:p>
        </w:tc>
      </w:tr>
      <w:tr>
        <w:trPr>
          <w:trHeight w:val="214"/>
        </w:trPr>
        <w:tc>
          <w:tcPr>
            <w:tcW w:w="50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At January 31, 2015</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w:t>
            </w:r>
          </w:p>
        </w:tc>
        <w:tc>
          <w:tcPr>
            <w:tcW w:w="120" w:type="dxa"/>
            <w:vAlign w:val="bottom"/>
            <w:shd w:val="clear" w:color="auto" w:fill="CFF0FC"/>
          </w:tcPr>
          <w:p>
            <w:pPr>
              <w:spacing w:after="0"/>
              <w:rPr>
                <w:sz w:val="18"/>
                <w:szCs w:val="18"/>
                <w:color w:val="auto"/>
              </w:rPr>
            </w:pPr>
          </w:p>
        </w:tc>
      </w:tr>
      <w:tr>
        <w:trPr>
          <w:trHeight w:val="221"/>
        </w:trPr>
        <w:tc>
          <w:tcPr>
            <w:tcW w:w="5060" w:type="dxa"/>
            <w:vAlign w:val="bottom"/>
            <w:gridSpan w:val="2"/>
          </w:tcPr>
          <w:p>
            <w:pPr>
              <w:ind w:left="240"/>
              <w:spacing w:after="0"/>
              <w:rPr>
                <w:sz w:val="20"/>
                <w:szCs w:val="20"/>
                <w:color w:val="auto"/>
              </w:rPr>
            </w:pPr>
            <w:r>
              <w:rPr>
                <w:rFonts w:ascii="Arial" w:cs="Arial" w:eastAsia="Arial" w:hAnsi="Arial"/>
                <w:sz w:val="17"/>
                <w:szCs w:val="17"/>
                <w:color w:val="auto"/>
              </w:rPr>
              <w:t>New stores</w:t>
            </w:r>
            <w:r>
              <w:rPr>
                <w:rFonts w:ascii="Arial" w:cs="Arial" w:eastAsia="Arial" w:hAnsi="Arial"/>
                <w:sz w:val="14"/>
                <w:szCs w:val="14"/>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r>
      <w:tr>
        <w:trPr>
          <w:trHeight w:val="221"/>
        </w:trPr>
        <w:tc>
          <w:tcPr>
            <w:tcW w:w="50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Replaced stores</w:t>
            </w:r>
            <w:r>
              <w:rPr>
                <w:rFonts w:ascii="Arial" w:cs="Arial" w:eastAsia="Arial" w:hAnsi="Arial"/>
                <w:sz w:val="14"/>
                <w:szCs w:val="14"/>
                <w:color w:val="auto"/>
              </w:rPr>
              <w:t>(2)</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r>
      <w:tr>
        <w:trPr>
          <w:trHeight w:val="221"/>
        </w:trPr>
        <w:tc>
          <w:tcPr>
            <w:tcW w:w="5060" w:type="dxa"/>
            <w:vAlign w:val="bottom"/>
            <w:gridSpan w:val="2"/>
          </w:tcPr>
          <w:p>
            <w:pPr>
              <w:ind w:left="240"/>
              <w:spacing w:after="0"/>
              <w:rPr>
                <w:sz w:val="20"/>
                <w:szCs w:val="20"/>
                <w:color w:val="auto"/>
              </w:rPr>
            </w:pPr>
            <w:r>
              <w:rPr>
                <w:rFonts w:ascii="Arial" w:cs="Arial" w:eastAsia="Arial" w:hAnsi="Arial"/>
                <w:sz w:val="17"/>
                <w:szCs w:val="17"/>
                <w:color w:val="auto"/>
              </w:rPr>
              <w:t>Closed retail stores</w:t>
            </w:r>
            <w:r>
              <w:rPr>
                <w:rFonts w:ascii="Arial" w:cs="Arial" w:eastAsia="Arial" w:hAnsi="Arial"/>
                <w:sz w:val="14"/>
                <w:szCs w:val="14"/>
                <w:color w:val="auto"/>
              </w:rPr>
              <w:t>(3)</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r>
      <w:tr>
        <w:trPr>
          <w:trHeight w:val="214"/>
        </w:trPr>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At August 1, 2015</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w:t>
            </w: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354</w:t>
            </w:r>
          </w:p>
        </w:tc>
        <w:tc>
          <w:tcPr>
            <w:tcW w:w="120" w:type="dxa"/>
            <w:vAlign w:val="bottom"/>
            <w:tcBorders>
              <w:top w:val="single" w:sz="8" w:color="CFF0FC"/>
            </w:tcBorders>
            <w:shd w:val="clear" w:color="auto" w:fill="CFF0FC"/>
          </w:tcPr>
          <w:p>
            <w:pPr>
              <w:spacing w:after="0"/>
              <w:rPr>
                <w:sz w:val="18"/>
                <w:szCs w:val="18"/>
                <w:color w:val="auto"/>
              </w:rPr>
            </w:pPr>
          </w:p>
        </w:tc>
      </w:tr>
    </w:tbl>
    <w:p>
      <w:pPr>
        <w:spacing w:after="0" w:line="92" w:lineRule="exact"/>
        <w:rPr>
          <w:sz w:val="20"/>
          <w:szCs w:val="20"/>
          <w:color w:val="auto"/>
        </w:rPr>
      </w:pPr>
    </w:p>
    <w:p>
      <w:pPr>
        <w:ind w:left="520" w:hanging="516"/>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stores opened in new markets.</w:t>
      </w:r>
    </w:p>
    <w:p>
      <w:pPr>
        <w:spacing w:after="0" w:line="25" w:lineRule="exact"/>
        <w:rPr>
          <w:rFonts w:ascii="Arial" w:cs="Arial" w:eastAsia="Arial" w:hAnsi="Arial"/>
          <w:sz w:val="17"/>
          <w:szCs w:val="17"/>
          <w:color w:val="auto"/>
        </w:rPr>
      </w:pPr>
    </w:p>
    <w:p>
      <w:pPr>
        <w:ind w:left="520" w:right="400" w:hanging="516"/>
        <w:spacing w:after="0" w:line="25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20" w:hanging="516"/>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closed stores for which there were no corresponding openings of a DXL store in the same market.</w:t>
      </w:r>
    </w:p>
    <w:p>
      <w:pPr>
        <w:spacing w:after="0" w:line="208"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auto"/>
        </w:rPr>
        <w:t>Our capital expenditures for the first six months of fiscal 2015 were $17.0 million as compared to $18.9 million for the first six months of fiscal 2014. The $1.9 million decrease is primarily related to the decrease in average square footage of the new DXL stores opening in fiscal 2015 as compared to the prior year.</w:t>
      </w:r>
    </w:p>
    <w:p>
      <w:pPr>
        <w:spacing w:after="0" w:line="13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For fiscal 2015, our capital expenditures are expected to be approximately $36.0-$39.0 million and we expect to receive approximately $6.0-$7.0 million in tenant allowances to offset these expenditures. The forecast includes approximately $25.7 million, excluding any allowance, related to the opening of 30 DXL stores and 8 DXL outlets and approximately $9.2 million for continued information technology projects, including the addition of in-store pick up, POS purchases and increased credit card security measures, with the remainder for general overhead projects and improving our distribution center’s capacity. In addition, we expect to close approximately 41 existing Casual Male XL retail and outlet stores and 3 Rochester Clothing stores, most of which are in connection with the opening of our new DXL stores in the same geographic market.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7"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There have been no material changes to the critical accounting policies and estimates disclosed in our Annual Report on Form 10-K for the year ended January 31, 2015, as filed with the Securities and Exchange Commission on March 25, 2015. See Note 1 to the Consolidated Financial Statements included in this report for information on recent accounting pronouncements and changes in accounting principles.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Presentation of Non-GAAP Measures</w:t>
      </w:r>
    </w:p>
    <w:p>
      <w:pPr>
        <w:spacing w:after="0" w:line="22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Adjusted net loss, adjusted net loss per diluted share, free cash flow and EBITDA from continuing operations are non-GAAP measures. These non-GAAP measures are not presented in accordance with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the non-GAAP measures presented in this report may not be comparable to similar measures used by other companies. We believe that inclusion of these non-GAAP measures helps investors gain a better understanding of our cash flow performance, especially when comparing such results to previous periods. Reconciliations of these non-GAAP measures are presented in following tables:</w:t>
      </w:r>
    </w:p>
    <w:p>
      <w:pPr>
        <w:spacing w:after="0" w:line="16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i w:val="1"/>
          <w:iCs w:val="1"/>
          <w:u w:val="single" w:color="auto"/>
          <w:color w:val="auto"/>
        </w:rPr>
        <w:t>Adjusted net loss and adjusted net loss per diluted share</w:t>
      </w:r>
      <w:r>
        <w:rPr>
          <w:rFonts w:ascii="Arial" w:cs="Arial" w:eastAsia="Arial" w:hAnsi="Arial"/>
          <w:sz w:val="17"/>
          <w:szCs w:val="17"/>
          <w:color w:val="auto"/>
        </w:rPr>
        <w:t>. The above discussion includes an adjusted net loss for the second quarter and first six months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fiscal 2014 on a non-GAAP basis. For fiscal 2015, we expect to continue to provide a full valuation allowance against our deferred tax assets; therefore, we will not recognize any income tax benefit in fiscal 2015.</w:t>
      </w:r>
    </w:p>
    <w:p>
      <w:pPr>
        <w:spacing w:after="0" w:line="1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comparison purposes, the following is a reconciliation of net loss to adjusted net loss, assuming a normal tax benefit of 40% for the second quarter and first six months of fiscal 2015 and fiscal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6"/>
          </w:tcPr>
          <w:p>
            <w:pPr>
              <w:ind w:left="40"/>
              <w:spacing w:after="0"/>
              <w:rPr>
                <w:sz w:val="20"/>
                <w:szCs w:val="20"/>
                <w:color w:val="auto"/>
              </w:rPr>
            </w:pPr>
            <w:r>
              <w:rPr>
                <w:rFonts w:ascii="Arial" w:cs="Arial" w:eastAsia="Arial" w:hAnsi="Arial"/>
                <w:sz w:val="14"/>
                <w:szCs w:val="14"/>
                <w:color w:val="auto"/>
                <w:w w:val="98"/>
              </w:rPr>
              <w:t>For the 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jc w:val="right"/>
              <w:ind w:right="340"/>
              <w:spacing w:after="0"/>
              <w:rPr>
                <w:sz w:val="20"/>
                <w:szCs w:val="20"/>
                <w:color w:val="auto"/>
              </w:rPr>
            </w:pPr>
            <w:r>
              <w:rPr>
                <w:rFonts w:ascii="Arial" w:cs="Arial" w:eastAsia="Arial" w:hAnsi="Arial"/>
                <w:sz w:val="14"/>
                <w:szCs w:val="14"/>
                <w:color w:val="auto"/>
                <w:w w:val="91"/>
              </w:rPr>
              <w:t>For the six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5"/>
          </w:tcPr>
          <w:p>
            <w:pPr>
              <w:jc w:val="right"/>
              <w:ind w:right="640"/>
              <w:spacing w:after="0"/>
              <w:rPr>
                <w:sz w:val="20"/>
                <w:szCs w:val="20"/>
                <w:color w:val="auto"/>
              </w:rPr>
            </w:pPr>
            <w:r>
              <w:rPr>
                <w:rFonts w:ascii="Arial" w:cs="Arial" w:eastAsia="Arial" w:hAnsi="Arial"/>
                <w:sz w:val="14"/>
                <w:szCs w:val="14"/>
                <w:color w:val="auto"/>
                <w:w w:val="87"/>
              </w:rPr>
              <w:t>August 1, 2015</w:t>
            </w:r>
          </w:p>
        </w:tc>
        <w:tc>
          <w:tcPr>
            <w:tcW w:w="180" w:type="dxa"/>
            <w:vAlign w:val="bottom"/>
          </w:tcPr>
          <w:p>
            <w:pPr>
              <w:spacing w:after="0"/>
              <w:rPr>
                <w:sz w:val="14"/>
                <w:szCs w:val="14"/>
                <w:color w:val="auto"/>
              </w:rPr>
            </w:pPr>
          </w:p>
        </w:tc>
        <w:tc>
          <w:tcPr>
            <w:tcW w:w="1660" w:type="dxa"/>
            <w:vAlign w:val="bottom"/>
            <w:gridSpan w:val="6"/>
          </w:tcPr>
          <w:p>
            <w:pPr>
              <w:jc w:val="right"/>
              <w:ind w:right="620"/>
              <w:spacing w:after="0"/>
              <w:rPr>
                <w:sz w:val="20"/>
                <w:szCs w:val="20"/>
                <w:color w:val="auto"/>
              </w:rPr>
            </w:pPr>
            <w:r>
              <w:rPr>
                <w:rFonts w:ascii="Arial" w:cs="Arial" w:eastAsia="Arial" w:hAnsi="Arial"/>
                <w:sz w:val="14"/>
                <w:szCs w:val="14"/>
                <w:color w:val="auto"/>
              </w:rPr>
              <w:t>August 2, 2014</w:t>
            </w:r>
          </w:p>
        </w:tc>
        <w:tc>
          <w:tcPr>
            <w:tcW w:w="18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color w:val="auto"/>
              </w:rPr>
              <w:t>August 1, 2015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right"/>
              <w:ind w:right="440"/>
              <w:spacing w:after="0"/>
              <w:rPr>
                <w:sz w:val="20"/>
                <w:szCs w:val="20"/>
                <w:color w:val="auto"/>
              </w:rPr>
            </w:pPr>
            <w:r>
              <w:rPr>
                <w:rFonts w:ascii="Arial" w:cs="Arial" w:eastAsia="Arial" w:hAnsi="Arial"/>
                <w:sz w:val="14"/>
                <w:szCs w:val="14"/>
                <w:color w:val="auto"/>
              </w:rPr>
              <w:t>August 2, 2014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4"/>
                <w:szCs w:val="14"/>
                <w:color w:val="auto"/>
                <w:w w:val="95"/>
              </w:rPr>
              <w:t>Per diluted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w w:val="92"/>
              </w:rPr>
              <w:t>Per diluted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w w:val="89"/>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share</w:t>
            </w:r>
          </w:p>
        </w:tc>
        <w:tc>
          <w:tcPr>
            <w:tcW w:w="180" w:type="dxa"/>
            <w:vAlign w:val="bottom"/>
          </w:tcPr>
          <w:p>
            <w:pPr>
              <w:spacing w:after="0"/>
              <w:rPr>
                <w:sz w:val="14"/>
                <w:szCs w:val="14"/>
                <w:color w:val="auto"/>
              </w:rPr>
            </w:pPr>
          </w:p>
        </w:tc>
        <w:tc>
          <w:tcPr>
            <w:tcW w:w="5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share</w:t>
            </w:r>
          </w:p>
        </w:tc>
        <w:tc>
          <w:tcPr>
            <w:tcW w:w="180" w:type="dxa"/>
            <w:vAlign w:val="bottom"/>
          </w:tcPr>
          <w:p>
            <w:pPr>
              <w:spacing w:after="0"/>
              <w:rPr>
                <w:sz w:val="14"/>
                <w:szCs w:val="14"/>
                <w:color w:val="auto"/>
              </w:rPr>
            </w:pPr>
          </w:p>
        </w:tc>
        <w:tc>
          <w:tcPr>
            <w:tcW w:w="5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share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share</w:t>
            </w:r>
          </w:p>
        </w:tc>
        <w:tc>
          <w:tcPr>
            <w:tcW w:w="0" w:type="dxa"/>
            <w:vAlign w:val="bottom"/>
          </w:tcPr>
          <w:p>
            <w:pPr>
              <w:spacing w:after="0"/>
              <w:rPr>
                <w:sz w:val="1"/>
                <w:szCs w:val="1"/>
                <w:color w:val="auto"/>
              </w:rPr>
            </w:pPr>
          </w:p>
        </w:tc>
      </w:tr>
      <w:tr>
        <w:trPr>
          <w:trHeight w:val="136"/>
        </w:trPr>
        <w:tc>
          <w:tcPr>
            <w:tcW w:w="40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Net loss (GAAP basis)</w:t>
            </w:r>
          </w:p>
        </w:tc>
        <w:tc>
          <w:tcPr>
            <w:tcW w:w="20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31"/>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(979)</w:t>
            </w:r>
          </w:p>
        </w:tc>
        <w:tc>
          <w:tcPr>
            <w:tcW w:w="1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(0.02)</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(4,032)</w:t>
            </w:r>
          </w:p>
        </w:tc>
        <w:tc>
          <w:tcPr>
            <w:tcW w:w="22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(1,553)</w:t>
            </w:r>
          </w:p>
        </w:tc>
        <w:tc>
          <w:tcPr>
            <w:tcW w:w="2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(0.03)</w:t>
            </w:r>
          </w:p>
        </w:tc>
        <w:tc>
          <w:tcPr>
            <w:tcW w:w="260" w:type="dxa"/>
            <w:vAlign w:val="bottom"/>
            <w:gridSpan w:val="2"/>
            <w:shd w:val="clear" w:color="auto" w:fill="CFF0FC"/>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(7,568)</w:t>
            </w:r>
          </w:p>
        </w:tc>
        <w:tc>
          <w:tcPr>
            <w:tcW w:w="120" w:type="dxa"/>
            <w:vAlign w:val="bottom"/>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0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Add back: Actual income tax provision</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128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110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ind w:left="220"/>
              <w:spacing w:after="0" w:line="156" w:lineRule="exact"/>
              <w:rPr>
                <w:sz w:val="20"/>
                <w:szCs w:val="20"/>
                <w:color w:val="auto"/>
              </w:rPr>
            </w:pPr>
            <w:r>
              <w:rPr>
                <w:rFonts w:ascii="Arial" w:cs="Arial" w:eastAsia="Arial" w:hAnsi="Arial"/>
                <w:sz w:val="14"/>
                <w:szCs w:val="14"/>
                <w:color w:val="auto"/>
              </w:rPr>
              <w:t>Income tax benefit, assuming normal tax rate of 40%</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jc w:val="right"/>
              <w:spacing w:after="0" w:line="156" w:lineRule="exact"/>
              <w:rPr>
                <w:sz w:val="20"/>
                <w:szCs w:val="20"/>
                <w:color w:val="auto"/>
              </w:rPr>
            </w:pPr>
            <w:r>
              <w:rPr>
                <w:rFonts w:ascii="Arial" w:cs="Arial" w:eastAsia="Arial" w:hAnsi="Arial"/>
                <w:sz w:val="14"/>
                <w:szCs w:val="14"/>
                <w:color w:val="auto"/>
              </w:rPr>
              <w:t>365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1,588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570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rPr>
              <w:t>2,983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Adjusted net loss (non-GAAP basis)</w:t>
            </w:r>
          </w:p>
        </w:tc>
        <w:tc>
          <w:tcPr>
            <w:tcW w:w="180" w:type="dxa"/>
            <w:vAlign w:val="bottom"/>
          </w:tcPr>
          <w:p>
            <w:pPr>
              <w:spacing w:after="0"/>
              <w:rPr>
                <w:sz w:val="12"/>
                <w:szCs w:val="12"/>
                <w:color w:val="auto"/>
              </w:rPr>
            </w:pPr>
          </w:p>
        </w:tc>
        <w:tc>
          <w:tcPr>
            <w:tcW w:w="380" w:type="dxa"/>
            <w:vAlign w:val="bottom"/>
          </w:tcPr>
          <w:p>
            <w:pPr>
              <w:jc w:val="right"/>
              <w:ind w:right="231"/>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1"/>
              </w:rPr>
              <w:t>(547)</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4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4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31"/>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(4,475)</w:t>
            </w:r>
          </w:p>
        </w:tc>
        <w:tc>
          <w:tcPr>
            <w:tcW w:w="22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w w:val="92"/>
              </w:rPr>
              <w:t>Weighted average number of common shares outstanding on a diluted</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60" w:type="dxa"/>
            <w:vAlign w:val="bottom"/>
            <w:gridSpan w:val="3"/>
          </w:tcPr>
          <w:p>
            <w:pPr>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49,081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48,743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49,050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48,699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Free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table reconciles our free cash flow measure (</w:t>
      </w:r>
      <w:r>
        <w:rPr>
          <w:rFonts w:ascii="Arial" w:cs="Arial" w:eastAsia="Arial" w:hAnsi="Arial"/>
          <w:sz w:val="17"/>
          <w:szCs w:val="17"/>
          <w:i w:val="1"/>
          <w:iCs w:val="1"/>
          <w:color w:val="auto"/>
        </w:rPr>
        <w:t>certain columns may not foot due to rounding</w:t>
      </w:r>
      <w:r>
        <w:rPr>
          <w:rFonts w:ascii="Arial" w:cs="Arial" w:eastAsia="Arial" w:hAnsi="Arial"/>
          <w:sz w:val="17"/>
          <w:szCs w:val="17"/>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20" w:type="dxa"/>
            <w:vAlign w:val="bottom"/>
            <w:gridSpan w:val="4"/>
          </w:tcPr>
          <w:p>
            <w:pPr>
              <w:jc w:val="right"/>
              <w:ind w:right="742"/>
              <w:spacing w:after="0"/>
              <w:rPr>
                <w:sz w:val="20"/>
                <w:szCs w:val="20"/>
                <w:color w:val="auto"/>
              </w:rPr>
            </w:pPr>
            <w:r>
              <w:rPr>
                <w:rFonts w:ascii="Arial" w:cs="Arial" w:eastAsia="Arial" w:hAnsi="Arial"/>
                <w:sz w:val="14"/>
                <w:szCs w:val="14"/>
                <w:color w:val="auto"/>
              </w:rPr>
              <w:t>For the six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Projected</w:t>
            </w:r>
          </w:p>
        </w:tc>
        <w:tc>
          <w:tcPr>
            <w:tcW w:w="340" w:type="dxa"/>
            <w:vAlign w:val="bottom"/>
          </w:tcPr>
          <w:p>
            <w:pPr>
              <w:spacing w:after="0"/>
              <w:rPr>
                <w:sz w:val="14"/>
                <w:szCs w:val="14"/>
                <w:color w:val="auto"/>
              </w:rPr>
            </w:pPr>
          </w:p>
        </w:tc>
      </w:tr>
      <w:tr>
        <w:trPr>
          <w:trHeight w:val="162"/>
        </w:trPr>
        <w:tc>
          <w:tcPr>
            <w:tcW w:w="52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August 1, 2015</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August 2, 2014</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Fiscal 2015</w:t>
            </w:r>
          </w:p>
        </w:tc>
        <w:tc>
          <w:tcPr>
            <w:tcW w:w="340" w:type="dxa"/>
            <w:vAlign w:val="bottom"/>
            <w:tcBorders>
              <w:bottom w:val="single" w:sz="8" w:color="CFF0FC"/>
            </w:tcBorders>
          </w:tcPr>
          <w:p>
            <w:pPr>
              <w:spacing w:after="0"/>
              <w:rPr>
                <w:sz w:val="14"/>
                <w:szCs w:val="14"/>
                <w:color w:val="auto"/>
              </w:rPr>
            </w:pPr>
          </w:p>
        </w:tc>
      </w:tr>
      <w:tr>
        <w:trPr>
          <w:trHeight w:val="149"/>
        </w:trPr>
        <w:tc>
          <w:tcPr>
            <w:tcW w:w="528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Cash flow from operating activities (GAAP basis)</w:t>
            </w:r>
          </w:p>
        </w:tc>
        <w:tc>
          <w:tcPr>
            <w:tcW w:w="1380" w:type="dxa"/>
            <w:vAlign w:val="bottom"/>
            <w:shd w:val="clear" w:color="auto" w:fill="CFF0FC"/>
          </w:tcPr>
          <w:p>
            <w:pPr>
              <w:jc w:val="right"/>
              <w:ind w:right="1231"/>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6.7</w:t>
            </w: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134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Arial" w:cs="Arial" w:eastAsia="Arial" w:hAnsi="Arial"/>
                <w:sz w:val="14"/>
                <w:szCs w:val="14"/>
                <w:color w:val="auto"/>
                <w:w w:val="88"/>
              </w:rPr>
              <w:t>$16.5-$17.5</w:t>
            </w:r>
          </w:p>
        </w:tc>
        <w:tc>
          <w:tcPr>
            <w:tcW w:w="3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w:t>
            </w:r>
          </w:p>
        </w:tc>
      </w:tr>
      <w:tr>
        <w:trPr>
          <w:trHeight w:val="156"/>
        </w:trPr>
        <w:tc>
          <w:tcPr>
            <w:tcW w:w="5280" w:type="dxa"/>
            <w:vAlign w:val="bottom"/>
          </w:tcPr>
          <w:p>
            <w:pPr>
              <w:spacing w:after="0" w:line="156" w:lineRule="exact"/>
              <w:rPr>
                <w:sz w:val="20"/>
                <w:szCs w:val="20"/>
                <w:color w:val="auto"/>
              </w:rPr>
            </w:pPr>
            <w:r>
              <w:rPr>
                <w:rFonts w:ascii="Arial" w:cs="Arial" w:eastAsia="Arial" w:hAnsi="Arial"/>
                <w:sz w:val="14"/>
                <w:szCs w:val="14"/>
                <w:color w:val="auto"/>
              </w:rPr>
              <w:t>Less: Capital expenditures</w:t>
            </w:r>
          </w:p>
        </w:tc>
        <w:tc>
          <w:tcPr>
            <w:tcW w:w="1380" w:type="dxa"/>
            <w:vAlign w:val="bottom"/>
          </w:tcPr>
          <w:p>
            <w:pPr>
              <w:spacing w:after="0"/>
              <w:rPr>
                <w:sz w:val="13"/>
                <w:szCs w:val="13"/>
                <w:color w:val="auto"/>
              </w:rPr>
            </w:pPr>
          </w:p>
        </w:tc>
        <w:tc>
          <w:tcPr>
            <w:tcW w:w="58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(17.0)</w:t>
            </w:r>
          </w:p>
        </w:tc>
        <w:tc>
          <w:tcPr>
            <w:tcW w:w="1460" w:type="dxa"/>
            <w:vAlign w:val="bottom"/>
          </w:tcPr>
          <w:p>
            <w:pPr>
              <w:spacing w:after="0"/>
              <w:rPr>
                <w:sz w:val="13"/>
                <w:szCs w:val="13"/>
                <w:color w:val="auto"/>
              </w:rPr>
            </w:pPr>
          </w:p>
        </w:tc>
        <w:tc>
          <w:tcPr>
            <w:tcW w:w="6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(18.9)</w:t>
            </w:r>
          </w:p>
        </w:tc>
        <w:tc>
          <w:tcPr>
            <w:tcW w:w="1760" w:type="dxa"/>
            <w:vAlign w:val="bottom"/>
          </w:tcPr>
          <w:p>
            <w:pPr>
              <w:jc w:val="center"/>
              <w:spacing w:after="0" w:line="156" w:lineRule="exact"/>
              <w:rPr>
                <w:sz w:val="20"/>
                <w:szCs w:val="20"/>
                <w:color w:val="auto"/>
              </w:rPr>
            </w:pPr>
            <w:r>
              <w:rPr>
                <w:rFonts w:ascii="Arial" w:cs="Arial" w:eastAsia="Arial" w:hAnsi="Arial"/>
                <w:sz w:val="14"/>
                <w:szCs w:val="14"/>
                <w:color w:val="auto"/>
                <w:w w:val="92"/>
              </w:rPr>
              <w:t>(36.0)-(39.0)</w:t>
            </w:r>
          </w:p>
        </w:tc>
        <w:tc>
          <w:tcPr>
            <w:tcW w:w="340" w:type="dxa"/>
            <w:vAlign w:val="bottom"/>
          </w:tcPr>
          <w:p>
            <w:pPr>
              <w:spacing w:after="0"/>
              <w:rPr>
                <w:sz w:val="13"/>
                <w:szCs w:val="13"/>
                <w:color w:val="auto"/>
              </w:rPr>
            </w:pPr>
          </w:p>
        </w:tc>
      </w:tr>
      <w:tr>
        <w:trPr>
          <w:trHeight w:val="156"/>
        </w:trPr>
        <w:tc>
          <w:tcPr>
            <w:tcW w:w="52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Less: Store acquisitions, if applicable</w:t>
            </w:r>
          </w:p>
        </w:tc>
        <w:tc>
          <w:tcPr>
            <w:tcW w:w="13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760" w:type="dxa"/>
            <w:vAlign w:val="bottom"/>
            <w:shd w:val="clear" w:color="auto" w:fill="CFF0FC"/>
          </w:tcPr>
          <w:p>
            <w:pPr>
              <w:ind w:left="660"/>
              <w:spacing w:after="0" w:line="156"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b w:val="1"/>
                <w:bCs w:val="1"/>
                <w:color w:val="auto"/>
              </w:rPr>
              <w:t>Free Cash Flow (non-GAAP basis)</w:t>
            </w:r>
          </w:p>
        </w:tc>
        <w:tc>
          <w:tcPr>
            <w:tcW w:w="1380" w:type="dxa"/>
            <w:vAlign w:val="bottom"/>
            <w:tcBorders>
              <w:top w:val="single" w:sz="8" w:color="auto"/>
              <w:bottom w:val="single" w:sz="8" w:color="auto"/>
            </w:tcBorders>
          </w:tcPr>
          <w:p>
            <w:pPr>
              <w:jc w:val="right"/>
              <w:ind w:right="1231"/>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(10.3)</w:t>
            </w:r>
          </w:p>
        </w:tc>
        <w:tc>
          <w:tcPr>
            <w:tcW w:w="22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134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2"/>
                <w:szCs w:val="12"/>
                <w:color w:val="auto"/>
              </w:rPr>
            </w:pPr>
          </w:p>
        </w:tc>
        <w:tc>
          <w:tcPr>
            <w:tcW w:w="17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$(18.5)-$(22.5)</w:t>
            </w:r>
          </w:p>
        </w:tc>
        <w:tc>
          <w:tcPr>
            <w:tcW w:w="340" w:type="dxa"/>
            <w:vAlign w:val="bottom"/>
          </w:tcPr>
          <w:p>
            <w:pPr>
              <w:spacing w:after="0"/>
              <w:rPr>
                <w:sz w:val="12"/>
                <w:szCs w:val="12"/>
                <w:color w:val="auto"/>
              </w:rPr>
            </w:pPr>
          </w:p>
        </w:tc>
      </w:tr>
      <w:tr>
        <w:trPr>
          <w:trHeight w:val="20"/>
        </w:trPr>
        <w:tc>
          <w:tcPr>
            <w:tcW w:w="5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0" w:hanging="396"/>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cash flow from operating activities for fiscal 2015 includes an estimated $6.0-$7.0 million in lease incentives.</w:t>
      </w:r>
    </w:p>
    <w:p>
      <w:pPr>
        <w:spacing w:after="0" w:line="19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u w:val="single" w:color="auto"/>
          <w:color w:val="auto"/>
        </w:rPr>
        <w:t>EBITDA from continuing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table is a reconciliation of net loss to EBITDA from continuing operations for the second quarter and first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fiscal 2015 and fiscal 2014 (</w:t>
      </w:r>
      <w:r>
        <w:rPr>
          <w:rFonts w:ascii="Arial" w:cs="Arial" w:eastAsia="Arial" w:hAnsi="Arial"/>
          <w:sz w:val="17"/>
          <w:szCs w:val="17"/>
          <w:i w:val="1"/>
          <w:iCs w:val="1"/>
          <w:color w:val="auto"/>
        </w:rPr>
        <w:t>certain columns may not foot due to rounding</w:t>
      </w:r>
      <w:r>
        <w:rPr>
          <w:rFonts w:ascii="Arial" w:cs="Arial" w:eastAsia="Arial" w:hAnsi="Arial"/>
          <w:sz w:val="17"/>
          <w:szCs w:val="17"/>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w w:val="95"/>
              </w:rPr>
              <w:t>August 1, 2015</w:t>
            </w:r>
          </w:p>
        </w:tc>
        <w:tc>
          <w:tcPr>
            <w:tcW w:w="14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August 2, 2014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w w:val="95"/>
              </w:rPr>
              <w:t>August 1, 2015</w:t>
            </w: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August 2, 2014</w:t>
            </w:r>
          </w:p>
        </w:tc>
        <w:tc>
          <w:tcPr>
            <w:tcW w:w="0" w:type="dxa"/>
            <w:vAlign w:val="bottom"/>
          </w:tcPr>
          <w:p>
            <w:pPr>
              <w:spacing w:after="0"/>
              <w:rPr>
                <w:sz w:val="1"/>
                <w:szCs w:val="1"/>
                <w:color w:val="auto"/>
              </w:rPr>
            </w:pPr>
          </w:p>
        </w:tc>
      </w:tr>
      <w:tr>
        <w:trPr>
          <w:trHeight w:val="149"/>
        </w:trPr>
        <w:tc>
          <w:tcPr>
            <w:tcW w:w="442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Net loss (GAAP basis)</w:t>
            </w:r>
          </w:p>
        </w:tc>
        <w:tc>
          <w:tcPr>
            <w:tcW w:w="14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2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gridSpan w:val="2"/>
          </w:tcPr>
          <w:p>
            <w:pPr>
              <w:spacing w:after="0" w:line="156" w:lineRule="exact"/>
              <w:rPr>
                <w:sz w:val="20"/>
                <w:szCs w:val="20"/>
                <w:color w:val="auto"/>
              </w:rPr>
            </w:pPr>
            <w:r>
              <w:rPr>
                <w:rFonts w:ascii="Arial" w:cs="Arial" w:eastAsia="Arial" w:hAnsi="Arial"/>
                <w:sz w:val="14"/>
                <w:szCs w:val="14"/>
                <w:color w:val="auto"/>
              </w:rPr>
              <w:t>Add back:</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Provision for income taxes</w:t>
            </w: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gridSpan w:val="2"/>
          </w:tcPr>
          <w:p>
            <w:pPr>
              <w:spacing w:after="0" w:line="156" w:lineRule="exact"/>
              <w:rPr>
                <w:sz w:val="20"/>
                <w:szCs w:val="20"/>
                <w:color w:val="auto"/>
              </w:rPr>
            </w:pPr>
            <w:r>
              <w:rPr>
                <w:rFonts w:ascii="Arial" w:cs="Arial" w:eastAsia="Arial" w:hAnsi="Arial"/>
                <w:sz w:val="14"/>
                <w:szCs w:val="14"/>
                <w:color w:val="auto"/>
              </w:rPr>
              <w:t>Interest expense</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0.7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0.5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Depreciation and amortization</w:t>
            </w:r>
          </w:p>
        </w:tc>
        <w:tc>
          <w:tcPr>
            <w:tcW w:w="13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6.9</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5.7</w:t>
            </w:r>
          </w:p>
        </w:tc>
        <w:tc>
          <w:tcPr>
            <w:tcW w:w="1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13.5</w:t>
            </w: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EBITDA (non-GAAP basis)</w:t>
            </w: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Loss from discontinued operations</w:t>
            </w: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EBITDA from continuing operations (non-GAAP basis)</w:t>
            </w:r>
          </w:p>
        </w:tc>
        <w:tc>
          <w:tcPr>
            <w:tcW w:w="13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3"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Rates</w:t>
      </w:r>
    </w:p>
    <w:p>
      <w:pPr>
        <w:spacing w:after="0" w:line="11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August 1, 2015, the interest rate on our prime based borrowings was 3.75%. Approximately $30.0 million of our outstanding borrowings were in LIBOR contracts with an interest rate of 1.69%. We also have $14.3 million outstanding under a term loan, which bear interest at a variable rate based one-month Libor rates plus 6.5%.</w:t>
      </w:r>
    </w:p>
    <w:p>
      <w:pPr>
        <w:spacing w:after="0" w:line="60"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Based upon a sensitivity analysis as of August 1, 2015, assuming average outstanding borrowing during the first six months of fiscal 2015 of $37.2 million under our Credit Facility and $14.3 million outstanding under our term loan, a 50 basis point increase in interest rates would have resulted in a potential increase in interest expense of approximately $257,000 on an annualized basis.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Rochester Clothing store located in London, England conducts business in British pounds. If the value of the British pound against the U.S. dollar weakens, the revenues and earnings of this store will be reduced when they are translated or re-measured to U.S. dollars. Also, the value of any assets to U.S. dollars may decline. As of August 1, 2015,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Evaluation of Disclosure Controls and Procedures</w:t>
      </w:r>
    </w:p>
    <w:p>
      <w:pPr>
        <w:spacing w:after="0" w:line="11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1, 2015.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1, 2015, our disclosure controls and procedures were effective.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Internal Control over Financial Reporting</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August 1,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PART II.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3" w:lineRule="exact"/>
        <w:rPr>
          <w:sz w:val="20"/>
          <w:szCs w:val="20"/>
          <w:color w:val="auto"/>
        </w:rPr>
      </w:pPr>
    </w:p>
    <w:p>
      <w:pPr>
        <w:ind w:left="260" w:right="320"/>
        <w:spacing w:after="0" w:line="286" w:lineRule="auto"/>
        <w:rPr>
          <w:sz w:val="20"/>
          <w:szCs w:val="20"/>
          <w:color w:val="auto"/>
        </w:rPr>
      </w:pPr>
      <w:r>
        <w:rPr>
          <w:rFonts w:ascii="Arial" w:cs="Arial" w:eastAsia="Arial" w:hAnsi="Arial"/>
          <w:sz w:val="17"/>
          <w:szCs w:val="17"/>
          <w:color w:val="auto"/>
        </w:rPr>
        <w:t>There have been no material changes to the risk factors as previously disclosed in Part I, Item 1A of our Annual Report on Form 10-K for the year ended January 31, 2015, as filed with the Securities and Exchange Commission on March 25, 2015.</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Not applicable.</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370" w:lineRule="exact"/>
        <w:rPr>
          <w:sz w:val="20"/>
          <w:szCs w:val="20"/>
          <w:color w:val="auto"/>
        </w:rPr>
      </w:pPr>
    </w:p>
    <w:p>
      <w:pPr>
        <w:ind w:left="580" w:right="80" w:hanging="571"/>
        <w:spacing w:after="0" w:line="286" w:lineRule="auto"/>
        <w:tabs>
          <w:tab w:leader="none" w:pos="5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Fourth Amended and Restated Bylaws (included as Exhibit 3.1 to the Company’s Current Report on Form 8-K filed on June 18, 2015, and incorporated herein by reference).</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Second Amended and Restated Non-Employee Director Compensation Plan</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Employment Agreement with John F. Cooney dated May 17, 2015</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Certification of the Chief Executive Officer of the Company pursuant to Rule 13a-14(a) under the Securities Exchange Act of 1934.</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Certification of the Chief Financial Officer of the Company pursuant to Rule 13a-14(a) under the Securities Exchange Act of 1934.</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Certification of Chief Financial Officer pursuant to 18 U.S.C. Section 1350, as adopted pursuant to Section 906 of the Sarbanes-Oxley Act of 2002.</w:t>
      </w:r>
    </w:p>
    <w:p>
      <w:pPr>
        <w:spacing w:after="0" w:line="130" w:lineRule="exact"/>
        <w:rPr>
          <w:sz w:val="20"/>
          <w:szCs w:val="20"/>
          <w:color w:val="auto"/>
        </w:rPr>
      </w:pPr>
    </w:p>
    <w:p>
      <w:pPr>
        <w:ind w:left="580" w:hanging="576"/>
        <w:spacing w:after="0" w:line="265"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materials from the Company’s Quarterly Report on Form 10-Q for the quarter ended August 1, 2015,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29361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color w:val="auto"/>
        </w:rPr>
        <w:t>SIGNATURES</w:t>
      </w:r>
    </w:p>
    <w:p>
      <w:pPr>
        <w:spacing w:after="0" w:line="221" w:lineRule="exact"/>
        <w:rPr>
          <w:sz w:val="20"/>
          <w:szCs w:val="20"/>
          <w:color w:val="auto"/>
        </w:rPr>
      </w:pPr>
    </w:p>
    <w:p>
      <w:pPr>
        <w:ind w:right="320" w:firstLine="259"/>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820" w:type="dxa"/>
            <w:vAlign w:val="bottom"/>
            <w:gridSpan w:val="2"/>
          </w:tcPr>
          <w:p>
            <w:pPr>
              <w:ind w:left="2900"/>
              <w:spacing w:after="0"/>
              <w:rPr>
                <w:sz w:val="20"/>
                <w:szCs w:val="20"/>
                <w:color w:val="auto"/>
              </w:rPr>
            </w:pPr>
            <w:r>
              <w:rPr>
                <w:rFonts w:ascii="Arial" w:cs="Arial" w:eastAsia="Arial" w:hAnsi="Arial"/>
                <w:sz w:val="17"/>
                <w:szCs w:val="17"/>
                <w:color w:val="auto"/>
              </w:rPr>
              <w:t>DESTINATION XL GROUP, INC.</w:t>
            </w:r>
          </w:p>
        </w:tc>
      </w:tr>
      <w:tr>
        <w:trPr>
          <w:trHeight w:val="442"/>
        </w:trPr>
        <w:tc>
          <w:tcPr>
            <w:tcW w:w="3600" w:type="dxa"/>
            <w:vAlign w:val="bottom"/>
          </w:tcPr>
          <w:p>
            <w:pPr>
              <w:spacing w:after="0"/>
              <w:rPr>
                <w:sz w:val="20"/>
                <w:szCs w:val="20"/>
                <w:color w:val="auto"/>
              </w:rPr>
            </w:pPr>
            <w:r>
              <w:rPr>
                <w:rFonts w:ascii="Arial" w:cs="Arial" w:eastAsia="Arial" w:hAnsi="Arial"/>
                <w:sz w:val="17"/>
                <w:szCs w:val="17"/>
                <w:color w:val="auto"/>
              </w:rPr>
              <w:t>Date: August 27, 2015</w:t>
            </w:r>
          </w:p>
        </w:tc>
        <w:tc>
          <w:tcPr>
            <w:tcW w:w="7820" w:type="dxa"/>
            <w:vAlign w:val="bottom"/>
            <w:gridSpan w:val="2"/>
          </w:tcPr>
          <w:p>
            <w:pPr>
              <w:ind w:left="2900"/>
              <w:spacing w:after="0"/>
              <w:rPr>
                <w:sz w:val="20"/>
                <w:szCs w:val="20"/>
                <w:color w:val="auto"/>
              </w:rPr>
            </w:pPr>
            <w:r>
              <w:rPr>
                <w:rFonts w:ascii="Arial" w:cs="Arial" w:eastAsia="Arial" w:hAnsi="Arial"/>
                <w:sz w:val="17"/>
                <w:szCs w:val="17"/>
                <w:color w:val="auto"/>
              </w:rPr>
              <w:t>By:  /S/ John F. Cooney</w:t>
            </w:r>
          </w:p>
        </w:tc>
      </w:tr>
      <w:tr>
        <w:trPr>
          <w:trHeight w:val="189"/>
        </w:trPr>
        <w:tc>
          <w:tcPr>
            <w:tcW w:w="3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John F. Cooney</w:t>
            </w:r>
          </w:p>
        </w:tc>
      </w:tr>
      <w:tr>
        <w:trPr>
          <w:trHeight w:val="208"/>
        </w:trPr>
        <w:tc>
          <w:tcPr>
            <w:tcW w:w="3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Vice President, Chief Accounting Officer and Corporate</w:t>
            </w:r>
          </w:p>
        </w:tc>
      </w:tr>
      <w:tr>
        <w:trPr>
          <w:trHeight w:val="208"/>
        </w:trPr>
        <w:tc>
          <w:tcPr>
            <w:tcW w:w="3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Controller (Duly Authorized Officer and Chief Accounting</w:t>
            </w:r>
          </w:p>
        </w:tc>
      </w:tr>
      <w:tr>
        <w:trPr>
          <w:trHeight w:val="220"/>
        </w:trPr>
        <w:tc>
          <w:tcPr>
            <w:tcW w:w="36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Officer)</w:t>
            </w:r>
          </w:p>
        </w:tc>
      </w:tr>
      <w:tr>
        <w:trPr>
          <w:trHeight w:val="832"/>
        </w:trPr>
        <w:tc>
          <w:tcPr>
            <w:tcW w:w="3600" w:type="dxa"/>
            <w:vAlign w:val="bottom"/>
          </w:tcPr>
          <w:p>
            <w:pPr>
              <w:spacing w:after="0"/>
              <w:rPr>
                <w:sz w:val="24"/>
                <w:szCs w:val="24"/>
                <w:color w:val="auto"/>
              </w:rPr>
            </w:pPr>
          </w:p>
        </w:tc>
        <w:tc>
          <w:tcPr>
            <w:tcW w:w="3260" w:type="dxa"/>
            <w:vAlign w:val="bottom"/>
          </w:tcPr>
          <w:p>
            <w:pPr>
              <w:jc w:val="right"/>
              <w:ind w:right="973"/>
              <w:spacing w:after="0"/>
              <w:rPr>
                <w:sz w:val="20"/>
                <w:szCs w:val="20"/>
                <w:color w:val="auto"/>
              </w:rPr>
            </w:pPr>
            <w:r>
              <w:rPr>
                <w:rFonts w:ascii="Arial" w:cs="Arial" w:eastAsia="Arial" w:hAnsi="Arial"/>
                <w:sz w:val="17"/>
                <w:szCs w:val="17"/>
                <w:color w:val="auto"/>
              </w:rPr>
              <w:t>29</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29" w:name="page30"/>
    <w:bookmarkEnd w:id="29"/>
    <w:p>
      <w:pPr>
        <w:ind w:left="10400"/>
        <w:spacing w:after="0"/>
        <w:rPr>
          <w:sz w:val="20"/>
          <w:szCs w:val="20"/>
          <w:color w:val="auto"/>
        </w:rPr>
      </w:pPr>
      <w:r>
        <w:rPr>
          <w:rFonts w:ascii="Arial" w:cs="Arial" w:eastAsia="Arial" w:hAnsi="Arial"/>
          <w:sz w:val="19"/>
          <w:szCs w:val="19"/>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DESTINATION XL GROUP, INC.</w:t>
      </w:r>
    </w:p>
    <w:p>
      <w:pPr>
        <w:jc w:val="center"/>
        <w:spacing w:after="0" w:line="232" w:lineRule="auto"/>
        <w:rPr>
          <w:sz w:val="20"/>
          <w:szCs w:val="20"/>
          <w:color w:val="auto"/>
        </w:rPr>
      </w:pPr>
      <w:r>
        <w:rPr>
          <w:rFonts w:ascii="Arial" w:cs="Arial" w:eastAsia="Arial" w:hAnsi="Arial"/>
          <w:sz w:val="21"/>
          <w:szCs w:val="21"/>
          <w:u w:val="single" w:color="auto"/>
          <w:color w:val="auto"/>
        </w:rPr>
        <w:t>SECOND AMENDED AND RESTATED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NON-EMPLOYEE DIRECTOR COMPENSATION PLAN</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 Establishment and Purpose</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Destination XL Group, Inc. (the “Company”) hereby amends and restates the Destination XL Group, Inc. Amended and Restated Non-Employee Director Compensation Plan (as amended, the “Plan”), for the purpose of supporting the Company’s ongoing efforts to attract and retain exceptional directors to provide strategic guidance to the Company. The Plan also provides a convenient method by which non-employee directors of the Company may acquire shares of Common Stock of the Company (“Shares”) at fair market value by voluntarily electing to receive Shares in lieu of fees otherwise payable to them in cash for service as a director or member of a committee of the Board of Directors of the Company (the “Board”). The Board may, from time to time, by resolution, require each Participant to elect to receive a specified percentage of all or any portion of the Participant’s Compensation hereunder in some form of equity in the Company, that is, Shares, Options or Deferred Stock (“Required Equity”). In addition, each Participant, at his/her discretion, will be able to elect to receive Shares, Options or Deferred Stock for any remaining portion of Compensation. Any Shares acquired by a Participant pursuant to this Plan as part of any Required Equity shall come from the Incentive Compensation Plan. Any Shares acquired by a Participant pursuant to this Plan other than as part of any Required Equity (i.e., pursuant to discretionary elections) shall come out of the pool of Shares reserved for issuance under Section 4 of this Plan, subject to adjustment as the Board may from time to time determine, and not from the Incentive Compensation Plan. The Plan shall be effective as of February 1, 2015. Elections for fiscal 2015 and thereafter must be submitted to the Company in accordance with Section 3(iii) no later than December 31 of the year preceding the fiscal year for which the election is to be effective.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2. Definitions</w:t>
      </w:r>
    </w:p>
    <w:p>
      <w:pPr>
        <w:spacing w:after="0" w:line="201"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w:t>
      </w:r>
    </w:p>
    <w:p>
      <w:pPr>
        <w:spacing w:after="0" w:line="92" w:lineRule="exact"/>
        <w:rPr>
          <w:sz w:val="20"/>
          <w:szCs w:val="20"/>
          <w:color w:val="auto"/>
        </w:rPr>
      </w:pPr>
    </w:p>
    <w:p>
      <w:pPr>
        <w:ind w:left="1100" w:right="260" w:hanging="1096"/>
        <w:spacing w:after="0" w:line="282" w:lineRule="auto"/>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Black-Scholes Valuation</w:t>
      </w:r>
      <w:r>
        <w:rPr>
          <w:rFonts w:ascii="Arial" w:cs="Arial" w:eastAsia="Arial" w:hAnsi="Arial"/>
          <w:sz w:val="19"/>
          <w:szCs w:val="19"/>
          <w:color w:val="auto"/>
        </w:rPr>
        <w:t>” means, with respect to an Option, the value of such Option as of the Grant Date calculated utilizing the same formula and assumptions as the Company utilized for the purpose of valuing outstanding options in its most recently (meaning at the time of the valuation) prepared audited annual financial statement.</w:t>
      </w:r>
    </w:p>
    <w:p>
      <w:pPr>
        <w:spacing w:after="0" w:line="140" w:lineRule="exact"/>
        <w:rPr>
          <w:rFonts w:ascii="Arial" w:cs="Arial" w:eastAsia="Arial" w:hAnsi="Arial"/>
          <w:sz w:val="19"/>
          <w:szCs w:val="19"/>
          <w:color w:val="auto"/>
        </w:rPr>
      </w:pPr>
    </w:p>
    <w:p>
      <w:pPr>
        <w:ind w:left="1100" w:hanging="1096"/>
        <w:spacing w:after="0"/>
        <w:tabs>
          <w:tab w:leader="none" w:pos="1100" w:val="left"/>
        </w:tabs>
        <w:numPr>
          <w:ilvl w:val="0"/>
          <w:numId w:val="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w:t>
      </w:r>
      <w:r>
        <w:rPr>
          <w:rFonts w:ascii="Arial" w:cs="Arial" w:eastAsia="Arial" w:hAnsi="Arial"/>
          <w:sz w:val="21"/>
          <w:szCs w:val="21"/>
          <w:color w:val="auto"/>
        </w:rPr>
        <w:t>” means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326390</wp:posOffset>
            </wp:positionV>
            <wp:extent cx="729361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ind w:left="1100" w:hanging="1096"/>
        <w:spacing w:after="0"/>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Commission</w:t>
      </w:r>
      <w:r>
        <w:rPr>
          <w:rFonts w:ascii="Arial" w:cs="Arial" w:eastAsia="Arial" w:hAnsi="Arial"/>
          <w:sz w:val="21"/>
          <w:szCs w:val="21"/>
          <w:color w:val="auto"/>
        </w:rPr>
        <w:t>” means the United States Securities and Exchange Commission or any successor agency.</w:t>
      </w:r>
    </w:p>
    <w:p>
      <w:pPr>
        <w:spacing w:after="0" w:line="200" w:lineRule="exact"/>
        <w:rPr>
          <w:rFonts w:ascii="Arial" w:cs="Arial" w:eastAsia="Arial" w:hAnsi="Arial"/>
          <w:sz w:val="21"/>
          <w:szCs w:val="21"/>
          <w:color w:val="auto"/>
        </w:rPr>
      </w:pPr>
    </w:p>
    <w:p>
      <w:pPr>
        <w:ind w:left="1100" w:hanging="1096"/>
        <w:spacing w:after="0"/>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common stock of the Company, par value $.01 per share.</w:t>
      </w:r>
    </w:p>
    <w:p>
      <w:pPr>
        <w:spacing w:after="0" w:line="200" w:lineRule="exact"/>
        <w:rPr>
          <w:rFonts w:ascii="Arial" w:cs="Arial" w:eastAsia="Arial" w:hAnsi="Arial"/>
          <w:sz w:val="21"/>
          <w:szCs w:val="21"/>
          <w:color w:val="auto"/>
        </w:rPr>
      </w:pPr>
    </w:p>
    <w:p>
      <w:pPr>
        <w:ind w:left="1100" w:right="40" w:hanging="1096"/>
        <w:spacing w:after="0" w:line="256" w:lineRule="auto"/>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w:t>
      </w:r>
      <w:r>
        <w:rPr>
          <w:rFonts w:ascii="Arial" w:cs="Arial" w:eastAsia="Arial" w:hAnsi="Arial"/>
          <w:sz w:val="21"/>
          <w:szCs w:val="21"/>
          <w:color w:val="auto"/>
        </w:rPr>
        <w:t>” means an award under the Plan that is payable in the form of Cash, Deferred Stock, Options and/or Shares pursuant to the terms and conditions set forth in this Plan.</w:t>
      </w:r>
    </w:p>
    <w:p>
      <w:pPr>
        <w:spacing w:after="0" w:line="161" w:lineRule="exact"/>
        <w:rPr>
          <w:rFonts w:ascii="Arial" w:cs="Arial" w:eastAsia="Arial" w:hAnsi="Arial"/>
          <w:sz w:val="21"/>
          <w:szCs w:val="21"/>
          <w:color w:val="auto"/>
        </w:rPr>
      </w:pPr>
    </w:p>
    <w:p>
      <w:pPr>
        <w:ind w:left="1100" w:hanging="1096"/>
        <w:spacing w:after="0" w:line="256" w:lineRule="auto"/>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 Payment Choice</w:t>
      </w:r>
      <w:r>
        <w:rPr>
          <w:rFonts w:ascii="Arial" w:cs="Arial" w:eastAsia="Arial" w:hAnsi="Arial"/>
          <w:sz w:val="21"/>
          <w:szCs w:val="21"/>
          <w:color w:val="auto"/>
        </w:rPr>
        <w:t>” means the form of payment of Compensation that a Participant selects in accordance with the terms hereof.</w:t>
      </w:r>
    </w:p>
    <w:p>
      <w:pPr>
        <w:spacing w:after="0" w:line="161" w:lineRule="exact"/>
        <w:rPr>
          <w:rFonts w:ascii="Arial" w:cs="Arial" w:eastAsia="Arial" w:hAnsi="Arial"/>
          <w:sz w:val="21"/>
          <w:szCs w:val="21"/>
          <w:color w:val="auto"/>
        </w:rPr>
      </w:pPr>
    </w:p>
    <w:p>
      <w:pPr>
        <w:ind w:left="1100" w:right="40" w:hanging="1096"/>
        <w:spacing w:after="0" w:line="256" w:lineRule="auto"/>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 from time to time, including rules thereunder and successor provisions and rules thereto.</w:t>
      </w:r>
    </w:p>
    <w:p>
      <w:pPr>
        <w:spacing w:after="0" w:line="161" w:lineRule="exact"/>
        <w:rPr>
          <w:rFonts w:ascii="Arial" w:cs="Arial" w:eastAsia="Arial" w:hAnsi="Arial"/>
          <w:sz w:val="21"/>
          <w:szCs w:val="21"/>
          <w:color w:val="auto"/>
        </w:rPr>
      </w:pPr>
    </w:p>
    <w:p>
      <w:pPr>
        <w:ind w:left="1100" w:right="220" w:hanging="1096"/>
        <w:spacing w:after="0" w:line="251" w:lineRule="auto"/>
        <w:tabs>
          <w:tab w:leader="none" w:pos="11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 Date</w:t>
      </w:r>
      <w:r>
        <w:rPr>
          <w:rFonts w:ascii="Arial" w:cs="Arial" w:eastAsia="Arial" w:hAnsi="Arial"/>
          <w:sz w:val="20"/>
          <w:szCs w:val="20"/>
          <w:color w:val="auto"/>
        </w:rPr>
        <w:t>” means the following: (i) each quarterly retainer and chairperson fee payable pursuant to Sections 3(i)(a)-(d) hereof shall be paid on, and the Grant Dates shall be, the first business day of each quarter in each fiscal year, (ii) each meeting fee payable pursuant to Sections 3(i)(e) and (f) hereof shall be paid on, and the Grant Date shall be, the last business day of each month in which the applicable meeting occurs, and (iii) the Option grant issued pursuant to Section 3(i)(g) with respect to a Director's initial election to the Board shall be issued on, and the Grant Date shall be, the last business day of the month in which such initial election occurs.</w:t>
      </w:r>
    </w:p>
    <w:p>
      <w:pPr>
        <w:spacing w:after="0" w:line="169" w:lineRule="exact"/>
        <w:rPr>
          <w:rFonts w:ascii="Arial" w:cs="Arial" w:eastAsia="Arial" w:hAnsi="Arial"/>
          <w:sz w:val="20"/>
          <w:szCs w:val="20"/>
          <w:color w:val="auto"/>
        </w:rPr>
      </w:pPr>
    </w:p>
    <w:p>
      <w:pPr>
        <w:ind w:left="1100" w:hanging="1096"/>
        <w:spacing w:after="0"/>
        <w:tabs>
          <w:tab w:leader="none" w:pos="11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Plan</w:t>
      </w:r>
      <w:r>
        <w:rPr>
          <w:rFonts w:ascii="Arial" w:cs="Arial" w:eastAsia="Arial" w:hAnsi="Arial"/>
          <w:sz w:val="19"/>
          <w:szCs w:val="19"/>
          <w:color w:val="auto"/>
        </w:rPr>
        <w:t>” means the Company’s 2006 Incentive Compensation Plan, as amended from time to time.</w:t>
      </w:r>
    </w:p>
    <w:p>
      <w:pPr>
        <w:spacing w:after="0" w:line="223" w:lineRule="exact"/>
        <w:rPr>
          <w:rFonts w:ascii="Arial" w:cs="Arial" w:eastAsia="Arial" w:hAnsi="Arial"/>
          <w:sz w:val="19"/>
          <w:szCs w:val="19"/>
          <w:color w:val="auto"/>
        </w:rPr>
      </w:pPr>
    </w:p>
    <w:p>
      <w:pPr>
        <w:ind w:left="1100" w:right="360" w:hanging="1096"/>
        <w:spacing w:after="0" w:line="244" w:lineRule="auto"/>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Irrevocable Election Agreement</w:t>
      </w:r>
      <w:r>
        <w:rPr>
          <w:rFonts w:ascii="Arial" w:cs="Arial" w:eastAsia="Arial" w:hAnsi="Arial"/>
          <w:sz w:val="21"/>
          <w:szCs w:val="21"/>
          <w:color w:val="auto"/>
        </w:rPr>
        <w:t xml:space="preserve">” means the written agreement,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between the Company and a Participant, which, together with the Plan, governs the Participant’s rights to payment of Compensation under the Plan.</w:t>
      </w:r>
    </w:p>
    <w:p>
      <w:pPr>
        <w:spacing w:after="0" w:line="173" w:lineRule="exact"/>
        <w:rPr>
          <w:rFonts w:ascii="Arial" w:cs="Arial" w:eastAsia="Arial" w:hAnsi="Arial"/>
          <w:sz w:val="21"/>
          <w:szCs w:val="21"/>
          <w:color w:val="auto"/>
        </w:rPr>
      </w:pPr>
    </w:p>
    <w:p>
      <w:pPr>
        <w:ind w:left="1100" w:hanging="1096"/>
        <w:spacing w:after="0"/>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NASDAQ</w:t>
      </w:r>
      <w:r>
        <w:rPr>
          <w:rFonts w:ascii="Arial" w:cs="Arial" w:eastAsia="Arial" w:hAnsi="Arial"/>
          <w:sz w:val="21"/>
          <w:szCs w:val="21"/>
          <w:color w:val="auto"/>
        </w:rPr>
        <w:t>” means The NASDAQ Stock Market, Inc.</w:t>
      </w:r>
    </w:p>
    <w:p>
      <w:pPr>
        <w:spacing w:after="0" w:line="200" w:lineRule="exact"/>
        <w:rPr>
          <w:rFonts w:ascii="Arial" w:cs="Arial" w:eastAsia="Arial" w:hAnsi="Arial"/>
          <w:sz w:val="21"/>
          <w:szCs w:val="21"/>
          <w:color w:val="auto"/>
        </w:rPr>
      </w:pPr>
    </w:p>
    <w:p>
      <w:pPr>
        <w:ind w:left="1100" w:right="620" w:hanging="1096"/>
        <w:spacing w:after="0" w:line="256" w:lineRule="auto"/>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Non-Employee Director</w:t>
      </w:r>
      <w:r>
        <w:rPr>
          <w:rFonts w:ascii="Arial" w:cs="Arial" w:eastAsia="Arial" w:hAnsi="Arial"/>
          <w:sz w:val="21"/>
          <w:szCs w:val="21"/>
          <w:color w:val="auto"/>
        </w:rPr>
        <w:t>” means a Director who satisfies the requirements set forth in Rule 16b-3(b)(3)(i) under the Exchange Act.</w:t>
      </w:r>
    </w:p>
    <w:p>
      <w:pPr>
        <w:spacing w:after="0" w:line="161" w:lineRule="exact"/>
        <w:rPr>
          <w:rFonts w:ascii="Arial" w:cs="Arial" w:eastAsia="Arial" w:hAnsi="Arial"/>
          <w:sz w:val="21"/>
          <w:szCs w:val="21"/>
          <w:color w:val="auto"/>
        </w:rPr>
      </w:pPr>
    </w:p>
    <w:p>
      <w:pPr>
        <w:ind w:left="1100" w:hanging="1096"/>
        <w:spacing w:after="0"/>
        <w:tabs>
          <w:tab w:leader="none" w:pos="11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 Non-Employee Director of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729361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31" w:name="page32"/>
    <w:bookmarkEnd w:id="31"/>
    <w:p>
      <w:pPr>
        <w:ind w:left="1100" w:right="20" w:hanging="1096"/>
        <w:spacing w:after="0" w:line="256" w:lineRule="auto"/>
        <w:tabs>
          <w:tab w:leader="none" w:pos="110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this Destination XL Group, Inc. Second Amended and Restated Non-Employee Director Compensation Plan, as amended from time to time.</w:t>
      </w:r>
    </w:p>
    <w:p>
      <w:pPr>
        <w:spacing w:after="0" w:line="161" w:lineRule="exact"/>
        <w:rPr>
          <w:rFonts w:ascii="Arial" w:cs="Arial" w:eastAsia="Arial" w:hAnsi="Arial"/>
          <w:sz w:val="21"/>
          <w:szCs w:val="21"/>
          <w:color w:val="auto"/>
        </w:rPr>
      </w:pPr>
    </w:p>
    <w:p>
      <w:pPr>
        <w:ind w:left="1100" w:right="60" w:hanging="1096"/>
        <w:spacing w:after="0" w:line="256" w:lineRule="auto"/>
        <w:tabs>
          <w:tab w:leader="none" w:pos="110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means the earliest date on which a Participant has incurred a separation from service, within the meaning of Section 409A(a)(2) of the Code, with the Service Recipient.</w:t>
      </w:r>
    </w:p>
    <w:p>
      <w:pPr>
        <w:spacing w:after="0" w:line="161" w:lineRule="exact"/>
        <w:rPr>
          <w:rFonts w:ascii="Arial" w:cs="Arial" w:eastAsia="Arial" w:hAnsi="Arial"/>
          <w:sz w:val="21"/>
          <w:szCs w:val="21"/>
          <w:color w:val="auto"/>
        </w:rPr>
      </w:pPr>
    </w:p>
    <w:p>
      <w:pPr>
        <w:ind w:left="1100" w:right="120" w:hanging="1096"/>
        <w:spacing w:after="0"/>
        <w:tabs>
          <w:tab w:leader="none" w:pos="110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spacing w:after="0" w:line="178" w:lineRule="exact"/>
        <w:rPr>
          <w:rFonts w:ascii="Arial" w:cs="Arial" w:eastAsia="Arial" w:hAnsi="Arial"/>
          <w:sz w:val="21"/>
          <w:szCs w:val="21"/>
          <w:color w:val="auto"/>
        </w:rPr>
      </w:pPr>
    </w:p>
    <w:p>
      <w:pPr>
        <w:ind w:left="1100" w:right="240" w:hanging="1096"/>
        <w:spacing w:after="0" w:line="256" w:lineRule="auto"/>
        <w:tabs>
          <w:tab w:leader="none" w:pos="110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Treasury Regulations</w:t>
      </w:r>
      <w:r>
        <w:rPr>
          <w:rFonts w:ascii="Arial" w:cs="Arial" w:eastAsia="Arial" w:hAnsi="Arial"/>
          <w:sz w:val="21"/>
          <w:szCs w:val="21"/>
          <w:color w:val="auto"/>
        </w:rPr>
        <w:t>” means the regulations promulgated by the United States Treasury Department with respect to the Code, as amended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3. Compensation; Irrevocable Election; Valuation.</w:t>
      </w:r>
    </w:p>
    <w:p>
      <w:pPr>
        <w:spacing w:after="0" w:line="201" w:lineRule="exact"/>
        <w:rPr>
          <w:sz w:val="20"/>
          <w:szCs w:val="20"/>
          <w:color w:val="auto"/>
        </w:rPr>
      </w:pPr>
    </w:p>
    <w:p>
      <w:pPr>
        <w:ind w:left="820" w:hanging="816"/>
        <w:spacing w:after="0"/>
        <w:tabs>
          <w:tab w:leader="none" w:pos="82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Compensation paid to the Participants shall be as follows:</w:t>
      </w:r>
    </w:p>
    <w:p>
      <w:pPr>
        <w:spacing w:after="0" w:line="200" w:lineRule="exact"/>
        <w:rPr>
          <w:rFonts w:ascii="Arial" w:cs="Arial" w:eastAsia="Arial" w:hAnsi="Arial"/>
          <w:sz w:val="21"/>
          <w:szCs w:val="21"/>
          <w:color w:val="auto"/>
        </w:rPr>
      </w:pPr>
    </w:p>
    <w:p>
      <w:pPr>
        <w:ind w:left="1580" w:right="120" w:hanging="489"/>
        <w:spacing w:after="0" w:line="241" w:lineRule="auto"/>
        <w:tabs>
          <w:tab w:leader="none" w:pos="1580" w:val="left"/>
        </w:tabs>
        <w:numPr>
          <w:ilvl w:val="1"/>
          <w:numId w:val="17"/>
        </w:numPr>
        <w:rPr>
          <w:rFonts w:ascii="Arial" w:cs="Arial" w:eastAsia="Arial" w:hAnsi="Arial"/>
          <w:sz w:val="21"/>
          <w:szCs w:val="21"/>
          <w:color w:val="auto"/>
        </w:rPr>
      </w:pPr>
      <w:r>
        <w:rPr>
          <w:rFonts w:ascii="Arial" w:cs="Arial" w:eastAsia="Arial" w:hAnsi="Arial"/>
          <w:sz w:val="21"/>
          <w:szCs w:val="21"/>
          <w:color w:val="auto"/>
        </w:rPr>
        <w:t>a retainer equal to $25,562.50 per fiscal quarter (paid only to those Participants serving as a Director as of the Grant Date in the fiscal quarter for which the fee is payable);</w:t>
      </w:r>
    </w:p>
    <w:p>
      <w:pPr>
        <w:spacing w:after="0" w:line="1" w:lineRule="exact"/>
        <w:rPr>
          <w:rFonts w:ascii="Arial" w:cs="Arial" w:eastAsia="Arial" w:hAnsi="Arial"/>
          <w:sz w:val="21"/>
          <w:szCs w:val="21"/>
          <w:color w:val="auto"/>
        </w:rPr>
      </w:pPr>
    </w:p>
    <w:p>
      <w:pPr>
        <w:ind w:left="1580" w:right="660" w:hanging="489"/>
        <w:spacing w:after="0" w:line="257" w:lineRule="auto"/>
        <w:tabs>
          <w:tab w:leader="none" w:pos="15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to the chairperson of the Company’s audit committee, a fee equal to $2,500 per fiscal quarter (paid only to the Participant serving in such position as of the Grant Date in the fiscal quarter for which the fee is payable);</w:t>
      </w:r>
    </w:p>
    <w:p>
      <w:pPr>
        <w:ind w:left="1580" w:right="180" w:hanging="489"/>
        <w:spacing w:after="0" w:line="257" w:lineRule="auto"/>
        <w:tabs>
          <w:tab w:leader="none" w:pos="15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to the chairperson of the Company’s compensation committee, a fee equal to $1,250 per fiscal quarter (paid only to the Participant serving in such position as of the Grant Date in the fiscal quarter for which the fee is payable);</w:t>
      </w:r>
    </w:p>
    <w:p>
      <w:pPr>
        <w:ind w:left="1580" w:hanging="489"/>
        <w:spacing w:after="0" w:line="232" w:lineRule="auto"/>
        <w:tabs>
          <w:tab w:leader="none" w:pos="1580" w:val="left"/>
        </w:tabs>
        <w:numPr>
          <w:ilvl w:val="1"/>
          <w:numId w:val="17"/>
        </w:numPr>
        <w:rPr>
          <w:rFonts w:ascii="Arial" w:cs="Arial" w:eastAsia="Arial" w:hAnsi="Arial"/>
          <w:sz w:val="21"/>
          <w:szCs w:val="21"/>
          <w:color w:val="auto"/>
        </w:rPr>
      </w:pPr>
      <w:r>
        <w:rPr>
          <w:rFonts w:ascii="Arial" w:cs="Arial" w:eastAsia="Arial" w:hAnsi="Arial"/>
          <w:sz w:val="21"/>
          <w:szCs w:val="21"/>
          <w:color w:val="auto"/>
        </w:rPr>
        <w:t>to the chairperson of the Company’s nominating and corporate governance committee, a fee equal to $1,250 per fiscal quarter (paid only to the Participant serving in such position as of the Grant Date in the fiscal quarter for which the fee is payable);</w:t>
      </w:r>
    </w:p>
    <w:p>
      <w:pPr>
        <w:spacing w:after="0" w:line="2" w:lineRule="exact"/>
        <w:rPr>
          <w:rFonts w:ascii="Arial" w:cs="Arial" w:eastAsia="Arial" w:hAnsi="Arial"/>
          <w:sz w:val="21"/>
          <w:szCs w:val="21"/>
          <w:color w:val="auto"/>
        </w:rPr>
      </w:pPr>
    </w:p>
    <w:p>
      <w:pPr>
        <w:ind w:left="1580" w:hanging="489"/>
        <w:spacing w:after="0" w:line="232" w:lineRule="auto"/>
        <w:tabs>
          <w:tab w:leader="none" w:pos="1580" w:val="left"/>
        </w:tabs>
        <w:numPr>
          <w:ilvl w:val="1"/>
          <w:numId w:val="17"/>
        </w:numPr>
        <w:rPr>
          <w:rFonts w:ascii="Arial" w:cs="Arial" w:eastAsia="Arial" w:hAnsi="Arial"/>
          <w:sz w:val="21"/>
          <w:szCs w:val="21"/>
          <w:color w:val="auto"/>
        </w:rPr>
      </w:pPr>
      <w:r>
        <w:rPr>
          <w:rFonts w:ascii="Arial" w:cs="Arial" w:eastAsia="Arial" w:hAnsi="Arial"/>
          <w:sz w:val="21"/>
          <w:szCs w:val="21"/>
          <w:color w:val="auto"/>
        </w:rPr>
        <w:t>$1,500 per meeting for his/her attendance at in-person meetings of the Board and committees;</w:t>
      </w:r>
    </w:p>
    <w:p>
      <w:pPr>
        <w:ind w:left="1580" w:hanging="489"/>
        <w:spacing w:after="0" w:line="232" w:lineRule="auto"/>
        <w:tabs>
          <w:tab w:leader="none" w:pos="1580" w:val="left"/>
        </w:tabs>
        <w:numPr>
          <w:ilvl w:val="1"/>
          <w:numId w:val="17"/>
        </w:numPr>
        <w:rPr>
          <w:rFonts w:ascii="Arial" w:cs="Arial" w:eastAsia="Arial" w:hAnsi="Arial"/>
          <w:sz w:val="21"/>
          <w:szCs w:val="21"/>
          <w:color w:val="auto"/>
        </w:rPr>
      </w:pPr>
      <w:r>
        <w:rPr>
          <w:rFonts w:ascii="Arial" w:cs="Arial" w:eastAsia="Arial" w:hAnsi="Arial"/>
          <w:sz w:val="21"/>
          <w:szCs w:val="21"/>
          <w:color w:val="auto"/>
        </w:rPr>
        <w:t>$750 per meeting for his/her attendance at telephonic meetings of the Board and committees; and</w:t>
      </w:r>
    </w:p>
    <w:p>
      <w:pPr>
        <w:ind w:left="1580" w:hanging="489"/>
        <w:spacing w:after="0"/>
        <w:tabs>
          <w:tab w:leader="none" w:pos="1580" w:val="left"/>
        </w:tabs>
        <w:numPr>
          <w:ilvl w:val="1"/>
          <w:numId w:val="17"/>
        </w:numPr>
        <w:rPr>
          <w:rFonts w:ascii="Arial" w:cs="Arial" w:eastAsia="Arial" w:hAnsi="Arial"/>
          <w:sz w:val="21"/>
          <w:szCs w:val="21"/>
          <w:color w:val="auto"/>
        </w:rPr>
      </w:pPr>
      <w:r>
        <w:rPr>
          <w:rFonts w:ascii="Arial" w:cs="Arial" w:eastAsia="Arial" w:hAnsi="Arial"/>
          <w:sz w:val="21"/>
          <w:szCs w:val="21"/>
          <w:color w:val="auto"/>
        </w:rPr>
        <w:t>Options to purchase 15,000 shares of the Company’s common stock upon initial election to the Board.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729361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26" w:right="259" w:bottom="1440" w:gutter="0" w:footer="0" w:header="0"/>
        </w:sectPr>
      </w:pPr>
    </w:p>
    <w:bookmarkStart w:id="32" w:name="page33"/>
    <w:bookmarkEnd w:id="32"/>
    <w:p>
      <w:pPr>
        <w:jc w:val="both"/>
        <w:ind w:firstLine="4"/>
        <w:spacing w:after="0" w:line="260" w:lineRule="auto"/>
        <w:tabs>
          <w:tab w:leader="none" w:pos="879"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Subject to the terms hereof, Compensation shall be paid on the applicable Grant Date unless the Participant elects to receive Deferred Stock. The Participants will have the right to elect payments of the values set forth above in any combination of Cash, Shares, Deferred Stock or Options; provided that (i) Compensation paid in the form of Options and/or Deferred Stock, as well as Compensation paid in the form of Shares as part of any Required Equity, shall be made pursuant to the Incentive Compensation Plan, and can only be made in such form if there is a sufficient number of shares of Common Stock available under the Incentive Compensation Plan; and (ii) Compensation paid in the form of Shares, at the Participant’s discretion and not part of any Required Equity, shall be made pursuant to this Plan, and can only be made in such form if there is a sufficient number of shares of Common Stock available under this Plan. In the event that the Company does not have a sufficient number of shares of Common Stock remaining under the Incentive Compensation Plan to satisfy elections to receive Options and/or Deferred Stock and/or Shares that are part of any Required Equity,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that the Company does not have a sufficient number of shares of Common Stock remaining under this Plan to satisfy discretionary elections to receive Shares,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a Participant elects to receive Deferred Stock, then on the Grant Date, the Participant shall receive a Deferred Stock Award and, when the deferment period expires, payment shall be made in shares of Common Stock.</w:t>
      </w:r>
    </w:p>
    <w:p>
      <w:pPr>
        <w:spacing w:after="0" w:line="166" w:lineRule="exact"/>
        <w:rPr>
          <w:rFonts w:ascii="Arial" w:cs="Arial" w:eastAsia="Arial" w:hAnsi="Arial"/>
          <w:sz w:val="19"/>
          <w:szCs w:val="19"/>
          <w:color w:val="auto"/>
        </w:rPr>
      </w:pPr>
    </w:p>
    <w:p>
      <w:pPr>
        <w:jc w:val="both"/>
        <w:ind w:firstLine="4"/>
        <w:spacing w:after="0" w:line="251" w:lineRule="auto"/>
        <w:tabs>
          <w:tab w:leader="none" w:pos="936"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The elections by the Participants must be made in writing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and submitted to the General Counsel of the Company (or such other person as the Committee shall designate) no later than December 31</w:t>
      </w:r>
      <w:r>
        <w:rPr>
          <w:rFonts w:ascii="Arial" w:cs="Arial" w:eastAsia="Arial" w:hAnsi="Arial"/>
          <w:sz w:val="16"/>
          <w:szCs w:val="16"/>
          <w:color w:val="auto"/>
        </w:rPr>
        <w:t>st</w:t>
      </w:r>
      <w:r>
        <w:rPr>
          <w:rFonts w:ascii="Arial" w:cs="Arial" w:eastAsia="Arial" w:hAnsi="Arial"/>
          <w:sz w:val="20"/>
          <w:szCs w:val="20"/>
          <w:color w:val="auto"/>
        </w:rPr>
        <w:t xml:space="preserve"> of the year preceding the fiscal year for which the election is to be effective. All elections (including elections to receive Deferred Stock), once submitted, are irrevocable for that fiscal year. In the event a timely election is not made or a person does not become a Participant until after the deadline for the election to be made or who becomes a Participant during a fiscal year, the payments will be made in cash for that fiscal year except for Required Equity which shall be paid in Shares.</w:t>
      </w:r>
    </w:p>
    <w:p>
      <w:pPr>
        <w:spacing w:after="0" w:line="169" w:lineRule="exact"/>
        <w:rPr>
          <w:rFonts w:ascii="Arial" w:cs="Arial" w:eastAsia="Arial" w:hAnsi="Arial"/>
          <w:sz w:val="20"/>
          <w:szCs w:val="20"/>
          <w:color w:val="auto"/>
        </w:rPr>
      </w:pPr>
    </w:p>
    <w:p>
      <w:pPr>
        <w:jc w:val="both"/>
        <w:ind w:firstLine="4"/>
        <w:spacing w:after="0" w:line="262" w:lineRule="auto"/>
        <w:tabs>
          <w:tab w:leader="none" w:pos="99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Valuation of Shares</w:t>
      </w:r>
      <w:r>
        <w:rPr>
          <w:rFonts w:ascii="Arial" w:cs="Arial" w:eastAsia="Arial" w:hAnsi="Arial"/>
          <w:sz w:val="20"/>
          <w:szCs w:val="20"/>
          <w:color w:val="auto"/>
        </w:rPr>
        <w:t>. For the purposes of determining the number of Shares to be issued to a Participant on a Grant Date, each Share shall be assigned a value equal to the consolidated closing bid price of a share of Common Stock as reported by NASDAQ on the effective Grant Date. Any Shares granted pursuant to this Plan shall be fully vested on the Grant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729361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3" w:name="page34"/>
    <w:bookmarkEnd w:id="33"/>
    <w:p>
      <w:pPr>
        <w:spacing w:after="0" w:line="256" w:lineRule="auto"/>
        <w:rPr>
          <w:sz w:val="20"/>
          <w:szCs w:val="20"/>
          <w:color w:val="auto"/>
        </w:rPr>
      </w:pPr>
      <w:r>
        <w:rPr>
          <w:rFonts w:ascii="Arial" w:cs="Arial" w:eastAsia="Arial" w:hAnsi="Arial"/>
          <w:sz w:val="21"/>
          <w:szCs w:val="21"/>
          <w:color w:val="auto"/>
        </w:rPr>
        <w:t xml:space="preserve">Payouts of Shares under the Plan will be in the form of whole Shares only; the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balance of any foregone fees not payable in whole Shares will not be paid.</w:t>
      </w:r>
    </w:p>
    <w:p>
      <w:pPr>
        <w:spacing w:after="0" w:line="161" w:lineRule="exact"/>
        <w:rPr>
          <w:sz w:val="20"/>
          <w:szCs w:val="20"/>
          <w:color w:val="auto"/>
        </w:rPr>
      </w:pPr>
    </w:p>
    <w:p>
      <w:pPr>
        <w:jc w:val="both"/>
        <w:ind w:firstLine="4"/>
        <w:spacing w:after="0" w:line="261" w:lineRule="auto"/>
        <w:tabs>
          <w:tab w:leader="none" w:pos="867"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Valuation of Options and/or Deferred Stock</w:t>
      </w:r>
      <w:r>
        <w:rPr>
          <w:rFonts w:ascii="Arial" w:cs="Arial" w:eastAsia="Arial" w:hAnsi="Arial"/>
          <w:sz w:val="19"/>
          <w:szCs w:val="19"/>
          <w:color w:val="auto"/>
        </w:rPr>
        <w:t>. For the purposes of determining the relative values of Deferred Stock and Options, each share of Deferred Stock shall be assigned a value equal to the consolidated closing price of a share of the Common Stock as reported by NASDAQ on the effective Grant Date and each Option to acquire a share of Common Stock shall be assigned a value equal to the Black-Scholes value of an option to acquire a share of Common Stock on the effective Grant Date with an exercise price equal to the closing sale price of a share of Common Stock as reported on a consolidated basis by NASDAQ on such Grant Date. Any Options issued pursuant to the foregoing shall vest in increments of one-third on the effective Grant Date, one-third on the first anniversary of the effective Grant Date and one-third on the second anniversary of the effective Grant Date. Unless the Board otherwise determines in its sole discretion, any unexercised portion of vested Options shall be exercisable for 10 years after the Grant Date, except in the event of Separation from Service, where vested Options shall automatically terminate: (i) immediately if for cause; (ii) three months if for a reason other than for cause/disability/death; (iii) twelve months if by reason of a Disability; and (iv) (a) twelve months if by reason of death or, if later, (b) three months after the date which the Participant dies if death occurs during the one year period due to Disability. Any Deferred Stock granted pursuant to this Plan shall be fully vested on the Grant Date.</w:t>
      </w:r>
    </w:p>
    <w:p>
      <w:pPr>
        <w:spacing w:after="0" w:line="166" w:lineRule="exact"/>
        <w:rPr>
          <w:sz w:val="20"/>
          <w:szCs w:val="20"/>
          <w:color w:val="auto"/>
        </w:rPr>
      </w:pPr>
    </w:p>
    <w:p>
      <w:pPr>
        <w:jc w:val="both"/>
        <w:ind w:firstLine="4"/>
        <w:spacing w:after="0" w:line="244" w:lineRule="auto"/>
        <w:tabs>
          <w:tab w:leader="none" w:pos="867" w:val="left"/>
        </w:tabs>
        <w:numPr>
          <w:ilvl w:val="0"/>
          <w:numId w:val="20"/>
        </w:numPr>
        <w:rPr>
          <w:rFonts w:ascii="Arial" w:cs="Arial" w:eastAsia="Arial" w:hAnsi="Arial"/>
          <w:sz w:val="21"/>
          <w:szCs w:val="21"/>
          <w:color w:val="auto"/>
        </w:rPr>
      </w:pPr>
      <w:r>
        <w:rPr>
          <w:rFonts w:ascii="Arial" w:cs="Arial" w:eastAsia="Arial" w:hAnsi="Arial"/>
          <w:sz w:val="21"/>
          <w:szCs w:val="21"/>
          <w:color w:val="auto"/>
        </w:rPr>
        <w:t>Except in the event of a Change in Control, all unvested Options to which a Participant would otherwise be entitled shall be forfeited immediately upon the Participant’s Separation from Service except as may otherwise be determined by the Board in writing in its sole discretion.</w:t>
      </w:r>
    </w:p>
    <w:p>
      <w:pPr>
        <w:spacing w:after="0" w:line="173" w:lineRule="exact"/>
        <w:rPr>
          <w:rFonts w:ascii="Arial" w:cs="Arial" w:eastAsia="Arial" w:hAnsi="Arial"/>
          <w:sz w:val="21"/>
          <w:szCs w:val="21"/>
          <w:color w:val="auto"/>
        </w:rPr>
      </w:pPr>
    </w:p>
    <w:p>
      <w:pPr>
        <w:jc w:val="both"/>
        <w:ind w:firstLine="4"/>
        <w:spacing w:after="0" w:line="248" w:lineRule="auto"/>
        <w:tabs>
          <w:tab w:leader="none" w:pos="99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a Participant elects to receive Deferred Stock, the Participant shall receive delivery of the Shares so deferred within 30 days after the earlier of (a) the third, fourth, or fifth anniversary of the Grant Date, as irrevocably elected by the Participant pursuant to Section 3 (iii) above, or (b) the Participant’s Separation from Service. If a Participant fails to elect an anniversary of the Date of Grant under the preceding sentence upon which to receive delivery of the Deferred Stock, then delivery of such Deferred Stock shall be made within 30 days after the Participant’s Separation from Service. Notwithstanding the foregoing, if a Participant is a “specified employee”, as that term is defined in Section 409A(a)(2)(B)(i) of the Code,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729361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4" w:name="page35"/>
    <w:bookmarkEnd w:id="34"/>
    <w:p>
      <w:pPr>
        <w:spacing w:after="0"/>
        <w:rPr>
          <w:sz w:val="20"/>
          <w:szCs w:val="20"/>
          <w:color w:val="auto"/>
        </w:rPr>
      </w:pPr>
      <w:r>
        <w:rPr>
          <w:rFonts w:ascii="Arial" w:cs="Arial" w:eastAsia="Arial" w:hAnsi="Arial"/>
          <w:sz w:val="21"/>
          <w:szCs w:val="21"/>
          <w:color w:val="auto"/>
        </w:rPr>
        <w:t>409A and such deferral is required to comply with the requirements of Section 409A.</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Section 4. Number of Shares Under the Plan</w:t>
      </w:r>
      <w:r>
        <w:rPr>
          <w:rFonts w:ascii="Arial" w:cs="Arial" w:eastAsia="Arial" w:hAnsi="Arial"/>
          <w:sz w:val="19"/>
          <w:szCs w:val="19"/>
          <w:color w:val="auto"/>
        </w:rPr>
        <w:t>. Subject to adjustment as the Board may from time to time determine, the total number of Shares reserved and available under the Plan with respect to discretionary elections to receive Shares in lieu of fees shall initially be 500,000, as adjusted for any stock dividends, combinations, splits, recapitalizations and the like with respect to the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5. Change in Control</w:t>
      </w:r>
      <w:r>
        <w:rPr>
          <w:rFonts w:ascii="Arial" w:cs="Arial" w:eastAsia="Arial" w:hAnsi="Arial"/>
          <w:sz w:val="21"/>
          <w:szCs w:val="21"/>
          <w:color w:val="auto"/>
        </w:rPr>
        <w:t>.</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1"/>
          <w:szCs w:val="21"/>
          <w:color w:val="auto"/>
        </w:rPr>
        <w:t>If and to the extent that it would not violate the requirements of Section 409A of the Code, in the event of a Change in Control prior to, or concurrently with, a Participant’s Separation from Service, the full value of the Participant’s unpaid or unvested Compensation shall immediately vest and, in the case of any Deferred Stock Award, shall be paid as soon as administratively practicable after, and in all events within 30 days after, the Change of Control.</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6. No Acceleration of Benefits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In no event shall the acceleration of the time or schedule of any payment under the Plan be permitted, except to the extent permitted under Section 409A of the Code and the Treasury Regulations and other applicable guidance issued thereunder.</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7. Amendment and Termination</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8. Unfunded Obligation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729361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20"/>
          <w:szCs w:val="20"/>
          <w:color w:val="auto"/>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 (regardless of the fact that not all forms of payment hereunder are being made under the Incentive Compensation Plan).</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9. Withholding</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10. Applicable Law</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This Plan shall be construed and enforced in accordance with the laws of the State of Delaware, except to the extent superseded by federal law.</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11. Administration and Interpretation</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The Plan will be administered by the Committee.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12. Code Section 409A</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It is intended that the Compensation granted pursuant to this Plan other than any Deferred Stock Awards, be exempt from Section 409A of the Code (“Section 409A”) because it is believed (i) the Compensation payable in cash should qualify for the short-term deferral exception contained in Treasury Regulation §1.409A-1(b)(4), and (ii) any Options granted pursuant to the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729361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6" w:name="page37"/>
    <w:bookmarkEnd w:id="36"/>
    <w:p>
      <w:pPr>
        <w:jc w:val="both"/>
        <w:spacing w:after="0"/>
        <w:rPr>
          <w:sz w:val="20"/>
          <w:szCs w:val="20"/>
          <w:color w:val="auto"/>
        </w:rPr>
      </w:pPr>
      <w:r>
        <w:rPr>
          <w:rFonts w:ascii="Arial" w:cs="Arial" w:eastAsia="Arial" w:hAnsi="Arial"/>
          <w:sz w:val="21"/>
          <w:szCs w:val="21"/>
          <w:color w:val="auto"/>
        </w:rPr>
        <w:t>will have an exercise price that may never be less than the Fair Market Value of a Share on the Grant Date and the other requirements for the exemption of such options under Treasury Regulation §1.409A-1(b)(5)(i)(A) should be met. It also is intended that any compensation payable in the form of a Deferred Stock Award comply with the requirements of Section 409A. The provisions of the Plan shall be interpreted in a manner consistent with the foregoing intentions.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that the Committee determines that the Compensation is not so exempt, to amend the Plan (and any agreements relating to any Compensation) in such manner as the Committee determines shall deem necessary or appropriate to comply with the requirements of Section 409A.</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 SPACE IS LEFT BLANK INTENTIONALLY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729361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DESTINATION XL GROUP,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NON-EMPLOYEE DIRECTOR COMPENSATION PLAN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IRREVOCABLE ELECTION AGREEMENT</w:t>
      </w:r>
    </w:p>
    <w:p>
      <w:pPr>
        <w:spacing w:after="0" w:line="19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General Counsel:</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I, _____________________________, hereby elect to receive my Destination XL Group, Inc. Non-Employee Director Compensation (as defined in the Destination XL Group,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Non-Employee Director Compensation Plan (the “Plan”))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134620</wp:posOffset>
            </wp:positionV>
            <wp:extent cx="2453005" cy="1395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3005" cy="1395730"/>
                    </a:xfrm>
                    <a:prstGeom prst="rect">
                      <a:avLst/>
                    </a:prstGeom>
                    <a:noFill/>
                  </pic:spPr>
                </pic:pic>
              </a:graphicData>
            </a:graphic>
          </wp:anchor>
        </w:drawing>
      </w:r>
    </w:p>
    <w:p>
      <w:pPr>
        <w:sectPr>
          <w:pgSz w:w="11900" w:h="16838" w:orient="portrait"/>
          <w:cols w:equalWidth="0" w:num="1">
            <w:col w:w="11440"/>
          </w:cols>
          <w:pgMar w:left="240" w:top="329" w:right="219" w:bottom="1440" w:gutter="0" w:footer="0" w:header="0"/>
        </w:sectPr>
      </w:pP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880" w:type="dxa"/>
            <w:vAlign w:val="bottom"/>
            <w:tcBorders>
              <w:bottom w:val="single" w:sz="8" w:color="auto"/>
              <w:right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840" w:type="dxa"/>
            <w:vAlign w:val="bottom"/>
            <w:tcBorders>
              <w:top w:val="single" w:sz="8" w:color="auto"/>
              <w:bottom w:val="single" w:sz="8" w:color="auto"/>
            </w:tcBorders>
            <w:gridSpan w:val="3"/>
          </w:tcPr>
          <w:p>
            <w:pPr>
              <w:jc w:val="right"/>
              <w:ind w:right="602"/>
              <w:spacing w:after="0"/>
              <w:rPr>
                <w:sz w:val="20"/>
                <w:szCs w:val="20"/>
                <w:color w:val="auto"/>
              </w:rPr>
            </w:pPr>
            <w:r>
              <w:rPr>
                <w:rFonts w:ascii="Arial" w:cs="Arial" w:eastAsia="Arial" w:hAnsi="Arial"/>
                <w:sz w:val="16"/>
                <w:szCs w:val="16"/>
                <w:b w:val="1"/>
                <w:bCs w:val="1"/>
                <w:color w:val="auto"/>
              </w:rPr>
              <w:t>PAYMENT CHOICES</w:t>
            </w:r>
          </w:p>
        </w:tc>
        <w:tc>
          <w:tcPr>
            <w:tcW w:w="7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6"/>
        </w:trPr>
        <w:tc>
          <w:tcPr>
            <w:tcW w:w="2880" w:type="dxa"/>
            <w:vAlign w:val="bottom"/>
            <w:tcBorders>
              <w:left w:val="single" w:sz="8" w:color="auto"/>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w w:val="97"/>
              </w:rPr>
              <w:t>DXLG Stock</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DXLG</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8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9"/>
              </w:rPr>
              <w:t>COMPENSATION</w:t>
            </w:r>
          </w:p>
        </w:tc>
        <w:tc>
          <w:tcPr>
            <w:tcW w:w="960" w:type="dxa"/>
            <w:vAlign w:val="bottom"/>
            <w:tcBorders>
              <w:right w:val="single" w:sz="8" w:color="auto"/>
            </w:tcBorders>
          </w:tcPr>
          <w:p>
            <w:pPr>
              <w:jc w:val="right"/>
              <w:ind w:right="262"/>
              <w:spacing w:after="0" w:line="157" w:lineRule="exact"/>
              <w:rPr>
                <w:sz w:val="20"/>
                <w:szCs w:val="20"/>
                <w:color w:val="auto"/>
              </w:rPr>
            </w:pPr>
            <w:r>
              <w:rPr>
                <w:rFonts w:ascii="Arial" w:cs="Arial" w:eastAsia="Arial" w:hAnsi="Arial"/>
                <w:sz w:val="16"/>
                <w:szCs w:val="16"/>
                <w:b w:val="1"/>
                <w:bCs w:val="1"/>
                <w:color w:val="auto"/>
              </w:rPr>
              <w:t>Cash</w:t>
            </w:r>
          </w:p>
        </w:tc>
        <w:tc>
          <w:tcPr>
            <w:tcW w:w="94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6"/>
                <w:szCs w:val="16"/>
                <w:b w:val="1"/>
                <w:bCs w:val="1"/>
                <w:color w:val="auto"/>
                <w:w w:val="92"/>
              </w:rPr>
              <w:t>DXLG Stock</w:t>
            </w:r>
          </w:p>
        </w:tc>
        <w:tc>
          <w:tcPr>
            <w:tcW w:w="96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88"/>
              </w:rPr>
              <w:t>Deferred</w:t>
            </w:r>
          </w:p>
        </w:tc>
        <w:tc>
          <w:tcPr>
            <w:tcW w:w="780" w:type="dxa"/>
            <w:vAlign w:val="bottom"/>
          </w:tcPr>
          <w:p>
            <w:pPr>
              <w:jc w:val="right"/>
              <w:ind w:right="42"/>
              <w:spacing w:after="0" w:line="157"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5"/>
        </w:trPr>
        <w:tc>
          <w:tcPr>
            <w:tcW w:w="2880" w:type="dxa"/>
            <w:vAlign w:val="bottom"/>
            <w:tcBorders>
              <w:left w:val="single" w:sz="8" w:color="auto"/>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ind w:left="200"/>
              <w:spacing w:after="0"/>
              <w:rPr>
                <w:sz w:val="20"/>
                <w:szCs w:val="20"/>
                <w:color w:val="auto"/>
              </w:rPr>
            </w:pPr>
            <w:r>
              <w:rPr>
                <w:rFonts w:ascii="Arial" w:cs="Arial" w:eastAsia="Arial" w:hAnsi="Arial"/>
                <w:sz w:val="16"/>
                <w:szCs w:val="16"/>
                <w:b w:val="1"/>
                <w:bCs w:val="1"/>
                <w:color w:val="auto"/>
              </w:rPr>
              <w:t>Options</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Stock</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Retainer</w:t>
            </w:r>
          </w:p>
        </w:tc>
        <w:tc>
          <w:tcPr>
            <w:tcW w:w="96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w w:val="86"/>
              </w:rPr>
              <w:t>_______%</w:t>
            </w:r>
          </w:p>
        </w:tc>
        <w:tc>
          <w:tcPr>
            <w:tcW w:w="9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w w:val="82"/>
              </w:rPr>
              <w:t>______%</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______%</w:t>
            </w:r>
          </w:p>
        </w:tc>
        <w:tc>
          <w:tcPr>
            <w:tcW w:w="9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w w:val="82"/>
              </w:rPr>
              <w:t>______%</w:t>
            </w:r>
          </w:p>
        </w:tc>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1"/>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In-Person Meetings</w:t>
            </w:r>
          </w:p>
        </w:tc>
        <w:tc>
          <w:tcPr>
            <w:tcW w:w="96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w w:val="86"/>
              </w:rPr>
              <w:t>_______%</w:t>
            </w:r>
          </w:p>
        </w:tc>
        <w:tc>
          <w:tcPr>
            <w:tcW w:w="9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w w:val="82"/>
              </w:rPr>
              <w:t>______%</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______%</w:t>
            </w:r>
          </w:p>
        </w:tc>
        <w:tc>
          <w:tcPr>
            <w:tcW w:w="9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w w:val="82"/>
              </w:rPr>
              <w:t>______%</w:t>
            </w:r>
          </w:p>
        </w:tc>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1"/>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Telephonic Meetings</w:t>
            </w:r>
          </w:p>
        </w:tc>
        <w:tc>
          <w:tcPr>
            <w:tcW w:w="96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w w:val="86"/>
              </w:rPr>
              <w:t>_______%</w:t>
            </w:r>
          </w:p>
        </w:tc>
        <w:tc>
          <w:tcPr>
            <w:tcW w:w="9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w w:val="82"/>
              </w:rPr>
              <w:t>______%</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______%</w:t>
            </w:r>
          </w:p>
        </w:tc>
        <w:tc>
          <w:tcPr>
            <w:tcW w:w="9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w w:val="82"/>
              </w:rPr>
              <w:t>______%</w:t>
            </w:r>
          </w:p>
        </w:tc>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1"/>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Committee Chair Fee</w:t>
            </w:r>
          </w:p>
        </w:tc>
        <w:tc>
          <w:tcPr>
            <w:tcW w:w="96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w w:val="86"/>
              </w:rPr>
              <w:t>_______%</w:t>
            </w:r>
          </w:p>
        </w:tc>
        <w:tc>
          <w:tcPr>
            <w:tcW w:w="9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w w:val="82"/>
              </w:rPr>
              <w:t>______%</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______%</w:t>
            </w:r>
          </w:p>
        </w:tc>
        <w:tc>
          <w:tcPr>
            <w:tcW w:w="9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w w:val="82"/>
              </w:rPr>
              <w:t>______%</w:t>
            </w:r>
          </w:p>
        </w:tc>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Required Equity, if any].  **Separation from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right="80" w:hanging="13"/>
        <w:spacing w:after="0" w:line="399" w:lineRule="auto"/>
        <w:rPr>
          <w:sz w:val="20"/>
          <w:szCs w:val="20"/>
          <w:color w:val="auto"/>
        </w:rPr>
      </w:pPr>
      <w:r>
        <w:rPr>
          <w:rFonts w:ascii="Arial" w:cs="Arial" w:eastAsia="Arial" w:hAnsi="Arial"/>
          <w:sz w:val="13"/>
          <w:szCs w:val="13"/>
          <w:b w:val="1"/>
          <w:bCs w:val="1"/>
          <w:color w:val="auto"/>
        </w:rPr>
        <w:t>If Deferred Stock was elected, specify the anniversary of the Date of Grant on which the Deferral Period will end</w:t>
      </w:r>
    </w:p>
    <w:tbl>
      <w:tblPr>
        <w:tblLayout w:type="fixed"/>
        <w:tblInd w:w="0" w:type="dxa"/>
        <w:tblCellMar>
          <w:top w:w="0" w:type="dxa"/>
          <w:left w:w="0" w:type="dxa"/>
          <w:bottom w:w="0" w:type="dxa"/>
          <w:right w:w="0" w:type="dxa"/>
        </w:tblCellMar>
      </w:tblPr>
      <w:tr>
        <w:trPr>
          <w:trHeight w:val="209"/>
        </w:trPr>
        <w:tc>
          <w:tcPr>
            <w:tcW w:w="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3rd</w:t>
            </w:r>
          </w:p>
        </w:tc>
        <w:tc>
          <w:tcPr>
            <w:tcW w:w="9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4th</w:t>
            </w:r>
          </w:p>
        </w:tc>
        <w:tc>
          <w:tcPr>
            <w:tcW w:w="9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5th</w:t>
            </w: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SfS**</w:t>
            </w:r>
          </w:p>
        </w:tc>
      </w:tr>
      <w:tr>
        <w:trPr>
          <w:trHeight w:val="201"/>
        </w:trPr>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3rd</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4th</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5th</w:t>
            </w:r>
          </w:p>
        </w:tc>
        <w:tc>
          <w:tcPr>
            <w:tcW w:w="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SfS**</w:t>
            </w:r>
          </w:p>
        </w:tc>
      </w:tr>
      <w:tr>
        <w:trPr>
          <w:trHeight w:val="201"/>
        </w:trPr>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3rd</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4th</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5th</w:t>
            </w:r>
          </w:p>
        </w:tc>
        <w:tc>
          <w:tcPr>
            <w:tcW w:w="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SfS**</w:t>
            </w:r>
          </w:p>
        </w:tc>
      </w:tr>
      <w:tr>
        <w:trPr>
          <w:trHeight w:val="201"/>
        </w:trPr>
        <w:tc>
          <w:tcPr>
            <w:tcW w:w="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3rd</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4th</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5th</w:t>
            </w:r>
          </w:p>
        </w:tc>
        <w:tc>
          <w:tcPr>
            <w:tcW w:w="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SfS**</w:t>
            </w:r>
          </w:p>
        </w:tc>
      </w:tr>
    </w:tbl>
    <w:p>
      <w:pPr>
        <w:spacing w:after="0" w:line="569" w:lineRule="exact"/>
        <w:rPr>
          <w:sz w:val="20"/>
          <w:szCs w:val="20"/>
          <w:color w:val="auto"/>
        </w:rPr>
      </w:pPr>
    </w:p>
    <w:p>
      <w:pPr>
        <w:sectPr>
          <w:pgSz w:w="11900" w:h="16838" w:orient="portrait"/>
          <w:cols w:equalWidth="0" w:num="2">
            <w:col w:w="7460" w:space="120"/>
            <w:col w:w="3860"/>
          </w:cols>
          <w:pgMar w:left="240" w:top="329" w:right="219" w:bottom="1440" w:gutter="0" w:footer="0" w:header="0"/>
          <w:type w:val="continuous"/>
        </w:sectPr>
      </w:pPr>
    </w:p>
    <w:p>
      <w:pPr>
        <w:spacing w:after="0" w:line="201" w:lineRule="exact"/>
        <w:rPr>
          <w:sz w:val="20"/>
          <w:szCs w:val="20"/>
          <w:color w:val="auto"/>
        </w:rPr>
      </w:pPr>
    </w:p>
    <w:p>
      <w:pPr>
        <w:jc w:val="both"/>
        <w:ind w:right="20"/>
        <w:spacing w:after="0" w:line="309" w:lineRule="auto"/>
        <w:rPr>
          <w:sz w:val="20"/>
          <w:szCs w:val="20"/>
          <w:color w:val="auto"/>
        </w:rPr>
      </w:pPr>
      <w:r>
        <w:rPr>
          <w:rFonts w:ascii="Arial" w:cs="Arial" w:eastAsia="Arial" w:hAnsi="Arial"/>
          <w:sz w:val="14"/>
          <w:szCs w:val="14"/>
          <w:color w:val="auto"/>
        </w:rPr>
        <w:t>[NOTE: You have the opportunity to decide the Compensation Payment Choice(s): cash, DXLG Stock, DXLG stock options or DXLG Deferred Stock for each type of fee. Your selected option(s) for any given year must equal 100%. If you select Deferred Stock, then distribution of your DXLG shares shall be made within 30 days after the earlier of (a) the anniversary of the Date of Grant you elect above and (b) the date of your Separation from Service (or if you become an employee of the Company and are a “specified employee”, as defined in the Plan, the 6-month anniversary of the Grant Date). If you do not specify a number of years, distribution will be made upon your Separation from Service.]</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 understand and acknowledge that (i) with respect to elections to receive DXLG stock options and/or DXLG Deferred Stock and/or DXL Stock (for Required Equity, if any), if there is an insufficient number of DXLG shares available under the Company’s 2006 Incentive Compensation Plan, I will be paid in cash and (ii) with respect to discretionary elections to receive DXLG Stock, if there is an insufficient number of DXLG shares available under the Plan, I will be paid in cash.</w:t>
      </w:r>
    </w:p>
    <w:p>
      <w:pPr>
        <w:spacing w:after="0" w:line="173"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I understand and acknowledge that this election is irrevocable. I understand and acknowledge that I must be a director of the Company on the dates each portion of the Compensation is paid in order to qualify for such payment.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if there is any conflict between this form or any part of it and the Plan, the provisions of the Plan shall govern.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 have hereunto set my hand and seal this ____ day of ___________, 20___.</w:t>
      </w:r>
    </w:p>
    <w:p>
      <w:pPr>
        <w:spacing w:after="0" w:line="200" w:lineRule="exact"/>
        <w:rPr>
          <w:sz w:val="20"/>
          <w:szCs w:val="20"/>
          <w:color w:val="auto"/>
        </w:rPr>
      </w:pPr>
    </w:p>
    <w:p>
      <w:pPr>
        <w:spacing w:after="0" w:line="201" w:lineRule="exact"/>
        <w:rPr>
          <w:sz w:val="20"/>
          <w:szCs w:val="20"/>
          <w:color w:val="auto"/>
        </w:rPr>
      </w:pPr>
    </w:p>
    <w:p>
      <w:pPr>
        <w:spacing w:after="0"/>
        <w:tabs>
          <w:tab w:leader="none" w:pos="2880" w:val="left"/>
        </w:tabs>
        <w:rPr>
          <w:sz w:val="20"/>
          <w:szCs w:val="20"/>
          <w:color w:val="auto"/>
        </w:rPr>
      </w:pPr>
      <w:r>
        <w:rPr>
          <w:rFonts w:ascii="Arial" w:cs="Arial" w:eastAsia="Arial" w:hAnsi="Arial"/>
          <w:sz w:val="16"/>
          <w:szCs w:val="16"/>
          <w:color w:val="auto"/>
        </w:rPr>
        <w:t>_____________________________</w:t>
      </w:r>
      <w:r>
        <w:rPr>
          <w:sz w:val="20"/>
          <w:szCs w:val="20"/>
          <w:color w:val="auto"/>
        </w:rPr>
        <w:tab/>
      </w:r>
      <w:r>
        <w:rPr>
          <w:rFonts w:ascii="Arial" w:cs="Arial" w:eastAsia="Arial" w:hAnsi="Arial"/>
          <w:sz w:val="16"/>
          <w:szCs w:val="16"/>
          <w:color w:val="auto"/>
        </w:rPr>
        <w:t>____________________________</w:t>
      </w:r>
    </w:p>
    <w:p>
      <w:pPr>
        <w:spacing w:after="0" w:line="1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(Printed name)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MIA 184192812v2</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440"/>
          </w:cols>
          <w:pgMar w:left="240" w:top="329" w:right="21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7"/>
          <w:szCs w:val="17"/>
          <w:color w:val="auto"/>
        </w:rPr>
        <w:t>Exhibit 10.2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EMPLOYMENT AGREEMENT</w:t>
      </w:r>
    </w:p>
    <w:p>
      <w:pPr>
        <w:spacing w:after="0" w:line="200" w:lineRule="exact"/>
        <w:rPr>
          <w:sz w:val="20"/>
          <w:szCs w:val="20"/>
          <w:color w:val="auto"/>
        </w:rPr>
      </w:pPr>
    </w:p>
    <w:p>
      <w:pPr>
        <w:spacing w:after="0" w:line="243"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This Employment Agreement ("Agreement") is made as of May 17, 2015 between Destination XL Group, Inc. (the “Company”), a Delaware corporation with an office at 555 Turnpike Street, Canton, Massachusetts 02021 (“DXLG” which term includes any affiliates and subsidiaries), and John F. Cooney (the “Executive”) having an address at 10 Canterberry Lane, Norfolk, Massachusetts 02056.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WITNESSETH:</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WHEREAS, the Company desires that Executive work for the Company and Executive desires to be employed by the Company.</w:t>
      </w:r>
    </w:p>
    <w:p>
      <w:pPr>
        <w:spacing w:after="0" w:line="250" w:lineRule="exact"/>
        <w:rPr>
          <w:sz w:val="20"/>
          <w:szCs w:val="20"/>
          <w:color w:val="auto"/>
        </w:rPr>
      </w:pPr>
    </w:p>
    <w:p>
      <w:pPr>
        <w:ind w:right="340" w:firstLine="528"/>
        <w:spacing w:after="0" w:line="256" w:lineRule="auto"/>
        <w:rPr>
          <w:sz w:val="20"/>
          <w:szCs w:val="20"/>
          <w:color w:val="auto"/>
        </w:rPr>
      </w:pPr>
      <w:r>
        <w:rPr>
          <w:rFonts w:ascii="Arial" w:cs="Arial" w:eastAsia="Arial" w:hAnsi="Arial"/>
          <w:sz w:val="21"/>
          <w:szCs w:val="21"/>
          <w:color w:val="auto"/>
        </w:rPr>
        <w:t>WHEREAS, Executive and the Company desire to set forth in writing the terms and conditions of the Executive's employment with the Company from the date hereof.</w:t>
      </w:r>
    </w:p>
    <w:p>
      <w:pPr>
        <w:spacing w:after="0" w:line="187" w:lineRule="exact"/>
        <w:rPr>
          <w:sz w:val="20"/>
          <w:szCs w:val="20"/>
          <w:color w:val="auto"/>
        </w:rPr>
      </w:pPr>
    </w:p>
    <w:p>
      <w:pPr>
        <w:ind w:right="160" w:firstLine="513"/>
        <w:spacing w:after="0" w:line="256" w:lineRule="auto"/>
        <w:rPr>
          <w:sz w:val="20"/>
          <w:szCs w:val="20"/>
          <w:color w:val="auto"/>
        </w:rPr>
      </w:pPr>
      <w:r>
        <w:rPr>
          <w:rFonts w:ascii="Arial" w:cs="Arial" w:eastAsia="Arial" w:hAnsi="Arial"/>
          <w:sz w:val="21"/>
          <w:szCs w:val="21"/>
          <w:color w:val="auto"/>
        </w:rPr>
        <w:t>NOW, THEREFORE, in consideration of the promises and the mutual promises, representations and covenants herein contained, the parties hereto agree as follows:</w:t>
      </w:r>
    </w:p>
    <w:p>
      <w:pPr>
        <w:spacing w:after="0" w:line="187" w:lineRule="exact"/>
        <w:rPr>
          <w:sz w:val="20"/>
          <w:szCs w:val="20"/>
          <w:color w:val="auto"/>
        </w:rPr>
      </w:pPr>
    </w:p>
    <w:p>
      <w:pPr>
        <w:ind w:left="1660" w:hanging="785"/>
        <w:spacing w:after="0"/>
        <w:tabs>
          <w:tab w:leader="none" w:pos="1660"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EMPLOYMENT</w:t>
      </w:r>
    </w:p>
    <w:p>
      <w:pPr>
        <w:spacing w:after="0" w:line="227" w:lineRule="exact"/>
        <w:rPr>
          <w:sz w:val="20"/>
          <w:szCs w:val="20"/>
          <w:color w:val="auto"/>
        </w:rPr>
      </w:pPr>
    </w:p>
    <w:p>
      <w:pPr>
        <w:ind w:right="200" w:firstLine="988"/>
        <w:spacing w:after="0" w:line="244" w:lineRule="auto"/>
        <w:rPr>
          <w:sz w:val="20"/>
          <w:szCs w:val="20"/>
          <w:color w:val="auto"/>
        </w:rPr>
      </w:pPr>
      <w:r>
        <w:rPr>
          <w:rFonts w:ascii="Arial" w:cs="Arial" w:eastAsia="Arial" w:hAnsi="Arial"/>
          <w:sz w:val="21"/>
          <w:szCs w:val="21"/>
          <w:color w:val="auto"/>
        </w:rPr>
        <w:t>The Company hereby employs Executive and Executive hereby accepts such employment, subject to the terms and conditions herein set forth. Executive shall have the title Vice President - Finance, Chief Accounting Officer and Corporate Controller as of the Effective Date.</w:t>
      </w:r>
    </w:p>
    <w:p>
      <w:pPr>
        <w:spacing w:after="0" w:line="200" w:lineRule="exact"/>
        <w:rPr>
          <w:sz w:val="20"/>
          <w:szCs w:val="20"/>
          <w:color w:val="auto"/>
        </w:rPr>
      </w:pPr>
    </w:p>
    <w:p>
      <w:pPr>
        <w:ind w:left="1660" w:hanging="778"/>
        <w:spacing w:after="0"/>
        <w:tabs>
          <w:tab w:leader="none" w:pos="166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TERM</w:t>
      </w:r>
    </w:p>
    <w:p>
      <w:pPr>
        <w:spacing w:after="0" w:line="227" w:lineRule="exact"/>
        <w:rPr>
          <w:sz w:val="20"/>
          <w:szCs w:val="20"/>
          <w:color w:val="auto"/>
        </w:rPr>
      </w:pPr>
    </w:p>
    <w:p>
      <w:pPr>
        <w:ind w:right="440" w:firstLine="988"/>
        <w:spacing w:after="0" w:line="256" w:lineRule="auto"/>
        <w:rPr>
          <w:sz w:val="20"/>
          <w:szCs w:val="20"/>
          <w:color w:val="auto"/>
        </w:rPr>
      </w:pPr>
      <w:r>
        <w:rPr>
          <w:rFonts w:ascii="Arial" w:cs="Arial" w:eastAsia="Arial" w:hAnsi="Arial"/>
          <w:sz w:val="21"/>
          <w:szCs w:val="21"/>
          <w:color w:val="auto"/>
        </w:rPr>
        <w:t>The term of employment under this Agreement (the “Term of Employment”) shall begin on the date set forth above (the "Effective Date") and shall continue until terminated by either party as hereinafter set forth.</w:t>
      </w:r>
    </w:p>
    <w:p>
      <w:pPr>
        <w:spacing w:after="0" w:line="187" w:lineRule="exact"/>
        <w:rPr>
          <w:sz w:val="20"/>
          <w:szCs w:val="20"/>
          <w:color w:val="auto"/>
        </w:rPr>
      </w:pPr>
    </w:p>
    <w:p>
      <w:pPr>
        <w:ind w:left="1660" w:hanging="778"/>
        <w:spacing w:after="0"/>
        <w:tabs>
          <w:tab w:leader="none" w:pos="1660"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COMPENSATION</w:t>
      </w:r>
    </w:p>
    <w:p>
      <w:pPr>
        <w:spacing w:after="0" w:line="227" w:lineRule="exact"/>
        <w:rPr>
          <w:sz w:val="20"/>
          <w:szCs w:val="20"/>
          <w:color w:val="auto"/>
        </w:rPr>
      </w:pPr>
    </w:p>
    <w:p>
      <w:pPr>
        <w:ind w:right="20" w:firstLine="882"/>
        <w:spacing w:after="0" w:line="270" w:lineRule="auto"/>
        <w:tabs>
          <w:tab w:leader="none" w:pos="1733" w:val="left"/>
        </w:tabs>
        <w:numPr>
          <w:ilvl w:val="0"/>
          <w:numId w:val="24"/>
        </w:numPr>
        <w:rPr>
          <w:rFonts w:ascii="Arial" w:cs="Arial" w:eastAsia="Arial" w:hAnsi="Arial"/>
          <w:sz w:val="19"/>
          <w:szCs w:val="19"/>
          <w:color w:val="auto"/>
        </w:rPr>
      </w:pPr>
      <w:r>
        <w:rPr>
          <w:rFonts w:ascii="Arial" w:cs="Arial" w:eastAsia="Arial" w:hAnsi="Arial"/>
          <w:sz w:val="19"/>
          <w:szCs w:val="19"/>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Ten Thousand Dollars and 00/100 Cents ($210,000.00)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175" w:lineRule="exact"/>
        <w:rPr>
          <w:rFonts w:ascii="Arial" w:cs="Arial" w:eastAsia="Arial" w:hAnsi="Arial"/>
          <w:sz w:val="19"/>
          <w:szCs w:val="19"/>
          <w:color w:val="auto"/>
        </w:rPr>
      </w:pPr>
    </w:p>
    <w:p>
      <w:pPr>
        <w:jc w:val="both"/>
        <w:ind w:firstLine="882"/>
        <w:spacing w:after="0" w:line="244" w:lineRule="auto"/>
        <w:tabs>
          <w:tab w:leader="none" w:pos="1836" w:val="left"/>
        </w:tabs>
        <w:numPr>
          <w:ilvl w:val="0"/>
          <w:numId w:val="24"/>
        </w:numPr>
        <w:rPr>
          <w:rFonts w:ascii="Arial" w:cs="Arial" w:eastAsia="Arial" w:hAnsi="Arial"/>
          <w:sz w:val="21"/>
          <w:szCs w:val="21"/>
          <w:color w:val="auto"/>
        </w:rPr>
      </w:pPr>
      <w:r>
        <w:rPr>
          <w:rFonts w:ascii="Arial" w:cs="Arial" w:eastAsia="Arial" w:hAnsi="Arial"/>
          <w:sz w:val="21"/>
          <w:szCs w:val="21"/>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309245</wp:posOffset>
            </wp:positionV>
            <wp:extent cx="729361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20"/>
          <w:szCs w:val="20"/>
          <w:color w:val="auto"/>
        </w:rPr>
        <w:t>participate in the Company’s incentive program and Executive’s target bonus under such plan (if all individual and Company performance conditions are met) shall be 20%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93" w:lineRule="exact"/>
        <w:rPr>
          <w:sz w:val="20"/>
          <w:szCs w:val="20"/>
          <w:color w:val="auto"/>
        </w:rPr>
      </w:pPr>
    </w:p>
    <w:p>
      <w:pPr>
        <w:ind w:firstLine="882"/>
        <w:spacing w:after="0" w:line="267" w:lineRule="auto"/>
        <w:tabs>
          <w:tab w:leader="none" w:pos="1733"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 addition, during the Term of Employment, Executive is eligible to participate in the Company’s 2013-2016 Long-Term Incentive Plan and the 2016 Destination XL Group, Inc. Long-Term Incentive Wrap-Around Plan (collectively, the “LTIP”). Such incentive shall be determined and distributable in accordance with and subject to the terms and conditions as described in the LTIP documents in effect at the time of the award, subject to change in the Compensation Committee’s sole discretion. Executive will participate in the Company’s LTIP at a target incentive rate of 50% of Executive’s combined actual annual Base Earnings, for the incentive period, based upon the Company’s targeted performance as defined in the LTIP documents in effect at the time of the award.</w:t>
      </w:r>
    </w:p>
    <w:p>
      <w:pPr>
        <w:spacing w:after="0" w:line="180" w:lineRule="exact"/>
        <w:rPr>
          <w:sz w:val="20"/>
          <w:szCs w:val="20"/>
          <w:color w:val="auto"/>
        </w:rPr>
      </w:pPr>
    </w:p>
    <w:p>
      <w:pPr>
        <w:ind w:left="1660" w:hanging="778"/>
        <w:spacing w:after="0"/>
        <w:tabs>
          <w:tab w:leader="none" w:pos="1660"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EXPENSES</w:t>
      </w:r>
    </w:p>
    <w:p>
      <w:pPr>
        <w:spacing w:after="0" w:line="227" w:lineRule="exact"/>
        <w:rPr>
          <w:sz w:val="20"/>
          <w:szCs w:val="20"/>
          <w:color w:val="auto"/>
        </w:rPr>
      </w:pPr>
    </w:p>
    <w:p>
      <w:pPr>
        <w:jc w:val="both"/>
        <w:ind w:firstLine="878"/>
        <w:spacing w:after="0" w:line="238" w:lineRule="auto"/>
        <w:rPr>
          <w:sz w:val="20"/>
          <w:szCs w:val="20"/>
          <w:color w:val="auto"/>
        </w:rPr>
      </w:pPr>
      <w:r>
        <w:rPr>
          <w:rFonts w:ascii="Arial" w:cs="Arial" w:eastAsia="Arial" w:hAnsi="Arial"/>
          <w:sz w:val="21"/>
          <w:szCs w:val="21"/>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07" w:lineRule="exact"/>
        <w:rPr>
          <w:sz w:val="20"/>
          <w:szCs w:val="20"/>
          <w:color w:val="auto"/>
        </w:rPr>
      </w:pPr>
    </w:p>
    <w:p>
      <w:pPr>
        <w:ind w:left="1660" w:hanging="778"/>
        <w:spacing w:after="0"/>
        <w:tabs>
          <w:tab w:leader="none" w:pos="166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OTHER BENEFITS</w:t>
      </w:r>
    </w:p>
    <w:p>
      <w:pPr>
        <w:spacing w:after="0" w:line="227" w:lineRule="exact"/>
        <w:rPr>
          <w:sz w:val="20"/>
          <w:szCs w:val="20"/>
          <w:color w:val="auto"/>
        </w:rPr>
      </w:pPr>
    </w:p>
    <w:p>
      <w:pPr>
        <w:jc w:val="both"/>
        <w:ind w:firstLine="882"/>
        <w:spacing w:after="0" w:line="238" w:lineRule="auto"/>
        <w:tabs>
          <w:tab w:leader="none" w:pos="1733" w:val="left"/>
        </w:tabs>
        <w:numPr>
          <w:ilvl w:val="0"/>
          <w:numId w:val="28"/>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207" w:lineRule="exact"/>
        <w:rPr>
          <w:rFonts w:ascii="Arial" w:cs="Arial" w:eastAsia="Arial" w:hAnsi="Arial"/>
          <w:sz w:val="21"/>
          <w:szCs w:val="21"/>
          <w:color w:val="auto"/>
        </w:rPr>
      </w:pPr>
    </w:p>
    <w:p>
      <w:pPr>
        <w:ind w:left="1740" w:hanging="858"/>
        <w:spacing w:after="0"/>
        <w:tabs>
          <w:tab w:leader="none" w:pos="1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Executive will be eligible to participate in the Company’s annual performance appraisal process.</w:t>
      </w:r>
    </w:p>
    <w:p>
      <w:pPr>
        <w:spacing w:after="0" w:line="227" w:lineRule="exact"/>
        <w:rPr>
          <w:sz w:val="20"/>
          <w:szCs w:val="20"/>
          <w:color w:val="auto"/>
        </w:rPr>
      </w:pPr>
    </w:p>
    <w:p>
      <w:pPr>
        <w:ind w:left="1660" w:hanging="778"/>
        <w:spacing w:after="0"/>
        <w:tabs>
          <w:tab w:leader="none" w:pos="166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DUTIES</w:t>
      </w:r>
    </w:p>
    <w:p>
      <w:pPr>
        <w:spacing w:after="0" w:line="227" w:lineRule="exact"/>
        <w:rPr>
          <w:sz w:val="20"/>
          <w:szCs w:val="20"/>
          <w:color w:val="auto"/>
        </w:rPr>
      </w:pPr>
    </w:p>
    <w:p>
      <w:pPr>
        <w:jc w:val="both"/>
        <w:ind w:firstLine="882"/>
        <w:spacing w:after="0" w:line="244" w:lineRule="auto"/>
        <w:tabs>
          <w:tab w:leader="none" w:pos="1733" w:val="left"/>
        </w:tabs>
        <w:numPr>
          <w:ilvl w:val="0"/>
          <w:numId w:val="30"/>
        </w:numPr>
        <w:rPr>
          <w:rFonts w:ascii="Arial" w:cs="Arial" w:eastAsia="Arial" w:hAnsi="Arial"/>
          <w:sz w:val="21"/>
          <w:szCs w:val="21"/>
          <w:color w:val="auto"/>
        </w:rPr>
      </w:pPr>
      <w:r>
        <w:rPr>
          <w:rFonts w:ascii="Arial" w:cs="Arial" w:eastAsia="Arial" w:hAnsi="Arial"/>
          <w:sz w:val="21"/>
          <w:szCs w:val="21"/>
          <w:color w:val="auto"/>
        </w:rPr>
        <w:t>Executive shall perform such duties and functions consistent with the position of Vice President - Finance, Chief Accounting Officer and Corporate Controller and/or as the Company shall from time to time determine and Executive shall comply in the performance of his duties with the policies of, and be subject to the direction of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40" w:name="page41"/>
    <w:bookmarkEnd w:id="40"/>
    <w:p>
      <w:pPr>
        <w:jc w:val="both"/>
        <w:ind w:firstLine="882"/>
        <w:spacing w:after="0" w:line="253" w:lineRule="auto"/>
        <w:tabs>
          <w:tab w:leader="none" w:pos="1745" w:val="left"/>
        </w:tabs>
        <w:numPr>
          <w:ilvl w:val="0"/>
          <w:numId w:val="31"/>
        </w:numPr>
        <w:rPr>
          <w:rFonts w:ascii="Arial" w:cs="Arial" w:eastAsia="Arial" w:hAnsi="Arial"/>
          <w:sz w:val="20"/>
          <w:szCs w:val="20"/>
          <w:color w:val="auto"/>
        </w:rPr>
      </w:pPr>
      <w:r>
        <w:rPr>
          <w:rFonts w:ascii="Arial" w:cs="Arial" w:eastAsia="Arial" w:hAnsi="Arial"/>
          <w:sz w:val="20"/>
          <w:szCs w:val="20"/>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92" w:lineRule="exact"/>
        <w:rPr>
          <w:rFonts w:ascii="Arial" w:cs="Arial" w:eastAsia="Arial" w:hAnsi="Arial"/>
          <w:sz w:val="20"/>
          <w:szCs w:val="20"/>
          <w:color w:val="auto"/>
        </w:rPr>
      </w:pPr>
    </w:p>
    <w:p>
      <w:pPr>
        <w:ind w:right="140" w:firstLine="882"/>
        <w:spacing w:after="0" w:line="253" w:lineRule="auto"/>
        <w:tabs>
          <w:tab w:leader="none" w:pos="1785"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principal location at which the Executive shall perform his duties hereunder shall be at the Company's offices in Canton, Massachusetts or at such other location as may be temporarily designated from time to time by the</w:t>
      </w:r>
    </w:p>
    <w:p>
      <w:pPr>
        <w:spacing w:after="0" w:line="1" w:lineRule="exact"/>
        <w:rPr>
          <w:rFonts w:ascii="Arial" w:cs="Arial" w:eastAsia="Arial" w:hAnsi="Arial"/>
          <w:sz w:val="20"/>
          <w:szCs w:val="20"/>
          <w:color w:val="auto"/>
        </w:rPr>
      </w:pPr>
    </w:p>
    <w:p>
      <w:pPr>
        <w:ind w:right="500"/>
        <w:spacing w:after="0" w:line="262" w:lineRule="auto"/>
        <w:rPr>
          <w:rFonts w:ascii="Arial" w:cs="Arial" w:eastAsia="Arial" w:hAnsi="Arial"/>
          <w:sz w:val="20"/>
          <w:szCs w:val="20"/>
          <w:color w:val="auto"/>
        </w:rPr>
      </w:pPr>
      <w:r>
        <w:rPr>
          <w:rFonts w:ascii="Arial" w:cs="Arial" w:eastAsia="Arial" w:hAnsi="Arial"/>
          <w:sz w:val="20"/>
          <w:szCs w:val="20"/>
          <w:color w:val="auto"/>
        </w:rPr>
        <w:t>Company. Notwithstanding the foregoing, Executive shall perform such services at such other locations as may be required for the proper performance of his duties hereunder, and Executive recognizes that such duties may involve travel.</w:t>
      </w:r>
    </w:p>
    <w:p>
      <w:pPr>
        <w:spacing w:after="0" w:line="182" w:lineRule="exact"/>
        <w:rPr>
          <w:sz w:val="20"/>
          <w:szCs w:val="20"/>
          <w:color w:val="auto"/>
        </w:rPr>
      </w:pPr>
    </w:p>
    <w:p>
      <w:pPr>
        <w:ind w:left="1660" w:hanging="778"/>
        <w:spacing w:after="0"/>
        <w:tabs>
          <w:tab w:leader="none" w:pos="166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EFFECT OF TERMINATION</w:t>
      </w:r>
    </w:p>
    <w:p>
      <w:pPr>
        <w:spacing w:after="0" w:line="227" w:lineRule="exact"/>
        <w:rPr>
          <w:sz w:val="20"/>
          <w:szCs w:val="20"/>
          <w:color w:val="auto"/>
        </w:rPr>
      </w:pPr>
    </w:p>
    <w:p>
      <w:pPr>
        <w:ind w:left="1740" w:hanging="858"/>
        <w:spacing w:after="0"/>
        <w:tabs>
          <w:tab w:leader="none" w:pos="17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Term of Employment may be terminated by the Company at any time:</w:t>
      </w:r>
    </w:p>
    <w:p>
      <w:pPr>
        <w:spacing w:after="0" w:line="226" w:lineRule="exact"/>
        <w:rPr>
          <w:rFonts w:ascii="Arial" w:cs="Arial" w:eastAsia="Arial" w:hAnsi="Arial"/>
          <w:sz w:val="21"/>
          <w:szCs w:val="21"/>
          <w:color w:val="auto"/>
        </w:rPr>
      </w:pPr>
    </w:p>
    <w:p>
      <w:pPr>
        <w:jc w:val="both"/>
        <w:ind w:firstLine="1760"/>
        <w:spacing w:after="0"/>
        <w:tabs>
          <w:tab w:leader="none" w:pos="3201" w:val="left"/>
        </w:tabs>
        <w:numPr>
          <w:ilvl w:val="1"/>
          <w:numId w:val="33"/>
        </w:numPr>
        <w:rPr>
          <w:rFonts w:ascii="Arial" w:cs="Arial" w:eastAsia="Arial" w:hAnsi="Arial"/>
          <w:sz w:val="21"/>
          <w:szCs w:val="21"/>
          <w:color w:val="auto"/>
        </w:rPr>
      </w:pPr>
      <w:r>
        <w:rPr>
          <w:rFonts w:ascii="Arial" w:cs="Arial" w:eastAsia="Arial" w:hAnsi="Arial"/>
          <w:sz w:val="21"/>
          <w:szCs w:val="21"/>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04" w:lineRule="exact"/>
        <w:rPr>
          <w:rFonts w:ascii="Arial" w:cs="Arial" w:eastAsia="Arial" w:hAnsi="Arial"/>
          <w:sz w:val="21"/>
          <w:szCs w:val="21"/>
          <w:color w:val="auto"/>
        </w:rPr>
      </w:pPr>
    </w:p>
    <w:p>
      <w:pPr>
        <w:ind w:left="3260" w:hanging="1500"/>
        <w:spacing w:after="0"/>
        <w:tabs>
          <w:tab w:leader="none" w:pos="32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w:t>
      </w:r>
    </w:p>
    <w:p>
      <w:pPr>
        <w:spacing w:after="0" w:line="3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such termination.</w:t>
      </w:r>
    </w:p>
    <w:p>
      <w:pPr>
        <w:spacing w:after="0" w:line="208" w:lineRule="exact"/>
        <w:rPr>
          <w:rFonts w:ascii="Arial" w:cs="Arial" w:eastAsia="Arial" w:hAnsi="Arial"/>
          <w:sz w:val="19"/>
          <w:szCs w:val="19"/>
          <w:color w:val="auto"/>
        </w:rPr>
      </w:pPr>
    </w:p>
    <w:p>
      <w:pPr>
        <w:ind w:left="1740" w:hanging="858"/>
        <w:spacing w:after="0"/>
        <w:tabs>
          <w:tab w:leader="none" w:pos="17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Term of Employment shall terminate upon:</w:t>
      </w:r>
    </w:p>
    <w:p>
      <w:pPr>
        <w:spacing w:after="0" w:line="226" w:lineRule="exact"/>
        <w:rPr>
          <w:rFonts w:ascii="Arial" w:cs="Arial" w:eastAsia="Arial" w:hAnsi="Arial"/>
          <w:sz w:val="21"/>
          <w:szCs w:val="21"/>
          <w:color w:val="auto"/>
        </w:rPr>
      </w:pPr>
    </w:p>
    <w:p>
      <w:pPr>
        <w:ind w:left="3200" w:hanging="1440"/>
        <w:spacing w:after="0"/>
        <w:tabs>
          <w:tab w:leader="none" w:pos="3200"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death of Executive;</w:t>
      </w:r>
    </w:p>
    <w:p>
      <w:pPr>
        <w:spacing w:after="0" w:line="226" w:lineRule="exact"/>
        <w:rPr>
          <w:rFonts w:ascii="Arial" w:cs="Arial" w:eastAsia="Arial" w:hAnsi="Arial"/>
          <w:sz w:val="21"/>
          <w:szCs w:val="21"/>
          <w:color w:val="auto"/>
        </w:rPr>
      </w:pPr>
    </w:p>
    <w:p>
      <w:pPr>
        <w:ind w:left="3260" w:hanging="1500"/>
        <w:spacing w:after="0"/>
        <w:tabs>
          <w:tab w:leader="none" w:pos="32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date on which the Company elects to terminate the Term of Employment by reason of the</w:t>
      </w:r>
    </w:p>
    <w:p>
      <w:pPr>
        <w:spacing w:after="0" w:line="3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"disability" of Executive (as hereinafter defined in subsection (c) herein) pursuant to subsection (g) hereof; or</w:t>
      </w:r>
    </w:p>
    <w:p>
      <w:pPr>
        <w:spacing w:after="0" w:line="208" w:lineRule="exact"/>
        <w:rPr>
          <w:rFonts w:ascii="Arial" w:cs="Arial" w:eastAsia="Arial" w:hAnsi="Arial"/>
          <w:sz w:val="19"/>
          <w:szCs w:val="19"/>
          <w:color w:val="auto"/>
        </w:rPr>
      </w:pPr>
    </w:p>
    <w:p>
      <w:pPr>
        <w:ind w:left="3320" w:hanging="1560"/>
        <w:spacing w:after="0"/>
        <w:tabs>
          <w:tab w:leader="none" w:pos="3320" w:val="left"/>
        </w:tabs>
        <w:numPr>
          <w:ilvl w:val="1"/>
          <w:numId w:val="33"/>
        </w:numPr>
        <w:rPr>
          <w:rFonts w:ascii="Arial" w:cs="Arial" w:eastAsia="Arial" w:hAnsi="Arial"/>
          <w:sz w:val="21"/>
          <w:szCs w:val="21"/>
          <w:color w:val="auto"/>
        </w:rPr>
      </w:pPr>
      <w:r>
        <w:rPr>
          <w:rFonts w:ascii="Arial" w:cs="Arial" w:eastAsia="Arial" w:hAnsi="Arial"/>
          <w:sz w:val="21"/>
          <w:szCs w:val="21"/>
          <w:color w:val="auto"/>
        </w:rPr>
        <w:t>Executive’s resignation of employment.</w:t>
      </w:r>
    </w:p>
    <w:p>
      <w:pPr>
        <w:spacing w:after="0" w:line="226" w:lineRule="exact"/>
        <w:rPr>
          <w:rFonts w:ascii="Arial" w:cs="Arial" w:eastAsia="Arial" w:hAnsi="Arial"/>
          <w:sz w:val="21"/>
          <w:szCs w:val="21"/>
          <w:color w:val="auto"/>
        </w:rPr>
      </w:pPr>
    </w:p>
    <w:p>
      <w:pPr>
        <w:jc w:val="both"/>
        <w:ind w:firstLine="882"/>
        <w:spacing w:after="0" w:line="244" w:lineRule="auto"/>
        <w:tabs>
          <w:tab w:leader="none" w:pos="1733" w:val="left"/>
        </w:tabs>
        <w:numPr>
          <w:ilvl w:val="0"/>
          <w:numId w:val="33"/>
        </w:numPr>
        <w:rPr>
          <w:rFonts w:ascii="Arial" w:cs="Arial" w:eastAsia="Arial" w:hAnsi="Arial"/>
          <w:sz w:val="21"/>
          <w:szCs w:val="21"/>
          <w:color w:val="auto"/>
        </w:rPr>
      </w:pPr>
      <w:r>
        <w:rPr>
          <w:rFonts w:ascii="Arial" w:cs="Arial" w:eastAsia="Arial" w:hAnsi="Arial"/>
          <w:sz w:val="21"/>
          <w:szCs w:val="21"/>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99" w:lineRule="exact"/>
        <w:rPr>
          <w:rFonts w:ascii="Arial" w:cs="Arial" w:eastAsia="Arial" w:hAnsi="Arial"/>
          <w:sz w:val="21"/>
          <w:szCs w:val="21"/>
          <w:color w:val="auto"/>
        </w:rPr>
      </w:pPr>
    </w:p>
    <w:p>
      <w:pPr>
        <w:jc w:val="both"/>
        <w:ind w:firstLine="882"/>
        <w:spacing w:after="0" w:line="244" w:lineRule="auto"/>
        <w:tabs>
          <w:tab w:leader="none" w:pos="1745" w:val="left"/>
        </w:tabs>
        <w:numPr>
          <w:ilvl w:val="0"/>
          <w:numId w:val="33"/>
        </w:numPr>
        <w:rPr>
          <w:rFonts w:ascii="Arial" w:cs="Arial" w:eastAsia="Arial" w:hAnsi="Arial"/>
          <w:sz w:val="21"/>
          <w:szCs w:val="21"/>
          <w:color w:val="auto"/>
        </w:rPr>
      </w:pPr>
      <w:r>
        <w:rPr>
          <w:rFonts w:ascii="Arial" w:cs="Arial" w:eastAsia="Arial" w:hAnsi="Arial"/>
          <w:sz w:val="21"/>
          <w:szCs w:val="21"/>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41" w:name="page42"/>
    <w:bookmarkEnd w:id="41"/>
    <w:p>
      <w:pPr>
        <w:jc w:val="both"/>
        <w:spacing w:after="0" w:line="248" w:lineRule="auto"/>
        <w:rPr>
          <w:sz w:val="20"/>
          <w:szCs w:val="20"/>
          <w:color w:val="auto"/>
        </w:rPr>
      </w:pPr>
      <w:r>
        <w:rPr>
          <w:rFonts w:ascii="Arial" w:cs="Arial" w:eastAsia="Arial" w:hAnsi="Arial"/>
          <w:sz w:val="20"/>
          <w:szCs w:val="20"/>
          <w:color w:val="auto"/>
        </w:rPr>
        <w:t>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99" w:lineRule="exact"/>
        <w:rPr>
          <w:sz w:val="20"/>
          <w:szCs w:val="20"/>
          <w:color w:val="auto"/>
        </w:rPr>
      </w:pPr>
    </w:p>
    <w:p>
      <w:pPr>
        <w:jc w:val="both"/>
        <w:ind w:firstLine="882"/>
        <w:spacing w:after="0" w:line="263" w:lineRule="auto"/>
        <w:tabs>
          <w:tab w:leader="none" w:pos="1733"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86" w:lineRule="exact"/>
        <w:rPr>
          <w:rFonts w:ascii="Arial" w:cs="Arial" w:eastAsia="Arial" w:hAnsi="Arial"/>
          <w:sz w:val="19"/>
          <w:szCs w:val="19"/>
          <w:color w:val="auto"/>
        </w:rPr>
      </w:pPr>
    </w:p>
    <w:p>
      <w:pPr>
        <w:jc w:val="both"/>
        <w:ind w:firstLine="882"/>
        <w:spacing w:after="0" w:line="262" w:lineRule="auto"/>
        <w:tabs>
          <w:tab w:leader="none" w:pos="171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83" w:lineRule="exact"/>
        <w:rPr>
          <w:rFonts w:ascii="Arial" w:cs="Arial" w:eastAsia="Arial" w:hAnsi="Arial"/>
          <w:sz w:val="20"/>
          <w:szCs w:val="20"/>
          <w:color w:val="auto"/>
        </w:rPr>
      </w:pPr>
    </w:p>
    <w:p>
      <w:pPr>
        <w:jc w:val="both"/>
        <w:ind w:firstLine="882"/>
        <w:spacing w:after="0"/>
        <w:tabs>
          <w:tab w:leader="none" w:pos="1745" w:val="left"/>
        </w:tabs>
        <w:numPr>
          <w:ilvl w:val="0"/>
          <w:numId w:val="34"/>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204" w:lineRule="exact"/>
        <w:rPr>
          <w:rFonts w:ascii="Arial" w:cs="Arial" w:eastAsia="Arial" w:hAnsi="Arial"/>
          <w:sz w:val="21"/>
          <w:szCs w:val="21"/>
          <w:color w:val="auto"/>
        </w:rPr>
      </w:pPr>
    </w:p>
    <w:p>
      <w:pPr>
        <w:ind w:right="500" w:firstLine="882"/>
        <w:spacing w:after="0" w:line="256" w:lineRule="auto"/>
        <w:tabs>
          <w:tab w:leader="none" w:pos="1745" w:val="left"/>
        </w:tabs>
        <w:numPr>
          <w:ilvl w:val="0"/>
          <w:numId w:val="34"/>
        </w:numPr>
        <w:rPr>
          <w:rFonts w:ascii="Arial" w:cs="Arial" w:eastAsia="Arial" w:hAnsi="Arial"/>
          <w:sz w:val="20"/>
          <w:szCs w:val="20"/>
          <w:color w:val="auto"/>
        </w:rPr>
      </w:pPr>
      <w:r>
        <w:rPr>
          <w:rFonts w:ascii="Arial" w:cs="Arial" w:eastAsia="Arial" w:hAnsi="Arial"/>
          <w:sz w:val="20"/>
          <w:szCs w:val="20"/>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42" w:name="page43"/>
    <w:bookmarkEnd w:id="42"/>
    <w:p>
      <w:pPr>
        <w:ind w:right="20" w:firstLine="882"/>
        <w:spacing w:after="0" w:line="258" w:lineRule="auto"/>
        <w:tabs>
          <w:tab w:leader="none" w:pos="1699"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w:t>
      </w:r>
    </w:p>
    <w:p>
      <w:pPr>
        <w:spacing w:after="0" w:line="6" w:lineRule="exact"/>
        <w:rPr>
          <w:rFonts w:ascii="Arial" w:cs="Arial" w:eastAsia="Arial" w:hAnsi="Arial"/>
          <w:sz w:val="19"/>
          <w:szCs w:val="19"/>
          <w:color w:val="auto"/>
        </w:rPr>
      </w:pPr>
    </w:p>
    <w:p>
      <w:pPr>
        <w:spacing w:after="0" w:line="235" w:lineRule="auto"/>
        <w:rPr>
          <w:rFonts w:ascii="Arial" w:cs="Arial" w:eastAsia="Arial" w:hAnsi="Arial"/>
          <w:sz w:val="19"/>
          <w:szCs w:val="19"/>
          <w:color w:val="auto"/>
        </w:rPr>
      </w:pPr>
      <w:r>
        <w:rPr>
          <w:rFonts w:ascii="Arial" w:cs="Arial" w:eastAsia="Arial" w:hAnsi="Arial"/>
          <w:sz w:val="21"/>
          <w:szCs w:val="21"/>
          <w:color w:val="auto"/>
        </w:rPr>
        <w:t>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206" w:lineRule="exact"/>
        <w:rPr>
          <w:rFonts w:ascii="Arial" w:cs="Arial" w:eastAsia="Arial" w:hAnsi="Arial"/>
          <w:sz w:val="19"/>
          <w:szCs w:val="19"/>
          <w:color w:val="auto"/>
        </w:rPr>
      </w:pPr>
    </w:p>
    <w:p>
      <w:pPr>
        <w:ind w:left="1700" w:hanging="818"/>
        <w:spacing w:after="0"/>
        <w:tabs>
          <w:tab w:leader="none" w:pos="17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Clawback of Certain Compensation and Benefits</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If, after the termination of the Term of Employment for any reason other than by the Company for “justifiable cause”:</w:t>
      </w:r>
    </w:p>
    <w:p>
      <w:pPr>
        <w:spacing w:after="0" w:line="212" w:lineRule="exact"/>
        <w:rPr>
          <w:sz w:val="20"/>
          <w:szCs w:val="20"/>
          <w:color w:val="auto"/>
        </w:rPr>
      </w:pPr>
    </w:p>
    <w:p>
      <w:pPr>
        <w:jc w:val="both"/>
        <w:ind w:firstLine="1756"/>
        <w:spacing w:after="0" w:line="256" w:lineRule="auto"/>
        <w:rPr>
          <w:sz w:val="20"/>
          <w:szCs w:val="20"/>
          <w:color w:val="auto"/>
        </w:rPr>
      </w:pPr>
      <w:r>
        <w:rPr>
          <w:rFonts w:ascii="Arial" w:cs="Arial" w:eastAsia="Arial" w:hAnsi="Arial"/>
          <w:sz w:val="20"/>
          <w:szCs w:val="20"/>
          <w:color w:val="auto"/>
        </w:rPr>
        <w:t>(i) 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63" w:lineRule="exact"/>
        <w:rPr>
          <w:sz w:val="20"/>
          <w:szCs w:val="20"/>
          <w:color w:val="auto"/>
        </w:rPr>
      </w:pPr>
    </w:p>
    <w:p>
      <w:pPr>
        <w:jc w:val="both"/>
        <w:ind w:firstLine="1756"/>
        <w:spacing w:after="0"/>
        <w:rPr>
          <w:sz w:val="20"/>
          <w:szCs w:val="20"/>
          <w:color w:val="auto"/>
        </w:rPr>
      </w:pPr>
      <w:r>
        <w:rPr>
          <w:rFonts w:ascii="Arial" w:cs="Arial" w:eastAsia="Arial" w:hAnsi="Arial"/>
          <w:sz w:val="21"/>
          <w:szCs w:val="21"/>
          <w:color w:val="auto"/>
        </w:rPr>
        <w:t>(ii) 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79" w:lineRule="exact"/>
        <w:rPr>
          <w:sz w:val="20"/>
          <w:szCs w:val="20"/>
          <w:color w:val="auto"/>
        </w:rPr>
      </w:pPr>
    </w:p>
    <w:p>
      <w:pPr>
        <w:jc w:val="both"/>
        <w:ind w:firstLine="2636"/>
        <w:spacing w:after="0" w:line="244" w:lineRule="auto"/>
        <w:rPr>
          <w:sz w:val="20"/>
          <w:szCs w:val="20"/>
          <w:color w:val="auto"/>
        </w:rPr>
      </w:pPr>
      <w:r>
        <w:rPr>
          <w:rFonts w:ascii="Arial" w:cs="Arial" w:eastAsia="Arial" w:hAnsi="Arial"/>
          <w:sz w:val="21"/>
          <w:szCs w:val="21"/>
          <w:color w:val="auto"/>
        </w:rPr>
        <w:t>(A) the Executive shall be required to pay to the Company, immediately upon written demand by the Company, all amounts paid to Executive by the Company, whether or not pursuant to this Agreement (other than such portion of Executive’s Base Salary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20"/>
          <w:szCs w:val="20"/>
          <w:color w:val="auto"/>
        </w:rPr>
        <w:t>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63" w:lineRule="exact"/>
        <w:rPr>
          <w:sz w:val="20"/>
          <w:szCs w:val="20"/>
          <w:color w:val="auto"/>
        </w:rPr>
      </w:pPr>
    </w:p>
    <w:p>
      <w:pPr>
        <w:jc w:val="both"/>
        <w:ind w:firstLine="2636"/>
        <w:spacing w:after="0" w:line="256" w:lineRule="auto"/>
        <w:rPr>
          <w:sz w:val="20"/>
          <w:szCs w:val="20"/>
          <w:color w:val="auto"/>
        </w:rPr>
      </w:pPr>
      <w:r>
        <w:rPr>
          <w:rFonts w:ascii="Arial" w:cs="Arial" w:eastAsia="Arial" w:hAnsi="Arial"/>
          <w:sz w:val="21"/>
          <w:szCs w:val="21"/>
          <w:color w:val="auto"/>
        </w:rPr>
        <w:t>(B) all vested and unvested Awards (as that term is defined in the 2006 Incentive Compensation Plan) then held by the Executive shall immediately expire; and</w:t>
      </w:r>
    </w:p>
    <w:p>
      <w:pPr>
        <w:spacing w:after="0" w:line="161" w:lineRule="exact"/>
        <w:rPr>
          <w:sz w:val="20"/>
          <w:szCs w:val="20"/>
          <w:color w:val="auto"/>
        </w:rPr>
      </w:pPr>
    </w:p>
    <w:p>
      <w:pPr>
        <w:ind w:left="2640"/>
        <w:spacing w:after="0"/>
        <w:tabs>
          <w:tab w:leader="none" w:pos="524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the Executive shall be required to pay to the Company, immediately upon</w:t>
      </w:r>
    </w:p>
    <w:p>
      <w:pPr>
        <w:spacing w:after="0" w:line="3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62" w:lineRule="exact"/>
        <w:rPr>
          <w:sz w:val="20"/>
          <w:szCs w:val="20"/>
          <w:color w:val="auto"/>
        </w:rPr>
      </w:pPr>
    </w:p>
    <w:p>
      <w:pPr>
        <w:ind w:right="440" w:firstLine="882"/>
        <w:spacing w:after="0" w:line="281" w:lineRule="auto"/>
        <w:tabs>
          <w:tab w:leader="none" w:pos="1797"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payment pursuant to paragraph 7(e) or 7(j) shall be contingent upon Executive’s execution of the General Release within 21 days after termination of the Term of Employment, and the Executive’s not revoking that release.</w:t>
      </w:r>
    </w:p>
    <w:p>
      <w:pPr>
        <w:spacing w:after="0" w:line="164" w:lineRule="exact"/>
        <w:rPr>
          <w:sz w:val="20"/>
          <w:szCs w:val="20"/>
          <w:color w:val="auto"/>
        </w:rPr>
      </w:pPr>
    </w:p>
    <w:p>
      <w:pPr>
        <w:ind w:left="1660" w:hanging="778"/>
        <w:spacing w:after="0"/>
        <w:tabs>
          <w:tab w:leader="none" w:pos="166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COMPLIANCE WITH SECTION 409A</w:t>
      </w:r>
    </w:p>
    <w:p>
      <w:pPr>
        <w:spacing w:after="0" w:line="201" w:lineRule="exact"/>
        <w:rPr>
          <w:sz w:val="20"/>
          <w:szCs w:val="20"/>
          <w:color w:val="auto"/>
        </w:rPr>
      </w:pPr>
    </w:p>
    <w:p>
      <w:pPr>
        <w:jc w:val="both"/>
        <w:ind w:firstLine="882"/>
        <w:spacing w:after="0" w:line="250" w:lineRule="auto"/>
        <w:tabs>
          <w:tab w:leader="none" w:pos="1811" w:val="left"/>
        </w:tabs>
        <w:numPr>
          <w:ilvl w:val="0"/>
          <w:numId w:val="38"/>
        </w:numPr>
        <w:rPr>
          <w:rFonts w:ascii="Arial" w:cs="Arial" w:eastAsia="Arial" w:hAnsi="Arial"/>
          <w:sz w:val="20"/>
          <w:szCs w:val="20"/>
          <w:color w:val="auto"/>
        </w:rPr>
      </w:pPr>
      <w:r>
        <w:rPr>
          <w:rFonts w:ascii="Arial" w:cs="Arial" w:eastAsia="Arial" w:hAnsi="Arial"/>
          <w:sz w:val="20"/>
          <w:szCs w:val="20"/>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70" w:lineRule="exact"/>
        <w:rPr>
          <w:rFonts w:ascii="Arial" w:cs="Arial" w:eastAsia="Arial" w:hAnsi="Arial"/>
          <w:sz w:val="20"/>
          <w:szCs w:val="20"/>
          <w:color w:val="auto"/>
        </w:rPr>
      </w:pPr>
    </w:p>
    <w:p>
      <w:pPr>
        <w:jc w:val="both"/>
        <w:ind w:firstLine="882"/>
        <w:spacing w:after="0" w:line="262" w:lineRule="auto"/>
        <w:tabs>
          <w:tab w:leader="none" w:pos="1745"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44" w:name="page45"/>
    <w:bookmarkEnd w:id="44"/>
    <w:p>
      <w:pPr>
        <w:ind w:left="1780" w:hanging="898"/>
        <w:spacing w:after="0"/>
        <w:tabs>
          <w:tab w:leader="none" w:pos="1780" w:val="left"/>
        </w:tabs>
        <w:numPr>
          <w:ilvl w:val="0"/>
          <w:numId w:val="39"/>
        </w:numPr>
        <w:rPr>
          <w:rFonts w:ascii="Arial" w:cs="Arial" w:eastAsia="Arial" w:hAnsi="Arial"/>
          <w:sz w:val="21"/>
          <w:szCs w:val="21"/>
          <w:color w:val="auto"/>
        </w:rPr>
      </w:pPr>
      <w:r>
        <w:rPr>
          <w:rFonts w:ascii="Arial" w:cs="Arial" w:eastAsia="Arial" w:hAnsi="Arial"/>
          <w:sz w:val="21"/>
          <w:szCs w:val="21"/>
          <w:color w:val="auto"/>
        </w:rPr>
        <w:t>6 Month Delay for “Specified Employees”.</w:t>
      </w:r>
    </w:p>
    <w:p>
      <w:pPr>
        <w:spacing w:after="0" w:line="200" w:lineRule="exact"/>
        <w:rPr>
          <w:rFonts w:ascii="Arial" w:cs="Arial" w:eastAsia="Arial" w:hAnsi="Arial"/>
          <w:sz w:val="21"/>
          <w:szCs w:val="21"/>
          <w:color w:val="auto"/>
        </w:rPr>
      </w:pPr>
    </w:p>
    <w:p>
      <w:pPr>
        <w:ind w:right="140" w:firstLine="1760"/>
        <w:spacing w:after="0" w:line="263" w:lineRule="auto"/>
        <w:tabs>
          <w:tab w:leader="none" w:pos="3201"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86" w:lineRule="exact"/>
        <w:rPr>
          <w:rFonts w:ascii="Arial" w:cs="Arial" w:eastAsia="Arial" w:hAnsi="Arial"/>
          <w:sz w:val="19"/>
          <w:szCs w:val="19"/>
          <w:color w:val="auto"/>
        </w:rPr>
      </w:pPr>
    </w:p>
    <w:p>
      <w:pPr>
        <w:jc w:val="both"/>
        <w:ind w:firstLine="1760"/>
        <w:spacing w:after="0" w:line="274" w:lineRule="auto"/>
        <w:tabs>
          <w:tab w:leader="none" w:pos="3259" w:val="left"/>
        </w:tabs>
        <w:numPr>
          <w:ilvl w:val="1"/>
          <w:numId w:val="39"/>
        </w:numPr>
        <w:rPr>
          <w:rFonts w:ascii="Arial" w:cs="Arial" w:eastAsia="Arial" w:hAnsi="Arial"/>
          <w:sz w:val="19"/>
          <w:szCs w:val="19"/>
          <w:color w:val="auto"/>
        </w:rPr>
      </w:pPr>
      <w:r>
        <w:rPr>
          <w:rFonts w:ascii="Arial" w:cs="Arial" w:eastAsia="Arial" w:hAnsi="Arial"/>
          <w:sz w:val="19"/>
          <w:szCs w:val="19"/>
          <w:color w:val="auto"/>
        </w:rPr>
        <w:t>For purposes of this provision, the Executive shall be considered to be a “specified employee” if, at the time of his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6" w:lineRule="exact"/>
        <w:rPr>
          <w:rFonts w:ascii="Arial" w:cs="Arial" w:eastAsia="Arial" w:hAnsi="Arial"/>
          <w:sz w:val="19"/>
          <w:szCs w:val="19"/>
          <w:color w:val="auto"/>
        </w:rPr>
      </w:pPr>
    </w:p>
    <w:p>
      <w:pPr>
        <w:jc w:val="both"/>
        <w:ind w:firstLine="882"/>
        <w:spacing w:after="0"/>
        <w:tabs>
          <w:tab w:leader="none" w:pos="1745" w:val="left"/>
        </w:tabs>
        <w:numPr>
          <w:ilvl w:val="0"/>
          <w:numId w:val="39"/>
        </w:numPr>
        <w:rPr>
          <w:rFonts w:ascii="Arial" w:cs="Arial" w:eastAsia="Arial" w:hAnsi="Arial"/>
          <w:sz w:val="21"/>
          <w:szCs w:val="21"/>
          <w:color w:val="auto"/>
        </w:rPr>
      </w:pPr>
      <w:r>
        <w:rPr>
          <w:rFonts w:ascii="Arial" w:cs="Arial" w:eastAsia="Arial" w:hAnsi="Arial"/>
          <w:sz w:val="21"/>
          <w:szCs w:val="21"/>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8" w:lineRule="exact"/>
        <w:rPr>
          <w:rFonts w:ascii="Arial" w:cs="Arial" w:eastAsia="Arial" w:hAnsi="Arial"/>
          <w:sz w:val="21"/>
          <w:szCs w:val="21"/>
          <w:color w:val="auto"/>
        </w:rPr>
      </w:pPr>
    </w:p>
    <w:p>
      <w:pPr>
        <w:jc w:val="both"/>
        <w:ind w:firstLine="882"/>
        <w:spacing w:after="0"/>
        <w:tabs>
          <w:tab w:leader="none" w:pos="1785" w:val="left"/>
        </w:tabs>
        <w:numPr>
          <w:ilvl w:val="0"/>
          <w:numId w:val="39"/>
        </w:numPr>
        <w:rPr>
          <w:rFonts w:ascii="Arial" w:cs="Arial" w:eastAsia="Arial" w:hAnsi="Arial"/>
          <w:sz w:val="21"/>
          <w:szCs w:val="21"/>
          <w:color w:val="auto"/>
        </w:rPr>
      </w:pPr>
      <w:r>
        <w:rPr>
          <w:rFonts w:ascii="Arial" w:cs="Arial" w:eastAsia="Arial" w:hAnsi="Arial"/>
          <w:sz w:val="21"/>
          <w:szCs w:val="21"/>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78" w:lineRule="exact"/>
        <w:rPr>
          <w:rFonts w:ascii="Arial" w:cs="Arial" w:eastAsia="Arial" w:hAnsi="Arial"/>
          <w:sz w:val="21"/>
          <w:szCs w:val="21"/>
          <w:color w:val="auto"/>
        </w:rPr>
      </w:pPr>
    </w:p>
    <w:p>
      <w:pPr>
        <w:ind w:left="1760" w:hanging="878"/>
        <w:spacing w:after="0"/>
        <w:tabs>
          <w:tab w:leader="none" w:pos="17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Taxable Reimbursements.</w:t>
      </w:r>
    </w:p>
    <w:p>
      <w:pPr>
        <w:spacing w:after="0" w:line="200" w:lineRule="exact"/>
        <w:rPr>
          <w:rFonts w:ascii="Arial" w:cs="Arial" w:eastAsia="Arial" w:hAnsi="Arial"/>
          <w:sz w:val="21"/>
          <w:szCs w:val="21"/>
          <w:color w:val="auto"/>
        </w:rPr>
      </w:pPr>
    </w:p>
    <w:p>
      <w:pPr>
        <w:jc w:val="both"/>
        <w:ind w:firstLine="1760"/>
        <w:spacing w:after="0"/>
        <w:tabs>
          <w:tab w:leader="none" w:pos="2577" w:val="left"/>
        </w:tabs>
        <w:numPr>
          <w:ilvl w:val="1"/>
          <w:numId w:val="39"/>
        </w:numPr>
        <w:rPr>
          <w:rFonts w:ascii="Arial" w:cs="Arial" w:eastAsia="Arial" w:hAnsi="Arial"/>
          <w:sz w:val="21"/>
          <w:szCs w:val="21"/>
          <w:color w:val="auto"/>
        </w:rPr>
      </w:pPr>
      <w:r>
        <w:rPr>
          <w:rFonts w:ascii="Arial" w:cs="Arial" w:eastAsia="Arial" w:hAnsi="Arial"/>
          <w:sz w:val="21"/>
          <w:szCs w:val="21"/>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78" w:lineRule="exact"/>
        <w:rPr>
          <w:rFonts w:ascii="Arial" w:cs="Arial" w:eastAsia="Arial" w:hAnsi="Arial"/>
          <w:sz w:val="21"/>
          <w:szCs w:val="21"/>
          <w:color w:val="auto"/>
        </w:rPr>
      </w:pPr>
    </w:p>
    <w:p>
      <w:pPr>
        <w:ind w:firstLine="1760"/>
        <w:spacing w:after="0" w:line="308" w:lineRule="auto"/>
        <w:tabs>
          <w:tab w:leader="none" w:pos="2635"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45" w:name="page46"/>
    <w:bookmarkEnd w:id="45"/>
    <w:p>
      <w:pPr>
        <w:ind w:left="2700" w:hanging="940"/>
        <w:spacing w:after="0"/>
        <w:tabs>
          <w:tab w:leader="none" w:pos="2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35" w:lineRule="exact"/>
        <w:rPr>
          <w:rFonts w:ascii="Arial" w:cs="Arial" w:eastAsia="Arial" w:hAnsi="Arial"/>
          <w:sz w:val="18"/>
          <w:szCs w:val="18"/>
          <w:color w:val="auto"/>
        </w:rPr>
      </w:pPr>
    </w:p>
    <w:p>
      <w:pPr>
        <w:ind w:left="2280" w:hanging="1398"/>
        <w:spacing w:after="0"/>
        <w:tabs>
          <w:tab w:leader="none" w:pos="228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REPRESENTATION AND AGREEMENTS OF EXECUTIVE</w:t>
      </w:r>
    </w:p>
    <w:p>
      <w:pPr>
        <w:spacing w:after="0" w:line="227" w:lineRule="exact"/>
        <w:rPr>
          <w:sz w:val="20"/>
          <w:szCs w:val="20"/>
          <w:color w:val="auto"/>
        </w:rPr>
      </w:pPr>
    </w:p>
    <w:p>
      <w:pPr>
        <w:ind w:right="220" w:firstLine="882"/>
        <w:spacing w:after="0" w:line="244" w:lineRule="auto"/>
        <w:tabs>
          <w:tab w:leader="none" w:pos="1733" w:val="left"/>
        </w:tabs>
        <w:numPr>
          <w:ilvl w:val="0"/>
          <w:numId w:val="42"/>
        </w:numPr>
        <w:rPr>
          <w:rFonts w:ascii="Arial" w:cs="Arial" w:eastAsia="Arial" w:hAnsi="Arial"/>
          <w:sz w:val="21"/>
          <w:szCs w:val="21"/>
          <w:color w:val="auto"/>
        </w:rPr>
      </w:pPr>
      <w:r>
        <w:rPr>
          <w:rFonts w:ascii="Arial" w:cs="Arial" w:eastAsia="Arial" w:hAnsi="Arial"/>
          <w:sz w:val="21"/>
          <w:szCs w:val="21"/>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99" w:lineRule="exact"/>
        <w:rPr>
          <w:rFonts w:ascii="Arial" w:cs="Arial" w:eastAsia="Arial" w:hAnsi="Arial"/>
          <w:sz w:val="21"/>
          <w:szCs w:val="21"/>
          <w:color w:val="auto"/>
        </w:rPr>
      </w:pPr>
    </w:p>
    <w:p>
      <w:pPr>
        <w:ind w:right="220" w:firstLine="882"/>
        <w:spacing w:after="0" w:line="282" w:lineRule="auto"/>
        <w:tabs>
          <w:tab w:leader="none" w:pos="237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66" w:lineRule="exact"/>
        <w:rPr>
          <w:rFonts w:ascii="Arial" w:cs="Arial" w:eastAsia="Arial" w:hAnsi="Arial"/>
          <w:sz w:val="19"/>
          <w:szCs w:val="19"/>
          <w:color w:val="auto"/>
        </w:rPr>
      </w:pPr>
    </w:p>
    <w:p>
      <w:pPr>
        <w:ind w:right="120" w:firstLine="882"/>
        <w:spacing w:after="0" w:line="244" w:lineRule="auto"/>
        <w:tabs>
          <w:tab w:leader="none" w:pos="1733" w:val="left"/>
        </w:tabs>
        <w:numPr>
          <w:ilvl w:val="0"/>
          <w:numId w:val="42"/>
        </w:numPr>
        <w:rPr>
          <w:rFonts w:ascii="Arial" w:cs="Arial" w:eastAsia="Arial" w:hAnsi="Arial"/>
          <w:sz w:val="21"/>
          <w:szCs w:val="21"/>
          <w:color w:val="auto"/>
        </w:rPr>
      </w:pPr>
      <w:r>
        <w:rPr>
          <w:rFonts w:ascii="Arial" w:cs="Arial" w:eastAsia="Arial" w:hAnsi="Arial"/>
          <w:sz w:val="21"/>
          <w:szCs w:val="21"/>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99" w:lineRule="exact"/>
        <w:rPr>
          <w:rFonts w:ascii="Arial" w:cs="Arial" w:eastAsia="Arial" w:hAnsi="Arial"/>
          <w:sz w:val="21"/>
          <w:szCs w:val="21"/>
          <w:color w:val="auto"/>
        </w:rPr>
      </w:pPr>
    </w:p>
    <w:p>
      <w:pPr>
        <w:ind w:right="140" w:firstLine="882"/>
        <w:spacing w:after="0" w:line="244" w:lineRule="auto"/>
        <w:tabs>
          <w:tab w:leader="none" w:pos="1745" w:val="left"/>
        </w:tabs>
        <w:numPr>
          <w:ilvl w:val="0"/>
          <w:numId w:val="42"/>
        </w:numPr>
        <w:rPr>
          <w:rFonts w:ascii="Arial" w:cs="Arial" w:eastAsia="Arial" w:hAnsi="Arial"/>
          <w:sz w:val="21"/>
          <w:szCs w:val="21"/>
          <w:color w:val="auto"/>
        </w:rPr>
      </w:pPr>
      <w:r>
        <w:rPr>
          <w:rFonts w:ascii="Arial" w:cs="Arial" w:eastAsia="Arial" w:hAnsi="Arial"/>
          <w:sz w:val="21"/>
          <w:szCs w:val="21"/>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99" w:lineRule="exact"/>
        <w:rPr>
          <w:rFonts w:ascii="Arial" w:cs="Arial" w:eastAsia="Arial" w:hAnsi="Arial"/>
          <w:sz w:val="21"/>
          <w:szCs w:val="21"/>
          <w:color w:val="auto"/>
        </w:rPr>
      </w:pPr>
    </w:p>
    <w:p>
      <w:pPr>
        <w:ind w:left="1740" w:hanging="858"/>
        <w:spacing w:after="0"/>
        <w:tabs>
          <w:tab w:leader="none" w:pos="17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Executive represents and warrants that he has never been accused of any impropriety in connection with any</w:t>
      </w:r>
    </w:p>
    <w:p>
      <w:pPr>
        <w:spacing w:after="0" w:line="2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employment;</w:t>
      </w:r>
    </w:p>
    <w:p>
      <w:pPr>
        <w:spacing w:after="0" w:line="209" w:lineRule="exact"/>
        <w:rPr>
          <w:sz w:val="20"/>
          <w:szCs w:val="20"/>
          <w:color w:val="auto"/>
        </w:rPr>
      </w:pPr>
    </w:p>
    <w:p>
      <w:pPr>
        <w:ind w:right="760"/>
        <w:spacing w:after="0" w:line="256" w:lineRule="auto"/>
        <w:rPr>
          <w:sz w:val="20"/>
          <w:szCs w:val="20"/>
          <w:color w:val="auto"/>
        </w:rPr>
      </w:pPr>
      <w:r>
        <w:rPr>
          <w:rFonts w:ascii="Arial" w:cs="Arial" w:eastAsia="Arial" w:hAnsi="Arial"/>
          <w:sz w:val="21"/>
          <w:szCs w:val="21"/>
          <w:color w:val="auto"/>
        </w:rPr>
        <w:t>Any breach of any of the above representations and warranties is "justifiable cause" for termination under paragraph 7(d) of this Agreement.</w:t>
      </w:r>
    </w:p>
    <w:p>
      <w:pPr>
        <w:spacing w:after="0" w:line="187" w:lineRule="exact"/>
        <w:rPr>
          <w:sz w:val="20"/>
          <w:szCs w:val="20"/>
          <w:color w:val="auto"/>
        </w:rPr>
      </w:pPr>
    </w:p>
    <w:p>
      <w:pPr>
        <w:ind w:left="1820" w:hanging="938"/>
        <w:spacing w:after="0"/>
        <w:tabs>
          <w:tab w:leader="none" w:pos="182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NON-COMPETITION</w:t>
      </w:r>
    </w:p>
    <w:p>
      <w:pPr>
        <w:spacing w:after="0" w:line="227" w:lineRule="exact"/>
        <w:rPr>
          <w:sz w:val="20"/>
          <w:szCs w:val="20"/>
          <w:color w:val="auto"/>
        </w:rPr>
      </w:pPr>
    </w:p>
    <w:p>
      <w:pPr>
        <w:jc w:val="both"/>
        <w:ind w:firstLine="882"/>
        <w:spacing w:after="0" w:line="262" w:lineRule="auto"/>
        <w:tabs>
          <w:tab w:leader="none" w:pos="1733" w:val="left"/>
        </w:tabs>
        <w:numPr>
          <w:ilvl w:val="0"/>
          <w:numId w:val="44"/>
        </w:numPr>
        <w:rPr>
          <w:rFonts w:ascii="Arial" w:cs="Arial" w:eastAsia="Arial" w:hAnsi="Arial"/>
          <w:sz w:val="19"/>
          <w:szCs w:val="19"/>
          <w:color w:val="auto"/>
        </w:rPr>
      </w:pPr>
      <w:r>
        <w:rPr>
          <w:rFonts w:ascii="Arial" w:cs="Arial" w:eastAsia="Arial" w:hAnsi="Arial"/>
          <w:sz w:val="19"/>
          <w:szCs w:val="19"/>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46" w:name="page47"/>
    <w:bookmarkEnd w:id="46"/>
    <w:p>
      <w:pPr>
        <w:jc w:val="both"/>
        <w:spacing w:after="0" w:line="256" w:lineRule="auto"/>
        <w:rPr>
          <w:sz w:val="20"/>
          <w:szCs w:val="20"/>
          <w:color w:val="auto"/>
        </w:rPr>
      </w:pPr>
      <w:r>
        <w:rPr>
          <w:rFonts w:ascii="Arial" w:cs="Arial" w:eastAsia="Arial" w:hAnsi="Arial"/>
          <w:sz w:val="20"/>
          <w:szCs w:val="20"/>
          <w:color w:val="auto"/>
        </w:rPr>
        <w:t>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89" w:lineRule="exact"/>
        <w:rPr>
          <w:sz w:val="20"/>
          <w:szCs w:val="20"/>
          <w:color w:val="auto"/>
        </w:rPr>
      </w:pPr>
    </w:p>
    <w:p>
      <w:pPr>
        <w:ind w:right="380" w:firstLine="882"/>
        <w:spacing w:after="0" w:line="270" w:lineRule="auto"/>
        <w:tabs>
          <w:tab w:leader="none" w:pos="1745"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75" w:lineRule="exact"/>
        <w:rPr>
          <w:rFonts w:ascii="Arial" w:cs="Arial" w:eastAsia="Arial" w:hAnsi="Arial"/>
          <w:sz w:val="19"/>
          <w:szCs w:val="19"/>
          <w:color w:val="auto"/>
        </w:rPr>
      </w:pPr>
    </w:p>
    <w:p>
      <w:pPr>
        <w:ind w:right="40" w:firstLine="882"/>
        <w:spacing w:after="0" w:line="251" w:lineRule="auto"/>
        <w:tabs>
          <w:tab w:leader="none" w:pos="1733" w:val="left"/>
        </w:tabs>
        <w:numPr>
          <w:ilvl w:val="0"/>
          <w:numId w:val="45"/>
        </w:numPr>
        <w:rPr>
          <w:rFonts w:ascii="Arial" w:cs="Arial" w:eastAsia="Arial" w:hAnsi="Arial"/>
          <w:sz w:val="20"/>
          <w:szCs w:val="20"/>
          <w:color w:val="auto"/>
        </w:rPr>
      </w:pPr>
      <w:r>
        <w:rPr>
          <w:rFonts w:ascii="Arial" w:cs="Arial" w:eastAsia="Arial" w:hAnsi="Arial"/>
          <w:sz w:val="20"/>
          <w:szCs w:val="20"/>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95" w:lineRule="exact"/>
        <w:rPr>
          <w:rFonts w:ascii="Arial" w:cs="Arial" w:eastAsia="Arial" w:hAnsi="Arial"/>
          <w:sz w:val="20"/>
          <w:szCs w:val="20"/>
          <w:color w:val="auto"/>
        </w:rPr>
      </w:pPr>
    </w:p>
    <w:p>
      <w:pPr>
        <w:ind w:right="20" w:firstLine="882"/>
        <w:spacing w:after="0" w:line="294" w:lineRule="auto"/>
        <w:tabs>
          <w:tab w:leader="none" w:pos="17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56" w:lineRule="exact"/>
        <w:rPr>
          <w:sz w:val="20"/>
          <w:szCs w:val="20"/>
          <w:color w:val="auto"/>
        </w:rPr>
      </w:pPr>
    </w:p>
    <w:p>
      <w:pPr>
        <w:ind w:left="1760" w:hanging="878"/>
        <w:spacing w:after="0"/>
        <w:tabs>
          <w:tab w:leader="none" w:pos="176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INVENTIONS AND DISCOVERIES</w:t>
      </w:r>
    </w:p>
    <w:p>
      <w:pPr>
        <w:spacing w:after="0" w:line="227" w:lineRule="exact"/>
        <w:rPr>
          <w:sz w:val="20"/>
          <w:szCs w:val="20"/>
          <w:color w:val="auto"/>
        </w:rPr>
      </w:pPr>
    </w:p>
    <w:p>
      <w:pPr>
        <w:ind w:right="120" w:firstLine="882"/>
        <w:spacing w:after="0" w:line="249" w:lineRule="auto"/>
        <w:tabs>
          <w:tab w:leader="none" w:pos="1733" w:val="left"/>
        </w:tabs>
        <w:numPr>
          <w:ilvl w:val="0"/>
          <w:numId w:val="47"/>
        </w:numPr>
        <w:rPr>
          <w:rFonts w:ascii="Arial" w:cs="Arial" w:eastAsia="Arial" w:hAnsi="Arial"/>
          <w:sz w:val="20"/>
          <w:szCs w:val="20"/>
          <w:color w:val="auto"/>
        </w:rPr>
      </w:pPr>
      <w:r>
        <w:rPr>
          <w:rFonts w:ascii="Arial" w:cs="Arial" w:eastAsia="Arial" w:hAnsi="Arial"/>
          <w:sz w:val="20"/>
          <w:szCs w:val="20"/>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98" w:lineRule="exact"/>
        <w:rPr>
          <w:rFonts w:ascii="Arial" w:cs="Arial" w:eastAsia="Arial" w:hAnsi="Arial"/>
          <w:sz w:val="20"/>
          <w:szCs w:val="20"/>
          <w:color w:val="auto"/>
        </w:rPr>
      </w:pPr>
    </w:p>
    <w:p>
      <w:pPr>
        <w:ind w:right="300" w:firstLine="882"/>
        <w:spacing w:after="0" w:line="256" w:lineRule="auto"/>
        <w:tabs>
          <w:tab w:leader="none" w:pos="1745" w:val="left"/>
        </w:tabs>
        <w:numPr>
          <w:ilvl w:val="0"/>
          <w:numId w:val="47"/>
        </w:numPr>
        <w:rPr>
          <w:rFonts w:ascii="Arial" w:cs="Arial" w:eastAsia="Arial" w:hAnsi="Arial"/>
          <w:sz w:val="21"/>
          <w:szCs w:val="21"/>
          <w:color w:val="auto"/>
        </w:rPr>
      </w:pPr>
      <w:r>
        <w:rPr>
          <w:rFonts w:ascii="Arial" w:cs="Arial" w:eastAsia="Arial" w:hAnsi="Arial"/>
          <w:sz w:val="21"/>
          <w:szCs w:val="21"/>
          <w:color w:val="auto"/>
        </w:rPr>
        <w:t>Executive hereby assigns and transfers, and agrees to assign and transfer, to the Company, all his rights, title and interest in and to the Subject Matter, and Executive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47" w:name="page48"/>
    <w:bookmarkEnd w:id="47"/>
    <w:p>
      <w:pPr>
        <w:spacing w:after="0" w:line="249" w:lineRule="auto"/>
        <w:rPr>
          <w:sz w:val="20"/>
          <w:szCs w:val="20"/>
          <w:color w:val="auto"/>
        </w:rPr>
      </w:pPr>
      <w:r>
        <w:rPr>
          <w:rFonts w:ascii="Arial" w:cs="Arial" w:eastAsia="Arial" w:hAnsi="Arial"/>
          <w:sz w:val="20"/>
          <w:szCs w:val="20"/>
          <w:color w:val="auto"/>
        </w:rPr>
        <w:t>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8" w:lineRule="exact"/>
        <w:rPr>
          <w:sz w:val="20"/>
          <w:szCs w:val="20"/>
          <w:color w:val="auto"/>
        </w:rPr>
      </w:pPr>
    </w:p>
    <w:p>
      <w:pPr>
        <w:ind w:left="1760" w:hanging="878"/>
        <w:spacing w:after="0"/>
        <w:tabs>
          <w:tab w:leader="none" w:pos="176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NON-DISCLOSURE OF CONFIDENTIAL INFORMATION</w:t>
      </w:r>
    </w:p>
    <w:p>
      <w:pPr>
        <w:spacing w:after="0" w:line="227" w:lineRule="exact"/>
        <w:rPr>
          <w:sz w:val="20"/>
          <w:szCs w:val="20"/>
          <w:color w:val="auto"/>
        </w:rPr>
      </w:pPr>
    </w:p>
    <w:p>
      <w:pPr>
        <w:ind w:firstLine="882"/>
        <w:spacing w:after="0" w:line="260" w:lineRule="auto"/>
        <w:tabs>
          <w:tab w:leader="none" w:pos="1733"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90" w:lineRule="exact"/>
        <w:rPr>
          <w:rFonts w:ascii="Arial" w:cs="Arial" w:eastAsia="Arial" w:hAnsi="Arial"/>
          <w:sz w:val="19"/>
          <w:szCs w:val="19"/>
          <w:color w:val="auto"/>
        </w:rPr>
      </w:pPr>
    </w:p>
    <w:p>
      <w:pPr>
        <w:ind w:right="140" w:firstLine="882"/>
        <w:spacing w:after="0" w:line="253" w:lineRule="auto"/>
        <w:tabs>
          <w:tab w:leader="none" w:pos="1745"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48" w:name="page49"/>
    <w:bookmarkEnd w:id="48"/>
    <w:p>
      <w:pPr>
        <w:ind w:left="1760" w:hanging="878"/>
        <w:spacing w:after="0"/>
        <w:tabs>
          <w:tab w:leader="none" w:pos="176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p>
    <w:p>
      <w:pPr>
        <w:spacing w:after="0" w:line="227" w:lineRule="exact"/>
        <w:rPr>
          <w:sz w:val="20"/>
          <w:szCs w:val="20"/>
          <w:color w:val="auto"/>
        </w:rPr>
      </w:pPr>
    </w:p>
    <w:p>
      <w:pPr>
        <w:ind w:right="20" w:firstLine="878"/>
        <w:spacing w:after="0" w:line="262" w:lineRule="auto"/>
        <w:rPr>
          <w:sz w:val="20"/>
          <w:szCs w:val="20"/>
          <w:color w:val="auto"/>
        </w:rPr>
      </w:pPr>
      <w:r>
        <w:rPr>
          <w:rFonts w:ascii="Arial" w:cs="Arial" w:eastAsia="Arial" w:hAnsi="Arial"/>
          <w:sz w:val="19"/>
          <w:szCs w:val="19"/>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90" w:lineRule="exact"/>
        <w:rPr>
          <w:sz w:val="20"/>
          <w:szCs w:val="20"/>
          <w:color w:val="auto"/>
        </w:rPr>
      </w:pPr>
    </w:p>
    <w:p>
      <w:pPr>
        <w:ind w:left="1760" w:hanging="878"/>
        <w:spacing w:after="0"/>
        <w:tabs>
          <w:tab w:leader="none" w:pos="176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AMENDMENT OR ALTERATION</w:t>
      </w:r>
    </w:p>
    <w:p>
      <w:pPr>
        <w:spacing w:after="0" w:line="227" w:lineRule="exact"/>
        <w:rPr>
          <w:sz w:val="20"/>
          <w:szCs w:val="20"/>
          <w:color w:val="auto"/>
        </w:rPr>
      </w:pPr>
    </w:p>
    <w:p>
      <w:pPr>
        <w:ind w:right="320" w:firstLine="878"/>
        <w:spacing w:after="0" w:line="256" w:lineRule="auto"/>
        <w:rPr>
          <w:sz w:val="20"/>
          <w:szCs w:val="20"/>
          <w:color w:val="auto"/>
        </w:rPr>
      </w:pPr>
      <w:r>
        <w:rPr>
          <w:rFonts w:ascii="Arial" w:cs="Arial" w:eastAsia="Arial" w:hAnsi="Arial"/>
          <w:sz w:val="21"/>
          <w:szCs w:val="21"/>
          <w:color w:val="auto"/>
        </w:rPr>
        <w:t>No amendment or alteration of the terms of this Agreement shall be valid unless made in writing and signed by both of the parties hereto.</w:t>
      </w:r>
    </w:p>
    <w:p>
      <w:pPr>
        <w:spacing w:after="0" w:line="187" w:lineRule="exact"/>
        <w:rPr>
          <w:sz w:val="20"/>
          <w:szCs w:val="20"/>
          <w:color w:val="auto"/>
        </w:rPr>
      </w:pPr>
    </w:p>
    <w:p>
      <w:pPr>
        <w:ind w:left="1760" w:hanging="878"/>
        <w:spacing w:after="0"/>
        <w:tabs>
          <w:tab w:leader="none" w:pos="176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GOVERNING LAW</w:t>
      </w:r>
    </w:p>
    <w:p>
      <w:pPr>
        <w:spacing w:after="0" w:line="227" w:lineRule="exact"/>
        <w:rPr>
          <w:sz w:val="20"/>
          <w:szCs w:val="20"/>
          <w:color w:val="auto"/>
        </w:rPr>
      </w:pPr>
    </w:p>
    <w:p>
      <w:pPr>
        <w:ind w:right="1120" w:firstLine="878"/>
        <w:spacing w:after="0" w:line="256" w:lineRule="auto"/>
        <w:rPr>
          <w:sz w:val="20"/>
          <w:szCs w:val="20"/>
          <w:color w:val="auto"/>
        </w:rPr>
      </w:pPr>
      <w:r>
        <w:rPr>
          <w:rFonts w:ascii="Arial" w:cs="Arial" w:eastAsia="Arial" w:hAnsi="Arial"/>
          <w:sz w:val="21"/>
          <w:szCs w:val="21"/>
          <w:color w:val="auto"/>
        </w:rPr>
        <w:t>This Agreement shall be governed by, and construed and enforced in accordance with the substantive laws of the Commonwealth of Massachusetts, without regard to its principles of conflicts of laws.</w:t>
      </w:r>
    </w:p>
    <w:p>
      <w:pPr>
        <w:spacing w:after="0" w:line="187" w:lineRule="exact"/>
        <w:rPr>
          <w:sz w:val="20"/>
          <w:szCs w:val="20"/>
          <w:color w:val="auto"/>
        </w:rPr>
      </w:pPr>
    </w:p>
    <w:p>
      <w:pPr>
        <w:ind w:left="1760" w:hanging="878"/>
        <w:spacing w:after="0"/>
        <w:tabs>
          <w:tab w:leader="none" w:pos="176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SEVERABILITY</w:t>
      </w:r>
    </w:p>
    <w:p>
      <w:pPr>
        <w:spacing w:after="0" w:line="227" w:lineRule="exact"/>
        <w:rPr>
          <w:sz w:val="20"/>
          <w:szCs w:val="20"/>
          <w:color w:val="auto"/>
        </w:rPr>
      </w:pPr>
    </w:p>
    <w:p>
      <w:pPr>
        <w:ind w:right="200" w:firstLine="878"/>
        <w:spacing w:after="0" w:line="256" w:lineRule="auto"/>
        <w:rPr>
          <w:sz w:val="20"/>
          <w:szCs w:val="20"/>
          <w:color w:val="auto"/>
        </w:rPr>
      </w:pPr>
      <w:r>
        <w:rPr>
          <w:rFonts w:ascii="Arial" w:cs="Arial" w:eastAsia="Arial" w:hAnsi="Arial"/>
          <w:sz w:val="21"/>
          <w:szCs w:val="21"/>
          <w:color w:val="auto"/>
        </w:rPr>
        <w:t>The holding of any provision of this Agreement to be invalid or unenforceable by a court of competent jurisdiction shall not affect any other provision of this Agreement, which shall remain in full force and effect.</w:t>
      </w:r>
    </w:p>
    <w:p>
      <w:pPr>
        <w:spacing w:after="0" w:line="187" w:lineRule="exact"/>
        <w:rPr>
          <w:sz w:val="20"/>
          <w:szCs w:val="20"/>
          <w:color w:val="auto"/>
        </w:rPr>
      </w:pPr>
    </w:p>
    <w:p>
      <w:pPr>
        <w:ind w:left="1760" w:hanging="878"/>
        <w:spacing w:after="0"/>
        <w:tabs>
          <w:tab w:leader="none" w:pos="176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NOTICES</w:t>
      </w:r>
    </w:p>
    <w:p>
      <w:pPr>
        <w:spacing w:after="0" w:line="227" w:lineRule="exact"/>
        <w:rPr>
          <w:sz w:val="20"/>
          <w:szCs w:val="20"/>
          <w:color w:val="auto"/>
        </w:rPr>
      </w:pPr>
    </w:p>
    <w:p>
      <w:pPr>
        <w:ind w:firstLine="878"/>
        <w:spacing w:after="0"/>
        <w:rPr>
          <w:sz w:val="20"/>
          <w:szCs w:val="20"/>
          <w:color w:val="auto"/>
        </w:rPr>
      </w:pPr>
      <w:r>
        <w:rPr>
          <w:rFonts w:ascii="Arial" w:cs="Arial" w:eastAsia="Arial" w:hAnsi="Arial"/>
          <w:sz w:val="21"/>
          <w:szCs w:val="21"/>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05" w:lineRule="exact"/>
        <w:rPr>
          <w:sz w:val="20"/>
          <w:szCs w:val="20"/>
          <w:color w:val="auto"/>
        </w:rPr>
      </w:pPr>
    </w:p>
    <w:p>
      <w:pPr>
        <w:ind w:left="1760" w:hanging="878"/>
        <w:spacing w:after="0"/>
        <w:tabs>
          <w:tab w:leader="none" w:pos="176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WAIVER OR BREACH</w:t>
      </w:r>
    </w:p>
    <w:p>
      <w:pPr>
        <w:spacing w:after="0" w:line="227" w:lineRule="exact"/>
        <w:rPr>
          <w:sz w:val="20"/>
          <w:szCs w:val="20"/>
          <w:color w:val="auto"/>
        </w:rPr>
      </w:pPr>
    </w:p>
    <w:p>
      <w:pPr>
        <w:ind w:right="60" w:firstLine="878"/>
        <w:spacing w:after="0" w:line="256" w:lineRule="auto"/>
        <w:rPr>
          <w:sz w:val="20"/>
          <w:szCs w:val="20"/>
          <w:color w:val="auto"/>
        </w:rPr>
      </w:pPr>
      <w:r>
        <w:rPr>
          <w:rFonts w:ascii="Arial" w:cs="Arial" w:eastAsia="Arial" w:hAnsi="Arial"/>
          <w:sz w:val="21"/>
          <w:szCs w:val="21"/>
          <w:color w:val="auto"/>
        </w:rPr>
        <w:t>It is agreed that a waiver by either party of a breach of any provision of this Agreement shall not operate, or be construed as a waiver of any subsequent breach by that same party.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26" w:right="259" w:bottom="1440" w:gutter="0" w:footer="0" w:header="0"/>
        </w:sectPr>
      </w:pPr>
    </w:p>
    <w:bookmarkStart w:id="49" w:name="page50"/>
    <w:bookmarkEnd w:id="49"/>
    <w:p>
      <w:pPr>
        <w:ind w:left="1760" w:hanging="878"/>
        <w:spacing w:after="0"/>
        <w:tabs>
          <w:tab w:leader="none" w:pos="176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ENTIRE AGREEMENT AND BINDING EFFECT</w:t>
      </w:r>
    </w:p>
    <w:p>
      <w:pPr>
        <w:spacing w:after="0" w:line="227" w:lineRule="exact"/>
        <w:rPr>
          <w:sz w:val="20"/>
          <w:szCs w:val="20"/>
          <w:color w:val="auto"/>
        </w:rPr>
      </w:pPr>
    </w:p>
    <w:p>
      <w:pPr>
        <w:ind w:firstLine="878"/>
        <w:spacing w:after="0" w:line="263" w:lineRule="auto"/>
        <w:rPr>
          <w:sz w:val="20"/>
          <w:szCs w:val="20"/>
          <w:color w:val="auto"/>
        </w:rPr>
      </w:pPr>
      <w:r>
        <w:rPr>
          <w:rFonts w:ascii="Arial" w:cs="Arial" w:eastAsia="Arial" w:hAnsi="Arial"/>
          <w:sz w:val="19"/>
          <w:szCs w:val="19"/>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86" w:lineRule="exact"/>
        <w:rPr>
          <w:sz w:val="20"/>
          <w:szCs w:val="20"/>
          <w:color w:val="auto"/>
        </w:rPr>
      </w:pPr>
    </w:p>
    <w:p>
      <w:pPr>
        <w:ind w:left="1760" w:hanging="878"/>
        <w:spacing w:after="0"/>
        <w:tabs>
          <w:tab w:leader="none" w:pos="176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SURVIVAL</w:t>
      </w:r>
    </w:p>
    <w:p>
      <w:pPr>
        <w:spacing w:after="0" w:line="227" w:lineRule="exact"/>
        <w:rPr>
          <w:sz w:val="20"/>
          <w:szCs w:val="20"/>
          <w:color w:val="auto"/>
        </w:rPr>
      </w:pPr>
    </w:p>
    <w:p>
      <w:pPr>
        <w:ind w:right="80" w:firstLine="878"/>
        <w:spacing w:after="0" w:line="308" w:lineRule="auto"/>
        <w:rPr>
          <w:sz w:val="20"/>
          <w:szCs w:val="20"/>
          <w:color w:val="auto"/>
        </w:rPr>
      </w:pPr>
      <w:r>
        <w:rPr>
          <w:rFonts w:ascii="Arial" w:cs="Arial" w:eastAsia="Arial" w:hAnsi="Arial"/>
          <w:sz w:val="19"/>
          <w:szCs w:val="19"/>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42" w:lineRule="exact"/>
        <w:rPr>
          <w:sz w:val="20"/>
          <w:szCs w:val="20"/>
          <w:color w:val="auto"/>
        </w:rPr>
      </w:pPr>
    </w:p>
    <w:p>
      <w:pPr>
        <w:ind w:left="1760" w:hanging="878"/>
        <w:spacing w:after="0"/>
        <w:tabs>
          <w:tab w:leader="none" w:pos="176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RESOLUTION OF DISPUTES</w:t>
      </w:r>
    </w:p>
    <w:p>
      <w:pPr>
        <w:spacing w:after="0" w:line="227" w:lineRule="exact"/>
        <w:rPr>
          <w:sz w:val="20"/>
          <w:szCs w:val="20"/>
          <w:color w:val="auto"/>
        </w:rPr>
      </w:pPr>
    </w:p>
    <w:p>
      <w:pPr>
        <w:ind w:right="200" w:firstLine="878"/>
        <w:spacing w:after="0" w:line="256" w:lineRule="auto"/>
        <w:rPr>
          <w:sz w:val="20"/>
          <w:szCs w:val="20"/>
          <w:color w:val="auto"/>
        </w:rPr>
      </w:pPr>
      <w:r>
        <w:rPr>
          <w:rFonts w:ascii="Arial" w:cs="Arial" w:eastAsia="Arial" w:hAnsi="Arial"/>
          <w:sz w:val="21"/>
          <w:szCs w:val="21"/>
          <w:color w:val="auto"/>
        </w:rPr>
        <w:t>Any and all disputes arising under or in connection with this Agreement shall be resolved in accordance with this paragraph 21 and paragraph 15.</w:t>
      </w:r>
    </w:p>
    <w:p>
      <w:pPr>
        <w:spacing w:after="0" w:line="187" w:lineRule="exact"/>
        <w:rPr>
          <w:sz w:val="20"/>
          <w:szCs w:val="20"/>
          <w:color w:val="auto"/>
        </w:rPr>
      </w:pPr>
    </w:p>
    <w:p>
      <w:pPr>
        <w:ind w:right="140" w:firstLine="878"/>
        <w:spacing w:after="0" w:line="238" w:lineRule="auto"/>
        <w:rPr>
          <w:sz w:val="20"/>
          <w:szCs w:val="20"/>
          <w:color w:val="auto"/>
        </w:rPr>
      </w:pPr>
      <w:r>
        <w:rPr>
          <w:rFonts w:ascii="Arial" w:cs="Arial" w:eastAsia="Arial" w:hAnsi="Arial"/>
          <w:sz w:val="21"/>
          <w:szCs w:val="21"/>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7" w:lineRule="exact"/>
        <w:rPr>
          <w:sz w:val="20"/>
          <w:szCs w:val="20"/>
          <w:color w:val="auto"/>
        </w:rPr>
      </w:pPr>
    </w:p>
    <w:p>
      <w:pPr>
        <w:ind w:left="1760" w:hanging="878"/>
        <w:spacing w:after="0"/>
        <w:tabs>
          <w:tab w:leader="none" w:pos="1760"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NON-DISPARAGEMENT</w:t>
      </w:r>
    </w:p>
    <w:p>
      <w:pPr>
        <w:spacing w:after="0" w:line="227" w:lineRule="exact"/>
        <w:rPr>
          <w:sz w:val="20"/>
          <w:szCs w:val="20"/>
          <w:color w:val="auto"/>
        </w:rPr>
      </w:pPr>
    </w:p>
    <w:p>
      <w:pPr>
        <w:ind w:right="20" w:firstLine="878"/>
        <w:spacing w:after="0" w:line="305"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47" w:lineRule="exact"/>
        <w:rPr>
          <w:sz w:val="20"/>
          <w:szCs w:val="20"/>
          <w:color w:val="auto"/>
        </w:rPr>
      </w:pPr>
    </w:p>
    <w:p>
      <w:pPr>
        <w:ind w:left="1760" w:hanging="878"/>
        <w:spacing w:after="0"/>
        <w:tabs>
          <w:tab w:leader="none" w:pos="176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00"/>
          </w:cols>
          <w:pgMar w:left="240" w:top="326" w:right="259" w:bottom="1440" w:gutter="0" w:footer="0" w:header="0"/>
        </w:sectPr>
      </w:pPr>
    </w:p>
    <w:bookmarkStart w:id="50" w:name="page51"/>
    <w:bookmarkEnd w:id="50"/>
    <w:p>
      <w:pPr>
        <w:ind w:right="520" w:firstLine="878"/>
        <w:spacing w:after="0" w:line="281" w:lineRule="auto"/>
        <w:rPr>
          <w:sz w:val="20"/>
          <w:szCs w:val="20"/>
          <w:color w:val="auto"/>
        </w:rPr>
      </w:pPr>
      <w:r>
        <w:rPr>
          <w:rFonts w:ascii="Arial" w:cs="Arial" w:eastAsia="Arial" w:hAnsi="Arial"/>
          <w:sz w:val="20"/>
          <w:szCs w:val="20"/>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64" w:lineRule="exact"/>
        <w:rPr>
          <w:sz w:val="20"/>
          <w:szCs w:val="20"/>
          <w:color w:val="auto"/>
        </w:rPr>
      </w:pPr>
    </w:p>
    <w:p>
      <w:pPr>
        <w:ind w:left="880" w:right="6540" w:firstLine="2"/>
        <w:spacing w:after="0" w:line="488" w:lineRule="auto"/>
        <w:tabs>
          <w:tab w:leader="none" w:pos="1764"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 xml:space="preserve">SUBSIDIARIES AND AFFILIATES </w:t>
      </w:r>
      <w:r>
        <w:rPr>
          <w:rFonts w:ascii="Arial" w:cs="Arial" w:eastAsia="Arial" w:hAnsi="Arial"/>
          <w:sz w:val="20"/>
          <w:szCs w:val="20"/>
          <w:color w:val="auto"/>
        </w:rPr>
        <w:t>For purposes of this Agreement:</w:t>
      </w:r>
    </w:p>
    <w:p>
      <w:pPr>
        <w:spacing w:after="0" w:line="1" w:lineRule="exact"/>
        <w:rPr>
          <w:sz w:val="20"/>
          <w:szCs w:val="20"/>
          <w:color w:val="auto"/>
        </w:rPr>
      </w:pPr>
    </w:p>
    <w:p>
      <w:pPr>
        <w:jc w:val="both"/>
        <w:ind w:firstLine="1756"/>
        <w:spacing w:after="0" w:line="244" w:lineRule="auto"/>
        <w:rPr>
          <w:sz w:val="20"/>
          <w:szCs w:val="20"/>
          <w:color w:val="auto"/>
        </w:rPr>
      </w:pPr>
      <w:r>
        <w:rPr>
          <w:rFonts w:ascii="Arial" w:cs="Arial" w:eastAsia="Arial" w:hAnsi="Arial"/>
          <w:sz w:val="21"/>
          <w:szCs w:val="21"/>
          <w:color w:val="auto"/>
        </w:rPr>
        <w:t>(b) “affiliate”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00" w:lineRule="exact"/>
        <w:rPr>
          <w:sz w:val="20"/>
          <w:szCs w:val="20"/>
          <w:color w:val="auto"/>
        </w:rPr>
      </w:pPr>
    </w:p>
    <w:p>
      <w:pPr>
        <w:spacing w:after="0" w:line="208" w:lineRule="exact"/>
        <w:rPr>
          <w:sz w:val="20"/>
          <w:szCs w:val="20"/>
          <w:color w:val="auto"/>
        </w:rPr>
      </w:pPr>
    </w:p>
    <w:p>
      <w:pPr>
        <w:jc w:val="both"/>
        <w:ind w:firstLine="1756"/>
        <w:spacing w:after="0" w:line="238" w:lineRule="auto"/>
        <w:rPr>
          <w:sz w:val="20"/>
          <w:szCs w:val="20"/>
          <w:color w:val="auto"/>
        </w:rPr>
      </w:pPr>
      <w:r>
        <w:rPr>
          <w:rFonts w:ascii="Arial" w:cs="Arial" w:eastAsia="Arial" w:hAnsi="Arial"/>
          <w:sz w:val="21"/>
          <w:szCs w:val="21"/>
          <w:color w:val="auto"/>
        </w:rPr>
        <w:t>(c) “subsidiary”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00" w:lineRule="exact"/>
        <w:rPr>
          <w:sz w:val="20"/>
          <w:szCs w:val="20"/>
          <w:color w:val="auto"/>
        </w:rPr>
      </w:pPr>
    </w:p>
    <w:p>
      <w:pPr>
        <w:spacing w:after="0" w:line="215" w:lineRule="exact"/>
        <w:rPr>
          <w:sz w:val="20"/>
          <w:szCs w:val="20"/>
          <w:color w:val="auto"/>
        </w:rPr>
      </w:pPr>
    </w:p>
    <w:p>
      <w:pPr>
        <w:ind w:left="1820" w:hanging="938"/>
        <w:spacing w:after="0"/>
        <w:tabs>
          <w:tab w:leader="none" w:pos="182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HEADINGS</w:t>
      </w:r>
    </w:p>
    <w:p>
      <w:pPr>
        <w:spacing w:after="0" w:line="227" w:lineRule="exact"/>
        <w:rPr>
          <w:sz w:val="20"/>
          <w:szCs w:val="20"/>
          <w:color w:val="auto"/>
        </w:rPr>
      </w:pPr>
    </w:p>
    <w:p>
      <w:pPr>
        <w:ind w:right="120" w:firstLine="878"/>
        <w:spacing w:after="0" w:line="256" w:lineRule="auto"/>
        <w:rPr>
          <w:sz w:val="20"/>
          <w:szCs w:val="20"/>
          <w:color w:val="auto"/>
        </w:rPr>
      </w:pPr>
      <w:r>
        <w:rPr>
          <w:rFonts w:ascii="Arial" w:cs="Arial" w:eastAsia="Arial" w:hAnsi="Arial"/>
          <w:sz w:val="21"/>
          <w:szCs w:val="21"/>
          <w:color w:val="auto"/>
        </w:rPr>
        <w:t>The paragraph headings appearing in this Agreement are for the purposes of easy reference and shall not be considered a part of this Agreement or in any way modify, amend or affect its provisions.</w:t>
      </w:r>
    </w:p>
    <w:p>
      <w:pPr>
        <w:spacing w:after="0" w:line="187" w:lineRule="exact"/>
        <w:rPr>
          <w:sz w:val="20"/>
          <w:szCs w:val="20"/>
          <w:color w:val="auto"/>
        </w:rPr>
      </w:pPr>
    </w:p>
    <w:p>
      <w:pPr>
        <w:ind w:left="1760" w:hanging="878"/>
        <w:spacing w:after="0"/>
        <w:tabs>
          <w:tab w:leader="none" w:pos="176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COUNTERPARTS</w:t>
      </w:r>
    </w:p>
    <w:p>
      <w:pPr>
        <w:spacing w:after="0" w:line="227" w:lineRule="exact"/>
        <w:rPr>
          <w:sz w:val="20"/>
          <w:szCs w:val="20"/>
          <w:color w:val="auto"/>
        </w:rPr>
      </w:pPr>
    </w:p>
    <w:p>
      <w:pPr>
        <w:ind w:right="380" w:firstLine="878"/>
        <w:spacing w:after="0" w:line="256" w:lineRule="auto"/>
        <w:rPr>
          <w:sz w:val="20"/>
          <w:szCs w:val="20"/>
          <w:color w:val="auto"/>
        </w:rPr>
      </w:pPr>
      <w:r>
        <w:rPr>
          <w:rFonts w:ascii="Arial" w:cs="Arial" w:eastAsia="Arial" w:hAnsi="Arial"/>
          <w:sz w:val="21"/>
          <w:szCs w:val="21"/>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800" w:type="dxa"/>
            <w:vAlign w:val="bottom"/>
            <w:gridSpan w:val="3"/>
          </w:tcPr>
          <w:p>
            <w:pPr>
              <w:spacing w:after="0"/>
              <w:rPr>
                <w:sz w:val="20"/>
                <w:szCs w:val="20"/>
                <w:color w:val="auto"/>
              </w:rPr>
            </w:pPr>
            <w:r>
              <w:rPr>
                <w:rFonts w:ascii="Arial" w:cs="Arial" w:eastAsia="Arial" w:hAnsi="Arial"/>
                <w:sz w:val="21"/>
                <w:szCs w:val="21"/>
                <w:color w:val="auto"/>
              </w:rPr>
              <w:t>DESTINATION XL GROUP, INC.</w:t>
            </w:r>
          </w:p>
        </w:tc>
        <w:tc>
          <w:tcPr>
            <w:tcW w:w="31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419"/>
        </w:trPr>
        <w:tc>
          <w:tcPr>
            <w:tcW w:w="5800" w:type="dxa"/>
            <w:vAlign w:val="bottom"/>
            <w:gridSpan w:val="3"/>
          </w:tcPr>
          <w:p>
            <w:pPr>
              <w:spacing w:after="0"/>
              <w:rPr>
                <w:sz w:val="20"/>
                <w:szCs w:val="20"/>
                <w:color w:val="auto"/>
              </w:rPr>
            </w:pPr>
            <w:r>
              <w:rPr>
                <w:rFonts w:ascii="Arial" w:cs="Arial" w:eastAsia="Arial" w:hAnsi="Arial"/>
                <w:sz w:val="21"/>
                <w:szCs w:val="21"/>
                <w:color w:val="auto"/>
              </w:rPr>
              <w:t>By: /s/ David A. Levin</w:t>
            </w:r>
          </w:p>
        </w:tc>
        <w:tc>
          <w:tcPr>
            <w:tcW w:w="4340" w:type="dxa"/>
            <w:vAlign w:val="bottom"/>
            <w:gridSpan w:val="2"/>
          </w:tcPr>
          <w:p>
            <w:pPr>
              <w:ind w:left="2680"/>
              <w:spacing w:after="0"/>
              <w:rPr>
                <w:sz w:val="20"/>
                <w:szCs w:val="20"/>
                <w:color w:val="auto"/>
              </w:rPr>
            </w:pPr>
            <w:r>
              <w:rPr>
                <w:rFonts w:ascii="Arial" w:cs="Arial" w:eastAsia="Arial" w:hAnsi="Arial"/>
                <w:sz w:val="21"/>
                <w:szCs w:val="21"/>
                <w:color w:val="auto"/>
                <w:w w:val="89"/>
              </w:rPr>
              <w:t>Date: May 21, 2015</w:t>
            </w:r>
          </w:p>
        </w:tc>
      </w:tr>
      <w:tr>
        <w:trPr>
          <w:trHeight w:val="20"/>
        </w:trPr>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900" w:type="dxa"/>
            <w:vAlign w:val="bottom"/>
            <w:tcBorders>
              <w:left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32"/>
        </w:trPr>
        <w:tc>
          <w:tcPr>
            <w:tcW w:w="5800" w:type="dxa"/>
            <w:vAlign w:val="bottom"/>
            <w:gridSpan w:val="3"/>
          </w:tcPr>
          <w:p>
            <w:pPr>
              <w:spacing w:after="0" w:line="232" w:lineRule="exact"/>
              <w:rPr>
                <w:sz w:val="20"/>
                <w:szCs w:val="20"/>
                <w:color w:val="auto"/>
              </w:rPr>
            </w:pPr>
            <w:r>
              <w:rPr>
                <w:rFonts w:ascii="Arial" w:cs="Arial" w:eastAsia="Arial" w:hAnsi="Arial"/>
                <w:sz w:val="21"/>
                <w:szCs w:val="21"/>
                <w:color w:val="auto"/>
              </w:rPr>
              <w:t>Name:David A. Levin</w:t>
            </w:r>
          </w:p>
        </w:tc>
        <w:tc>
          <w:tcPr>
            <w:tcW w:w="3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5"/>
        </w:trPr>
        <w:tc>
          <w:tcPr>
            <w:tcW w:w="5800" w:type="dxa"/>
            <w:vAlign w:val="bottom"/>
            <w:gridSpan w:val="3"/>
          </w:tcPr>
          <w:p>
            <w:pPr>
              <w:spacing w:after="0"/>
              <w:rPr>
                <w:sz w:val="20"/>
                <w:szCs w:val="20"/>
                <w:color w:val="auto"/>
              </w:rPr>
            </w:pPr>
            <w:r>
              <w:rPr>
                <w:rFonts w:ascii="Arial" w:cs="Arial" w:eastAsia="Arial" w:hAnsi="Arial"/>
                <w:sz w:val="21"/>
                <w:szCs w:val="21"/>
                <w:color w:val="auto"/>
              </w:rPr>
              <w:t>Its:President, Chief Executive Officer</w:t>
            </w:r>
          </w:p>
        </w:tc>
        <w:tc>
          <w:tcPr>
            <w:tcW w:w="31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419"/>
        </w:trPr>
        <w:tc>
          <w:tcPr>
            <w:tcW w:w="5800" w:type="dxa"/>
            <w:vAlign w:val="bottom"/>
            <w:gridSpan w:val="3"/>
          </w:tcPr>
          <w:p>
            <w:pPr>
              <w:spacing w:after="0"/>
              <w:rPr>
                <w:sz w:val="20"/>
                <w:szCs w:val="20"/>
                <w:color w:val="auto"/>
              </w:rPr>
            </w:pPr>
            <w:r>
              <w:rPr>
                <w:rFonts w:ascii="Arial" w:cs="Arial" w:eastAsia="Arial" w:hAnsi="Arial"/>
                <w:sz w:val="21"/>
                <w:szCs w:val="21"/>
                <w:color w:val="auto"/>
              </w:rPr>
              <w:t>By: /s/ John F. Cooney</w:t>
            </w:r>
          </w:p>
        </w:tc>
        <w:tc>
          <w:tcPr>
            <w:tcW w:w="4340" w:type="dxa"/>
            <w:vAlign w:val="bottom"/>
            <w:gridSpan w:val="2"/>
          </w:tcPr>
          <w:p>
            <w:pPr>
              <w:ind w:left="2680"/>
              <w:spacing w:after="0"/>
              <w:rPr>
                <w:sz w:val="20"/>
                <w:szCs w:val="20"/>
                <w:color w:val="auto"/>
              </w:rPr>
            </w:pPr>
            <w:r>
              <w:rPr>
                <w:rFonts w:ascii="Arial" w:cs="Arial" w:eastAsia="Arial" w:hAnsi="Arial"/>
                <w:sz w:val="21"/>
                <w:szCs w:val="21"/>
                <w:color w:val="auto"/>
                <w:w w:val="89"/>
              </w:rPr>
              <w:t>Date: May 21, 2015</w:t>
            </w:r>
          </w:p>
        </w:tc>
      </w:tr>
      <w:tr>
        <w:trPr>
          <w:trHeight w:val="20"/>
        </w:trPr>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63"/>
        </w:trPr>
        <w:tc>
          <w:tcPr>
            <w:tcW w:w="5800" w:type="dxa"/>
            <w:vAlign w:val="bottom"/>
            <w:gridSpan w:val="3"/>
          </w:tcPr>
          <w:p>
            <w:pPr>
              <w:spacing w:after="0"/>
              <w:rPr>
                <w:sz w:val="20"/>
                <w:szCs w:val="20"/>
                <w:color w:val="auto"/>
              </w:rPr>
            </w:pPr>
            <w:r>
              <w:rPr>
                <w:rFonts w:ascii="Arial" w:cs="Arial" w:eastAsia="Arial" w:hAnsi="Arial"/>
                <w:sz w:val="21"/>
                <w:szCs w:val="21"/>
                <w:color w:val="auto"/>
              </w:rPr>
              <w:t>Name:John F. Cooney</w:t>
            </w:r>
          </w:p>
        </w:tc>
        <w:tc>
          <w:tcPr>
            <w:tcW w:w="318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0880"/>
          </w:cols>
          <w:pgMar w:left="240" w:top="326" w:right="779" w:bottom="1440" w:gutter="0" w:footer="0" w:header="0"/>
        </w:sectPr>
      </w:pPr>
    </w:p>
    <w:bookmarkStart w:id="52" w:name="page53"/>
    <w:bookmarkEnd w:id="52"/>
    <w:p>
      <w:pPr>
        <w:jc w:val="center"/>
        <w:spacing w:after="0"/>
        <w:rPr>
          <w:sz w:val="20"/>
          <w:szCs w:val="20"/>
          <w:color w:val="auto"/>
        </w:rPr>
      </w:pPr>
      <w:r>
        <w:rPr>
          <w:rFonts w:ascii="Arial" w:cs="Arial" w:eastAsia="Arial" w:hAnsi="Arial"/>
          <w:sz w:val="21"/>
          <w:szCs w:val="21"/>
          <w:b w:val="1"/>
          <w:bCs w:val="1"/>
          <w:i w:val="1"/>
          <w:iCs w:val="1"/>
          <w:color w:val="auto"/>
        </w:rPr>
        <w:t>EXHIBIT 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FORM OF RELEASE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GENERAL RELEASE OF CLAIMS</w:t>
      </w:r>
    </w:p>
    <w:p>
      <w:pPr>
        <w:spacing w:after="0" w:line="201" w:lineRule="exact"/>
        <w:rPr>
          <w:sz w:val="20"/>
          <w:szCs w:val="20"/>
          <w:color w:val="auto"/>
        </w:rPr>
      </w:pPr>
    </w:p>
    <w:p>
      <w:pPr>
        <w:jc w:val="both"/>
        <w:ind w:firstLine="882"/>
        <w:spacing w:after="0" w:line="259" w:lineRule="auto"/>
        <w:tabs>
          <w:tab w:leader="none" w:pos="2283" w:val="left"/>
        </w:tabs>
        <w:numPr>
          <w:ilvl w:val="0"/>
          <w:numId w:val="64"/>
        </w:numPr>
        <w:rPr>
          <w:rFonts w:ascii="Arial" w:cs="Arial" w:eastAsia="Arial" w:hAnsi="Arial"/>
          <w:sz w:val="19"/>
          <w:szCs w:val="19"/>
          <w:color w:val="auto"/>
        </w:rPr>
      </w:pPr>
      <w:r>
        <w:rPr>
          <w:rFonts w:ascii="Arial" w:cs="Arial" w:eastAsia="Arial" w:hAnsi="Arial"/>
          <w:sz w:val="19"/>
          <w:szCs w:val="19"/>
          <w:color w:val="auto"/>
        </w:rPr>
        <w:t>John F. Cooney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does hereby release and forever discharge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29361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53" w:name="page54"/>
    <w:bookmarkEnd w:id="53"/>
    <w:p>
      <w:pPr>
        <w:jc w:val="both"/>
        <w:ind w:firstLine="882"/>
        <w:spacing w:after="0" w:line="251" w:lineRule="auto"/>
        <w:tabs>
          <w:tab w:leader="none" w:pos="2283" w:val="left"/>
        </w:tabs>
        <w:numPr>
          <w:ilvl w:val="0"/>
          <w:numId w:val="65"/>
        </w:numPr>
        <w:rPr>
          <w:rFonts w:ascii="Arial" w:cs="Arial" w:eastAsia="Arial" w:hAnsi="Arial"/>
          <w:sz w:val="20"/>
          <w:szCs w:val="20"/>
          <w:color w:val="auto"/>
        </w:rPr>
      </w:pPr>
      <w:r>
        <w:rPr>
          <w:rFonts w:ascii="Arial" w:cs="Arial" w:eastAsia="Arial" w:hAnsi="Arial"/>
          <w:sz w:val="20"/>
          <w:szCs w:val="20"/>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20"/>
          <w:szCs w:val="20"/>
          <w:u w:val="single" w:color="auto"/>
          <w:color w:val="auto"/>
        </w:rPr>
        <w:t>Proceeding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Executive shall not have relinquished his right to commence a Proceeding to challenge whether Executive knowingly and voluntarily waived his rights under ADEA.</w:t>
      </w:r>
    </w:p>
    <w:p>
      <w:pPr>
        <w:spacing w:after="0" w:line="169" w:lineRule="exact"/>
        <w:rPr>
          <w:rFonts w:ascii="Arial" w:cs="Arial" w:eastAsia="Arial" w:hAnsi="Arial"/>
          <w:sz w:val="20"/>
          <w:szCs w:val="20"/>
          <w:color w:val="auto"/>
        </w:rPr>
      </w:pPr>
    </w:p>
    <w:p>
      <w:pPr>
        <w:jc w:val="both"/>
        <w:ind w:firstLine="882"/>
        <w:spacing w:after="0" w:line="274" w:lineRule="auto"/>
        <w:tabs>
          <w:tab w:leader="none" w:pos="2283" w:val="left"/>
        </w:tabs>
        <w:numPr>
          <w:ilvl w:val="0"/>
          <w:numId w:val="65"/>
        </w:numPr>
        <w:rPr>
          <w:rFonts w:ascii="Arial" w:cs="Arial" w:eastAsia="Arial" w:hAnsi="Arial"/>
          <w:sz w:val="19"/>
          <w:szCs w:val="19"/>
          <w:color w:val="auto"/>
        </w:rPr>
      </w:pPr>
      <w:r>
        <w:rPr>
          <w:rFonts w:ascii="Arial" w:cs="Arial" w:eastAsia="Arial" w:hAnsi="Arial"/>
          <w:sz w:val="19"/>
          <w:szCs w:val="19"/>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6" w:lineRule="exact"/>
        <w:rPr>
          <w:rFonts w:ascii="Arial" w:cs="Arial" w:eastAsia="Arial" w:hAnsi="Arial"/>
          <w:sz w:val="19"/>
          <w:szCs w:val="19"/>
          <w:color w:val="auto"/>
        </w:rPr>
      </w:pPr>
    </w:p>
    <w:p>
      <w:pPr>
        <w:jc w:val="both"/>
        <w:ind w:firstLine="882"/>
        <w:spacing w:after="0" w:line="244" w:lineRule="auto"/>
        <w:tabs>
          <w:tab w:leader="none" w:pos="2283" w:val="left"/>
        </w:tabs>
        <w:numPr>
          <w:ilvl w:val="0"/>
          <w:numId w:val="65"/>
        </w:numPr>
        <w:rPr>
          <w:rFonts w:ascii="Arial" w:cs="Arial" w:eastAsia="Arial" w:hAnsi="Arial"/>
          <w:sz w:val="21"/>
          <w:szCs w:val="21"/>
          <w:color w:val="auto"/>
        </w:rPr>
      </w:pPr>
      <w:r>
        <w:rPr>
          <w:rFonts w:ascii="Arial" w:cs="Arial" w:eastAsia="Arial" w:hAnsi="Arial"/>
          <w:sz w:val="21"/>
          <w:szCs w:val="21"/>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73" w:lineRule="exact"/>
        <w:rPr>
          <w:rFonts w:ascii="Arial" w:cs="Arial" w:eastAsia="Arial" w:hAnsi="Arial"/>
          <w:sz w:val="21"/>
          <w:szCs w:val="21"/>
          <w:color w:val="auto"/>
        </w:rPr>
      </w:pPr>
    </w:p>
    <w:p>
      <w:pPr>
        <w:jc w:val="both"/>
        <w:ind w:firstLine="882"/>
        <w:spacing w:after="0" w:line="244" w:lineRule="auto"/>
        <w:tabs>
          <w:tab w:leader="none" w:pos="2283" w:val="left"/>
        </w:tabs>
        <w:numPr>
          <w:ilvl w:val="0"/>
          <w:numId w:val="65"/>
        </w:numPr>
        <w:rPr>
          <w:rFonts w:ascii="Arial" w:cs="Arial" w:eastAsia="Arial" w:hAnsi="Arial"/>
          <w:sz w:val="21"/>
          <w:szCs w:val="21"/>
          <w:color w:val="auto"/>
        </w:rPr>
      </w:pPr>
      <w:r>
        <w:rPr>
          <w:rFonts w:ascii="Arial" w:cs="Arial" w:eastAsia="Arial" w:hAnsi="Arial"/>
          <w:sz w:val="21"/>
          <w:szCs w:val="21"/>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73" w:lineRule="exact"/>
        <w:rPr>
          <w:rFonts w:ascii="Arial" w:cs="Arial" w:eastAsia="Arial" w:hAnsi="Arial"/>
          <w:sz w:val="21"/>
          <w:szCs w:val="21"/>
          <w:color w:val="auto"/>
        </w:rPr>
      </w:pPr>
    </w:p>
    <w:p>
      <w:pPr>
        <w:jc w:val="both"/>
        <w:ind w:firstLine="882"/>
        <w:spacing w:after="0" w:line="339" w:lineRule="auto"/>
        <w:tabs>
          <w:tab w:leader="none" w:pos="228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300" w:lineRule="exact"/>
        <w:rPr>
          <w:sz w:val="20"/>
          <w:szCs w:val="20"/>
          <w:color w:val="auto"/>
        </w:rPr>
      </w:pPr>
    </w:p>
    <w:p>
      <w:pPr>
        <w:ind w:left="5720"/>
        <w:spacing w:after="0"/>
        <w:rPr>
          <w:sz w:val="20"/>
          <w:szCs w:val="20"/>
          <w:color w:val="auto"/>
        </w:rPr>
      </w:pPr>
      <w:r>
        <w:rPr>
          <w:rFonts w:ascii="Arial" w:cs="Arial" w:eastAsia="Arial" w:hAnsi="Arial"/>
          <w:sz w:val="21"/>
          <w:szCs w:val="21"/>
          <w:u w:val="single" w:color="auto"/>
          <w:color w:val="auto"/>
        </w:rPr>
        <w:t>_______________________</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John F. Cooney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32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David A. Levin, certify that:</w:t>
      </w:r>
    </w:p>
    <w:p>
      <w:pPr>
        <w:spacing w:after="0" w:line="117" w:lineRule="exact"/>
        <w:rPr>
          <w:sz w:val="20"/>
          <w:szCs w:val="20"/>
          <w:color w:val="auto"/>
        </w:rPr>
      </w:pPr>
    </w:p>
    <w:p>
      <w:pPr>
        <w:ind w:left="520" w:hanging="516"/>
        <w:spacing w:after="0"/>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Destination XL Group, Inc.;</w:t>
      </w:r>
    </w:p>
    <w:p>
      <w:pPr>
        <w:spacing w:after="0" w:line="116" w:lineRule="exact"/>
        <w:rPr>
          <w:rFonts w:ascii="Arial" w:cs="Arial" w:eastAsia="Arial" w:hAnsi="Arial"/>
          <w:sz w:val="17"/>
          <w:szCs w:val="17"/>
          <w:color w:val="auto"/>
        </w:rPr>
      </w:pPr>
    </w:p>
    <w:p>
      <w:pPr>
        <w:ind w:left="520" w:right="40" w:hanging="516"/>
        <w:spacing w:after="0" w:line="319" w:lineRule="auto"/>
        <w:tabs>
          <w:tab w:leader="none" w:pos="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6"/>
          <w:szCs w:val="16"/>
          <w:color w:val="auto"/>
        </w:rPr>
      </w:pPr>
    </w:p>
    <w:p>
      <w:pPr>
        <w:ind w:left="520" w:right="120" w:hanging="516"/>
        <w:spacing w:after="0" w:line="286"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left="520" w:right="80" w:hanging="516"/>
        <w:spacing w:after="0" w:line="270"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7"/>
          <w:szCs w:val="17"/>
          <w:color w:val="auto"/>
        </w:rPr>
      </w:pPr>
    </w:p>
    <w:p>
      <w:pPr>
        <w:ind w:left="1020" w:right="60" w:hanging="498"/>
        <w:spacing w:after="0" w:line="270"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7"/>
          <w:szCs w:val="17"/>
          <w:color w:val="auto"/>
        </w:rPr>
      </w:pPr>
    </w:p>
    <w:p>
      <w:pPr>
        <w:ind w:left="1020" w:right="40" w:hanging="498"/>
        <w:spacing w:after="0" w:line="270"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7"/>
          <w:szCs w:val="17"/>
          <w:color w:val="auto"/>
        </w:rPr>
      </w:pPr>
    </w:p>
    <w:p>
      <w:pPr>
        <w:ind w:left="1020" w:right="100" w:hanging="498"/>
        <w:spacing w:after="0" w:line="286"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left="1020" w:right="140" w:hanging="498"/>
        <w:spacing w:after="0" w:line="270"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7"/>
          <w:szCs w:val="17"/>
          <w:color w:val="auto"/>
        </w:rPr>
      </w:pPr>
    </w:p>
    <w:p>
      <w:pPr>
        <w:ind w:left="520" w:right="520" w:hanging="516"/>
        <w:spacing w:after="0" w:line="319" w:lineRule="auto"/>
        <w:tabs>
          <w:tab w:leader="none" w:pos="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020" w:right="20" w:hanging="498"/>
        <w:spacing w:after="0" w:line="286"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1020" w:right="60" w:hanging="498"/>
        <w:spacing w:after="0" w:line="286"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20" w:val="left"/>
          <w:tab w:leader="none" w:pos="8600" w:val="left"/>
        </w:tabs>
        <w:rPr>
          <w:sz w:val="20"/>
          <w:szCs w:val="20"/>
          <w:color w:val="auto"/>
        </w:rPr>
      </w:pPr>
      <w:r>
        <w:rPr>
          <w:rFonts w:ascii="Arial" w:cs="Arial" w:eastAsia="Arial" w:hAnsi="Arial"/>
          <w:sz w:val="17"/>
          <w:szCs w:val="17"/>
          <w:color w:val="auto"/>
        </w:rPr>
        <w:t>Date:August 27, 2015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A. Levin</w:t>
      </w:r>
    </w:p>
    <w:p>
      <w:pPr>
        <w:spacing w:after="0" w:line="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-94615</wp:posOffset>
            </wp:positionV>
            <wp:extent cx="27419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41930"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Peter H. Stratton, Jr., certify that:</w:t>
      </w:r>
    </w:p>
    <w:p>
      <w:pPr>
        <w:spacing w:after="0" w:line="117" w:lineRule="exact"/>
        <w:rPr>
          <w:sz w:val="20"/>
          <w:szCs w:val="20"/>
          <w:color w:val="auto"/>
        </w:rPr>
      </w:pPr>
    </w:p>
    <w:p>
      <w:pPr>
        <w:ind w:left="520" w:hanging="516"/>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Destination XL Group, Inc.;</w:t>
      </w:r>
    </w:p>
    <w:p>
      <w:pPr>
        <w:spacing w:after="0" w:line="116" w:lineRule="exact"/>
        <w:rPr>
          <w:rFonts w:ascii="Arial" w:cs="Arial" w:eastAsia="Arial" w:hAnsi="Arial"/>
          <w:sz w:val="17"/>
          <w:szCs w:val="17"/>
          <w:color w:val="auto"/>
        </w:rPr>
      </w:pPr>
    </w:p>
    <w:p>
      <w:pPr>
        <w:ind w:left="520" w:right="40" w:hanging="516"/>
        <w:spacing w:after="0" w:line="319" w:lineRule="auto"/>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6"/>
          <w:szCs w:val="16"/>
          <w:color w:val="auto"/>
        </w:rPr>
      </w:pPr>
    </w:p>
    <w:p>
      <w:pPr>
        <w:ind w:left="520" w:right="120" w:hanging="516"/>
        <w:spacing w:after="0" w:line="286"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left="520" w:right="80" w:hanging="516"/>
        <w:spacing w:after="0" w:line="270"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7"/>
          <w:szCs w:val="17"/>
          <w:color w:val="auto"/>
        </w:rPr>
      </w:pPr>
    </w:p>
    <w:p>
      <w:pPr>
        <w:ind w:left="1020" w:right="60" w:hanging="498"/>
        <w:spacing w:after="0" w:line="270" w:lineRule="auto"/>
        <w:tabs>
          <w:tab w:leader="none" w:pos="10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7"/>
          <w:szCs w:val="17"/>
          <w:color w:val="auto"/>
        </w:rPr>
      </w:pPr>
    </w:p>
    <w:p>
      <w:pPr>
        <w:ind w:left="1020" w:right="40" w:hanging="498"/>
        <w:spacing w:after="0" w:line="270" w:lineRule="auto"/>
        <w:tabs>
          <w:tab w:leader="none" w:pos="10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7"/>
          <w:szCs w:val="17"/>
          <w:color w:val="auto"/>
        </w:rPr>
      </w:pPr>
    </w:p>
    <w:p>
      <w:pPr>
        <w:ind w:left="1020" w:right="100" w:hanging="498"/>
        <w:spacing w:after="0" w:line="286" w:lineRule="auto"/>
        <w:tabs>
          <w:tab w:leader="none" w:pos="10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left="1020" w:right="140" w:hanging="498"/>
        <w:spacing w:after="0" w:line="270" w:lineRule="auto"/>
        <w:tabs>
          <w:tab w:leader="none" w:pos="10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7"/>
          <w:szCs w:val="17"/>
          <w:color w:val="auto"/>
        </w:rPr>
      </w:pPr>
    </w:p>
    <w:p>
      <w:pPr>
        <w:ind w:left="520" w:right="520" w:hanging="516"/>
        <w:spacing w:after="0" w:line="319" w:lineRule="auto"/>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020" w:right="20" w:hanging="498"/>
        <w:spacing w:after="0" w:line="286" w:lineRule="auto"/>
        <w:tabs>
          <w:tab w:leader="none" w:pos="10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1020" w:right="60" w:hanging="498"/>
        <w:spacing w:after="0" w:line="286" w:lineRule="auto"/>
        <w:tabs>
          <w:tab w:leader="none" w:pos="10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20" w:val="left"/>
          <w:tab w:leader="none" w:pos="8440" w:val="left"/>
        </w:tabs>
        <w:rPr>
          <w:sz w:val="20"/>
          <w:szCs w:val="20"/>
          <w:color w:val="auto"/>
        </w:rPr>
      </w:pPr>
      <w:r>
        <w:rPr>
          <w:rFonts w:ascii="Arial" w:cs="Arial" w:eastAsia="Arial" w:hAnsi="Arial"/>
          <w:sz w:val="17"/>
          <w:szCs w:val="17"/>
          <w:color w:val="auto"/>
        </w:rPr>
        <w:t>Date:August 27, 2015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Peter H. Stratton, Jr.</w:t>
      </w:r>
    </w:p>
    <w:p>
      <w:pPr>
        <w:spacing w:after="0" w:line="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-94615</wp:posOffset>
            </wp:positionV>
            <wp:extent cx="2741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41930"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8" w:lineRule="exact"/>
        <w:rPr>
          <w:sz w:val="20"/>
          <w:szCs w:val="20"/>
          <w:color w:val="auto"/>
        </w:rPr>
      </w:pPr>
    </w:p>
    <w:p>
      <w:pPr>
        <w:ind w:right="200" w:firstLine="518"/>
        <w:spacing w:after="0" w:line="270" w:lineRule="auto"/>
        <w:rPr>
          <w:sz w:val="20"/>
          <w:szCs w:val="20"/>
          <w:color w:val="auto"/>
        </w:rPr>
      </w:pPr>
      <w:r>
        <w:rPr>
          <w:rFonts w:ascii="Arial" w:cs="Arial" w:eastAsia="Arial" w:hAnsi="Arial"/>
          <w:sz w:val="17"/>
          <w:szCs w:val="17"/>
          <w:color w:val="auto"/>
        </w:rPr>
        <w:t>In connection with the Quarterly Report on Form 10-Q of Destination XL Group, Inc. (the “Company”) for the period ended August 1, 2015, as filed with the Securities and Exchange Commission on the date hereof (the “Report”), I, David A. Levin, Chief Executive Officer of the Company, certify pursuant to 18 U.S.C. § 1350, as adopted pursuant to § 906 of the Sarbanes-Oxley Act of 2002, that:</w:t>
      </w:r>
    </w:p>
    <w:p>
      <w:pPr>
        <w:spacing w:after="0" w:line="69" w:lineRule="exact"/>
        <w:rPr>
          <w:sz w:val="20"/>
          <w:szCs w:val="20"/>
          <w:color w:val="auto"/>
        </w:rPr>
      </w:pPr>
    </w:p>
    <w:p>
      <w:pPr>
        <w:ind w:left="1420" w:right="180" w:hanging="333"/>
        <w:spacing w:after="0" w:line="286" w:lineRule="auto"/>
        <w:tabs>
          <w:tab w:leader="none" w:pos="133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(the “Exchange Act”); and</w:t>
      </w:r>
    </w:p>
    <w:p>
      <w:pPr>
        <w:spacing w:after="0" w:line="54" w:lineRule="exact"/>
        <w:rPr>
          <w:rFonts w:ascii="Arial" w:cs="Arial" w:eastAsia="Arial" w:hAnsi="Arial"/>
          <w:sz w:val="17"/>
          <w:szCs w:val="17"/>
          <w:color w:val="auto"/>
        </w:rPr>
      </w:pPr>
    </w:p>
    <w:p>
      <w:pPr>
        <w:ind w:left="1340" w:hanging="253"/>
        <w:spacing w:after="0"/>
        <w:tabs>
          <w:tab w:leader="none" w:pos="1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6" w:lineRule="exact"/>
        <w:rPr>
          <w:sz w:val="20"/>
          <w:szCs w:val="20"/>
          <w:color w:val="auto"/>
        </w:rPr>
      </w:pPr>
    </w:p>
    <w:p>
      <w:pPr>
        <w:spacing w:after="0"/>
        <w:tabs>
          <w:tab w:leader="none" w:pos="6820" w:val="left"/>
          <w:tab w:leader="none" w:pos="8600" w:val="left"/>
        </w:tabs>
        <w:rPr>
          <w:sz w:val="20"/>
          <w:szCs w:val="20"/>
          <w:color w:val="auto"/>
        </w:rPr>
      </w:pPr>
      <w:r>
        <w:rPr>
          <w:rFonts w:ascii="Arial" w:cs="Arial" w:eastAsia="Arial" w:hAnsi="Arial"/>
          <w:sz w:val="17"/>
          <w:szCs w:val="17"/>
          <w:color w:val="auto"/>
        </w:rPr>
        <w:t>Date:August 27, 2015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A. Levin</w:t>
      </w:r>
    </w:p>
    <w:p>
      <w:pPr>
        <w:spacing w:after="0" w:line="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-94615</wp:posOffset>
            </wp:positionV>
            <wp:extent cx="2741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41930"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Executive Officer</w:t>
      </w:r>
    </w:p>
    <w:p>
      <w:pPr>
        <w:spacing w:after="0" w:line="18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8" w:lineRule="exact"/>
        <w:rPr>
          <w:sz w:val="20"/>
          <w:szCs w:val="20"/>
          <w:color w:val="auto"/>
        </w:rPr>
      </w:pPr>
    </w:p>
    <w:p>
      <w:pPr>
        <w:jc w:val="both"/>
        <w:ind w:right="140" w:firstLine="518"/>
        <w:spacing w:after="0" w:line="270" w:lineRule="auto"/>
        <w:rPr>
          <w:sz w:val="20"/>
          <w:szCs w:val="20"/>
          <w:color w:val="auto"/>
        </w:rPr>
      </w:pPr>
      <w:r>
        <w:rPr>
          <w:rFonts w:ascii="Arial" w:cs="Arial" w:eastAsia="Arial" w:hAnsi="Arial"/>
          <w:sz w:val="17"/>
          <w:szCs w:val="17"/>
          <w:color w:val="auto"/>
        </w:rPr>
        <w:t>In connection with the Quarterly Report on Form 10-Q of Destination XL Group, Inc. (the “Company”) for the period ended August 1, 2015,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9" w:lineRule="exact"/>
        <w:rPr>
          <w:sz w:val="20"/>
          <w:szCs w:val="20"/>
          <w:color w:val="auto"/>
        </w:rPr>
      </w:pPr>
    </w:p>
    <w:p>
      <w:pPr>
        <w:ind w:left="1420" w:right="180" w:hanging="333"/>
        <w:spacing w:after="0" w:line="286" w:lineRule="auto"/>
        <w:tabs>
          <w:tab w:leader="none" w:pos="133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(the “Exchange Act”); and</w:t>
      </w:r>
    </w:p>
    <w:p>
      <w:pPr>
        <w:spacing w:after="0" w:line="54" w:lineRule="exact"/>
        <w:rPr>
          <w:rFonts w:ascii="Arial" w:cs="Arial" w:eastAsia="Arial" w:hAnsi="Arial"/>
          <w:sz w:val="17"/>
          <w:szCs w:val="17"/>
          <w:color w:val="auto"/>
        </w:rPr>
      </w:pPr>
    </w:p>
    <w:p>
      <w:pPr>
        <w:ind w:left="1340" w:hanging="253"/>
        <w:spacing w:after="0"/>
        <w:tabs>
          <w:tab w:leader="none" w:pos="13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6" w:lineRule="exact"/>
        <w:rPr>
          <w:sz w:val="20"/>
          <w:szCs w:val="20"/>
          <w:color w:val="auto"/>
        </w:rPr>
      </w:pPr>
    </w:p>
    <w:p>
      <w:pPr>
        <w:spacing w:after="0"/>
        <w:tabs>
          <w:tab w:leader="none" w:pos="6820" w:val="left"/>
          <w:tab w:leader="none" w:pos="8440" w:val="left"/>
        </w:tabs>
        <w:rPr>
          <w:sz w:val="20"/>
          <w:szCs w:val="20"/>
          <w:color w:val="auto"/>
        </w:rPr>
      </w:pPr>
      <w:r>
        <w:rPr>
          <w:rFonts w:ascii="Arial" w:cs="Arial" w:eastAsia="Arial" w:hAnsi="Arial"/>
          <w:sz w:val="17"/>
          <w:szCs w:val="17"/>
          <w:color w:val="auto"/>
        </w:rPr>
        <w:t>Date:August 27, 2015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Peter H. Stratton, Jr.</w:t>
      </w:r>
    </w:p>
    <w:p>
      <w:pPr>
        <w:spacing w:after="0" w:line="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-94615</wp:posOffset>
            </wp:positionV>
            <wp:extent cx="27419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41930"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Financial Officer</w:t>
      </w:r>
    </w:p>
    <w:p>
      <w:pPr>
        <w:spacing w:after="0" w:line="18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lowerLetter"/>
      <w:start w:val="2"/>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0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3"/>
    </w:lvl>
  </w:abstractNum>
  <w:abstractNum w:abstractNumId="15">
    <w:nsid w:val="6A2342EC"/>
    <w:multiLevelType w:val="hybridMultilevel"/>
    <w:lvl w:ilvl="0">
      <w:lvlJc w:val="left"/>
      <w:lvlText w:val="(%1)"/>
      <w:numFmt w:val="lowerLetter"/>
      <w:start w:val="14"/>
    </w:lvl>
  </w:abstractNum>
  <w:abstractNum w:abstractNumId="16">
    <w:nsid w:val="2A487CB0"/>
    <w:multiLevelType w:val="hybridMultilevel"/>
    <w:lvl w:ilvl="0">
      <w:lvlJc w:val="left"/>
      <w:lvlText w:val="(%1)"/>
      <w:numFmt w:val="lowerLetter"/>
      <w:start w:val="9"/>
    </w:lvl>
    <w:lvl w:ilvl="1">
      <w:lvlJc w:val="left"/>
      <w:lvlText w:val="(%2)"/>
      <w:numFmt w:val="lowerLetter"/>
      <w:start w:val="1"/>
    </w:lvl>
  </w:abstractNum>
  <w:abstractNum w:abstractNumId="17">
    <w:nsid w:val="1D4ED43B"/>
    <w:multiLevelType w:val="hybridMultilevel"/>
    <w:lvl w:ilvl="0">
      <w:lvlJc w:val="left"/>
      <w:lvlText w:val="(%1)"/>
      <w:numFmt w:val="lowerRoman"/>
      <w:start w:val="2"/>
    </w:lvl>
  </w:abstractNum>
  <w:abstractNum w:abstractNumId="18">
    <w:nsid w:val="725A06FB"/>
    <w:multiLevelType w:val="hybridMultilevel"/>
    <w:lvl w:ilvl="0">
      <w:lvlJc w:val="left"/>
      <w:lvlText w:val="(%1)"/>
      <w:numFmt w:val="lowerRoman"/>
      <w:start w:val="5"/>
    </w:lvl>
  </w:abstractNum>
  <w:abstractNum w:abstractNumId="19">
    <w:nsid w:val="2CD89A32"/>
    <w:multiLevelType w:val="hybridMultilevel"/>
    <w:lvl w:ilvl="0">
      <w:lvlJc w:val="left"/>
      <w:lvlText w:val="(%1)"/>
      <w:numFmt w:val="lowerRoman"/>
      <w:start w:val="5"/>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2"/>
    </w:lvl>
  </w:abstractNum>
  <w:abstractNum w:abstractNumId="22">
    <w:nsid w:val="4B588F54"/>
    <w:multiLevelType w:val="hybridMultilevel"/>
    <w:lvl w:ilvl="0">
      <w:lvlJc w:val="left"/>
      <w:lvlText w:val="%1."/>
      <w:numFmt w:val="decimal"/>
      <w:start w:val="3"/>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lowerLetter"/>
      <w:start w:val="3"/>
    </w:lvl>
  </w:abstractNum>
  <w:abstractNum w:abstractNumId="25">
    <w:nsid w:val="38437FDB"/>
    <w:multiLevelType w:val="hybridMultilevel"/>
    <w:lvl w:ilvl="0">
      <w:lvlJc w:val="left"/>
      <w:lvlText w:val="%1."/>
      <w:numFmt w:val="decimal"/>
      <w:start w:val="4"/>
    </w:lvl>
  </w:abstractNum>
  <w:abstractNum w:abstractNumId="26">
    <w:nsid w:val="7644A45C"/>
    <w:multiLevelType w:val="hybridMultilevel"/>
    <w:lvl w:ilvl="0">
      <w:lvlJc w:val="left"/>
      <w:lvlText w:val="%1."/>
      <w:numFmt w:val="decimal"/>
      <w:start w:val="5"/>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1."/>
      <w:numFmt w:val="decimal"/>
      <w:start w:val="6"/>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2"/>
    </w:lvl>
  </w:abstractNum>
  <w:abstractNum w:abstractNumId="31">
    <w:nsid w:val="3DC240FB"/>
    <w:multiLevelType w:val="hybridMultilevel"/>
    <w:lvl w:ilvl="0">
      <w:lvlJc w:val="left"/>
      <w:lvlText w:val="%1."/>
      <w:numFmt w:val="decimal"/>
      <w:start w:val="7"/>
    </w:lvl>
  </w:abstractNum>
  <w:abstractNum w:abstractNumId="32">
    <w:nsid w:val="1BA026FA"/>
    <w:multiLevelType w:val="hybridMultilevel"/>
    <w:lvl w:ilvl="0">
      <w:lvlJc w:val="left"/>
      <w:lvlText w:val="(%1)"/>
      <w:numFmt w:val="lowerLetter"/>
      <w:start w:val="1"/>
    </w:lvl>
    <w:lvl w:ilvl="1">
      <w:lvlJc w:val="left"/>
      <w:lvlText w:val="(%2)"/>
      <w:numFmt w:val="lowerRoman"/>
      <w:start w:val="1"/>
    </w:lvl>
  </w:abstractNum>
  <w:abstractNum w:abstractNumId="33">
    <w:nsid w:val="79A1DEAA"/>
    <w:multiLevelType w:val="hybridMultilevel"/>
    <w:lvl w:ilvl="0">
      <w:lvlJc w:val="left"/>
      <w:lvlText w:val="(%1)"/>
      <w:numFmt w:val="lowerLetter"/>
      <w:start w:val="5"/>
    </w:lvl>
  </w:abstractNum>
  <w:abstractNum w:abstractNumId="34">
    <w:nsid w:val="75C6C33A"/>
    <w:multiLevelType w:val="hybridMultilevel"/>
    <w:lvl w:ilvl="0">
      <w:lvlJc w:val="left"/>
      <w:lvlText w:val="(%1)"/>
      <w:numFmt w:val="lowerLetter"/>
      <w:start w:val="9"/>
    </w:lvl>
  </w:abstractNum>
  <w:abstractNum w:abstractNumId="35">
    <w:nsid w:val="12E685FB"/>
    <w:multiLevelType w:val="hybridMultilevel"/>
    <w:lvl w:ilvl="0">
      <w:lvlJc w:val="left"/>
      <w:lvlText w:val="(%1)"/>
      <w:numFmt w:val="lowerLetter"/>
      <w:start w:val="11"/>
    </w:lvl>
  </w:abstractNum>
  <w:abstractNum w:abstractNumId="36">
    <w:nsid w:val="70C6A529"/>
    <w:multiLevelType w:val="hybridMultilevel"/>
    <w:lvl w:ilvl="0">
      <w:lvlJc w:val="left"/>
      <w:lvlText w:val="%1."/>
      <w:numFmt w:val="decimal"/>
      <w:start w:val="8"/>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3"/>
    </w:lvl>
    <w:lvl w:ilvl="1">
      <w:lvlJc w:val="left"/>
      <w:lvlText w:val="(%2)"/>
      <w:numFmt w:val="lowerRoman"/>
      <w:start w:val="1"/>
    </w:lvl>
  </w:abstractNum>
  <w:abstractNum w:abstractNumId="39">
    <w:nsid w:val="4F4EF005"/>
    <w:multiLevelType w:val="hybridMultilevel"/>
    <w:lvl w:ilvl="0">
      <w:lvlJc w:val="left"/>
      <w:lvlText w:val="%1"/>
      <w:numFmt w:val="decimal"/>
      <w:start w:val="1"/>
    </w:lvl>
    <w:lvl w:ilvl="1">
      <w:lvlJc w:val="left"/>
      <w:lvlText w:val="(%2)"/>
      <w:numFmt w:val="lowerRoman"/>
      <w:start w:val="3"/>
    </w:lvl>
  </w:abstractNum>
  <w:abstractNum w:abstractNumId="40">
    <w:nsid w:val="23F9C13C"/>
    <w:multiLevelType w:val="hybridMultilevel"/>
    <w:lvl w:ilvl="0">
      <w:lvlJc w:val="left"/>
      <w:lvlText w:val="%1."/>
      <w:numFmt w:val="decimal"/>
      <w:start w:val="9"/>
    </w:lvl>
    <w:lvl w:ilvl="1">
      <w:lvlJc w:val="left"/>
      <w:lvlText w:val="%2"/>
      <w:numFmt w:val="lowerRoman"/>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decimal"/>
      <w:start w:val="10"/>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2"/>
    </w:lvl>
  </w:abstractNum>
  <w:abstractNum w:abstractNumId="45">
    <w:nsid w:val="180115BE"/>
    <w:multiLevelType w:val="hybridMultilevel"/>
    <w:lvl w:ilvl="0">
      <w:lvlJc w:val="left"/>
      <w:lvlText w:val="%1."/>
      <w:numFmt w:val="decimal"/>
      <w:start w:val="1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decimal"/>
      <w:start w:val="12"/>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decimal"/>
      <w:start w:val="13"/>
    </w:lvl>
  </w:abstractNum>
  <w:abstractNum w:abstractNumId="50">
    <w:nsid w:val="741226BB"/>
    <w:multiLevelType w:val="hybridMultilevel"/>
    <w:lvl w:ilvl="0">
      <w:lvlJc w:val="left"/>
      <w:lvlText w:val="%1."/>
      <w:numFmt w:val="decimal"/>
      <w:start w:val="14"/>
    </w:lvl>
  </w:abstractNum>
  <w:abstractNum w:abstractNumId="51">
    <w:nsid w:val="D34B6A8"/>
    <w:multiLevelType w:val="hybridMultilevel"/>
    <w:lvl w:ilvl="0">
      <w:lvlJc w:val="left"/>
      <w:lvlText w:val="%1."/>
      <w:numFmt w:val="decimal"/>
      <w:start w:val="15"/>
    </w:lvl>
  </w:abstractNum>
  <w:abstractNum w:abstractNumId="52">
    <w:nsid w:val="10233C99"/>
    <w:multiLevelType w:val="hybridMultilevel"/>
    <w:lvl w:ilvl="0">
      <w:lvlJc w:val="left"/>
      <w:lvlText w:val="%1."/>
      <w:numFmt w:val="decimal"/>
      <w:start w:val="16"/>
    </w:lvl>
  </w:abstractNum>
  <w:abstractNum w:abstractNumId="53">
    <w:nsid w:val="3F6AB60F"/>
    <w:multiLevelType w:val="hybridMultilevel"/>
    <w:lvl w:ilvl="0">
      <w:lvlJc w:val="left"/>
      <w:lvlText w:val="%1."/>
      <w:numFmt w:val="decimal"/>
      <w:start w:val="17"/>
    </w:lvl>
  </w:abstractNum>
  <w:abstractNum w:abstractNumId="54">
    <w:nsid w:val="61574095"/>
    <w:multiLevelType w:val="hybridMultilevel"/>
    <w:lvl w:ilvl="0">
      <w:lvlJc w:val="left"/>
      <w:lvlText w:val="%1."/>
      <w:numFmt w:val="decimal"/>
      <w:start w:val="18"/>
    </w:lvl>
  </w:abstractNum>
  <w:abstractNum w:abstractNumId="55">
    <w:nsid w:val="7E0C57B1"/>
    <w:multiLevelType w:val="hybridMultilevel"/>
    <w:lvl w:ilvl="0">
      <w:lvlJc w:val="left"/>
      <w:lvlText w:val="%1."/>
      <w:numFmt w:val="decimal"/>
      <w:start w:val="19"/>
    </w:lvl>
  </w:abstractNum>
  <w:abstractNum w:abstractNumId="56">
    <w:nsid w:val="77AE35EB"/>
    <w:multiLevelType w:val="hybridMultilevel"/>
    <w:lvl w:ilvl="0">
      <w:lvlJc w:val="left"/>
      <w:lvlText w:val="%1."/>
      <w:numFmt w:val="decimal"/>
      <w:start w:val="20"/>
    </w:lvl>
  </w:abstractNum>
  <w:abstractNum w:abstractNumId="57">
    <w:nsid w:val="579BE4F1"/>
    <w:multiLevelType w:val="hybridMultilevel"/>
    <w:lvl w:ilvl="0">
      <w:lvlJc w:val="left"/>
      <w:lvlText w:val="%1."/>
      <w:numFmt w:val="decimal"/>
      <w:start w:val="21"/>
    </w:lvl>
  </w:abstractNum>
  <w:abstractNum w:abstractNumId="58">
    <w:nsid w:val="310C50B3"/>
    <w:multiLevelType w:val="hybridMultilevel"/>
    <w:lvl w:ilvl="0">
      <w:lvlJc w:val="left"/>
      <w:lvlText w:val="%1."/>
      <w:numFmt w:val="decimal"/>
      <w:start w:val="22"/>
    </w:lvl>
  </w:abstractNum>
  <w:abstractNum w:abstractNumId="59">
    <w:nsid w:val="5FF87E05"/>
    <w:multiLevelType w:val="hybridMultilevel"/>
    <w:lvl w:ilvl="0">
      <w:lvlJc w:val="left"/>
      <w:lvlText w:val="%1."/>
      <w:numFmt w:val="decimal"/>
      <w:start w:val="23"/>
    </w:lvl>
  </w:abstractNum>
  <w:abstractNum w:abstractNumId="60">
    <w:nsid w:val="2F305DEF"/>
    <w:multiLevelType w:val="hybridMultilevel"/>
    <w:lvl w:ilvl="0">
      <w:lvlJc w:val="left"/>
      <w:lvlText w:val="%1."/>
      <w:numFmt w:val="decimal"/>
      <w:start w:val="24"/>
    </w:lvl>
  </w:abstractNum>
  <w:abstractNum w:abstractNumId="61">
    <w:nsid w:val="25A70BF7"/>
    <w:multiLevelType w:val="hybridMultilevel"/>
    <w:lvl w:ilvl="0">
      <w:lvlJc w:val="left"/>
      <w:lvlText w:val="%1."/>
      <w:numFmt w:val="decimal"/>
      <w:start w:val="25"/>
    </w:lvl>
  </w:abstractNum>
  <w:abstractNum w:abstractNumId="62">
    <w:nsid w:val="1DBABF00"/>
    <w:multiLevelType w:val="hybridMultilevel"/>
    <w:lvl w:ilvl="0">
      <w:lvlJc w:val="left"/>
      <w:lvlText w:val="%1."/>
      <w:numFmt w:val="decimal"/>
      <w:start w:val="26"/>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2"/>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2019-12-06T01:57:01Z</dcterms:created>
  <dcterms:modified xsi:type="dcterms:W3CDTF">2019-12-06T01:57:01Z</dcterms:modified>
</cp:coreProperties>
</file>