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tbl>
      <w:tblPr>
        <w:tblLayout w:type="fixed"/>
        <w:tblInd w:w="1980" w:type="dxa"/>
        <w:tblCellMar>
          <w:top w:w="0" w:type="dxa"/>
          <w:left w:w="0" w:type="dxa"/>
          <w:bottom w:w="0" w:type="dxa"/>
          <w:right w:w="0" w:type="dxa"/>
        </w:tblCellMar>
      </w:tblPr>
      <w:tr>
        <w:trPr>
          <w:trHeight w:val="216"/>
        </w:trPr>
        <w:tc>
          <w:tcPr>
            <w:tcW w:w="3660" w:type="dxa"/>
            <w:vAlign w:val="bottom"/>
          </w:tcPr>
          <w:p>
            <w:pPr>
              <w:jc w:val="center"/>
              <w:ind w:right="1692"/>
              <w:spacing w:after="0"/>
              <w:rPr>
                <w:sz w:val="20"/>
                <w:szCs w:val="20"/>
                <w:color w:val="auto"/>
              </w:rPr>
            </w:pPr>
            <w:r>
              <w:rPr>
                <w:rFonts w:ascii="Arial" w:cs="Arial" w:eastAsia="Arial" w:hAnsi="Arial"/>
                <w:sz w:val="18"/>
                <w:szCs w:val="18"/>
                <w:b w:val="1"/>
                <w:bCs w:val="1"/>
                <w:color w:val="auto"/>
                <w:w w:val="90"/>
              </w:rPr>
              <w:t>For the Quarterly Period</w:t>
            </w:r>
          </w:p>
        </w:tc>
        <w:tc>
          <w:tcPr>
            <w:tcW w:w="4320" w:type="dxa"/>
            <w:vAlign w:val="bottom"/>
          </w:tcPr>
          <w:p>
            <w:pPr>
              <w:spacing w:after="0"/>
              <w:rPr>
                <w:sz w:val="18"/>
                <w:szCs w:val="18"/>
                <w:color w:val="auto"/>
              </w:rPr>
            </w:pPr>
          </w:p>
        </w:tc>
      </w:tr>
      <w:tr>
        <w:trPr>
          <w:trHeight w:val="242"/>
        </w:trPr>
        <w:tc>
          <w:tcPr>
            <w:tcW w:w="3660" w:type="dxa"/>
            <w:vAlign w:val="bottom"/>
          </w:tcPr>
          <w:p>
            <w:pPr>
              <w:jc w:val="center"/>
              <w:ind w:right="1692"/>
              <w:spacing w:after="0"/>
              <w:rPr>
                <w:sz w:val="20"/>
                <w:szCs w:val="20"/>
                <w:color w:val="auto"/>
              </w:rPr>
            </w:pPr>
            <w:r>
              <w:rPr>
                <w:rFonts w:ascii="Arial" w:cs="Arial" w:eastAsia="Arial" w:hAnsi="Arial"/>
                <w:sz w:val="18"/>
                <w:szCs w:val="18"/>
                <w:b w:val="1"/>
                <w:bCs w:val="1"/>
                <w:color w:val="auto"/>
                <w:w w:val="87"/>
              </w:rPr>
              <w:t>Ended August 1, 2009</w:t>
            </w:r>
          </w:p>
        </w:tc>
        <w:tc>
          <w:tcPr>
            <w:tcW w:w="4320" w:type="dxa"/>
            <w:vAlign w:val="bottom"/>
          </w:tcPr>
          <w:p>
            <w:pPr>
              <w:ind w:left="1780"/>
              <w:spacing w:after="0"/>
              <w:rPr>
                <w:sz w:val="20"/>
                <w:szCs w:val="20"/>
                <w:color w:val="auto"/>
              </w:rPr>
            </w:pPr>
            <w:r>
              <w:rPr>
                <w:rFonts w:ascii="Arial" w:cs="Arial" w:eastAsia="Arial" w:hAnsi="Arial"/>
                <w:sz w:val="18"/>
                <w:szCs w:val="18"/>
                <w:b w:val="1"/>
                <w:bCs w:val="1"/>
                <w:color w:val="auto"/>
                <w:w w:val="87"/>
              </w:rPr>
              <w:t>Commission File Number 0-15898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4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40" w:type="dxa"/>
            <w:vAlign w:val="bottom"/>
          </w:tcPr>
          <w:p>
            <w:pPr>
              <w:jc w:val="center"/>
              <w:ind w:left="38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40" w:type="dxa"/>
            <w:vAlign w:val="bottom"/>
          </w:tcPr>
          <w:p>
            <w:pPr>
              <w:jc w:val="center"/>
              <w:ind w:left="39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4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47"/>
        </w:trPr>
        <w:tc>
          <w:tcPr>
            <w:tcW w:w="2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5"/>
              </w:rPr>
              <w:t>(Address of principal executive offices)</w:t>
            </w:r>
          </w:p>
        </w:tc>
        <w:tc>
          <w:tcPr>
            <w:tcW w:w="5040" w:type="dxa"/>
            <w:vAlign w:val="bottom"/>
          </w:tcPr>
          <w:p>
            <w:pPr>
              <w:jc w:val="center"/>
              <w:ind w:left="3904"/>
              <w:spacing w:after="0" w:line="147" w:lineRule="exact"/>
              <w:rPr>
                <w:sz w:val="20"/>
                <w:szCs w:val="20"/>
                <w:color w:val="auto"/>
              </w:rPr>
            </w:pPr>
            <w:r>
              <w:rPr>
                <w:rFonts w:ascii="Arial" w:cs="Arial" w:eastAsia="Arial" w:hAnsi="Arial"/>
                <w:sz w:val="14"/>
                <w:szCs w:val="14"/>
                <w:b w:val="1"/>
                <w:bCs w:val="1"/>
                <w:color w:val="auto"/>
                <w:w w:val="89"/>
              </w:rPr>
              <w:t>(Zip Code)</w:t>
            </w:r>
          </w:p>
        </w:tc>
      </w:tr>
      <w:tr>
        <w:trPr>
          <w:trHeight w:val="218"/>
        </w:trPr>
        <w:tc>
          <w:tcPr>
            <w:tcW w:w="2520" w:type="dxa"/>
            <w:vAlign w:val="bottom"/>
          </w:tcPr>
          <w:p>
            <w:pPr>
              <w:spacing w:after="0"/>
              <w:rPr>
                <w:sz w:val="18"/>
                <w:szCs w:val="18"/>
                <w:color w:val="auto"/>
              </w:rPr>
            </w:pPr>
          </w:p>
        </w:tc>
        <w:tc>
          <w:tcPr>
            <w:tcW w:w="504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20" w:type="dxa"/>
            <w:vAlign w:val="bottom"/>
          </w:tcPr>
          <w:p>
            <w:pPr>
              <w:spacing w:after="0"/>
              <w:rPr>
                <w:sz w:val="15"/>
                <w:szCs w:val="15"/>
                <w:color w:val="auto"/>
              </w:rPr>
            </w:pPr>
          </w:p>
        </w:tc>
        <w:tc>
          <w:tcPr>
            <w:tcW w:w="5040" w:type="dxa"/>
            <w:vAlign w:val="bottom"/>
          </w:tcPr>
          <w:p>
            <w:pPr>
              <w:jc w:val="center"/>
              <w:ind w:right="190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4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460" w:type="dxa"/>
        <w:tblCellMar>
          <w:top w:w="0" w:type="dxa"/>
          <w:left w:w="0" w:type="dxa"/>
          <w:bottom w:w="0" w:type="dxa"/>
          <w:right w:w="0" w:type="dxa"/>
        </w:tblCellMar>
      </w:tblPr>
      <w:tr>
        <w:trPr>
          <w:trHeight w:val="177"/>
        </w:trPr>
        <w:tc>
          <w:tcPr>
            <w:tcW w:w="2320" w:type="dxa"/>
            <w:vAlign w:val="bottom"/>
          </w:tcPr>
          <w:p>
            <w:pPr>
              <w:spacing w:after="0" w:line="177" w:lineRule="exact"/>
              <w:rPr>
                <w:sz w:val="20"/>
                <w:szCs w:val="20"/>
                <w:color w:val="auto"/>
              </w:rPr>
            </w:pPr>
            <w:r>
              <w:rPr>
                <w:rFonts w:ascii="Arial" w:cs="Arial" w:eastAsia="Arial" w:hAnsi="Arial"/>
                <w:sz w:val="18"/>
                <w:szCs w:val="18"/>
                <w:color w:val="auto"/>
              </w:rPr>
              <w:t>Large accelerated filer</w:t>
            </w:r>
          </w:p>
        </w:tc>
        <w:tc>
          <w:tcPr>
            <w:tcW w:w="1140" w:type="dxa"/>
            <w:vAlign w:val="bottom"/>
          </w:tcPr>
          <w:p>
            <w:pPr>
              <w:ind w:left="400"/>
              <w:spacing w:after="0" w:line="178"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580"/>
              <w:spacing w:after="0" w:line="17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11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580"/>
              <w:spacing w:after="0"/>
              <w:rPr>
                <w:sz w:val="20"/>
                <w:szCs w:val="20"/>
                <w:color w:val="auto"/>
              </w:rPr>
            </w:pPr>
            <w:r>
              <w:rPr>
                <w:rFonts w:ascii="Arial" w:cs="Arial" w:eastAsia="Arial" w:hAnsi="Arial"/>
                <w:sz w:val="18"/>
                <w:szCs w:val="18"/>
                <w:color w:val="auto"/>
                <w:w w:val="89"/>
              </w:rPr>
              <w:t>(Do not check if a smaller reporting company)</w:t>
            </w:r>
          </w:p>
        </w:tc>
      </w:tr>
      <w:tr>
        <w:trPr>
          <w:trHeight w:val="275"/>
        </w:trPr>
        <w:tc>
          <w:tcPr>
            <w:tcW w:w="232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11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3"/>
                <w:szCs w:val="23"/>
                <w:color w:val="auto"/>
              </w:rPr>
            </w:pPr>
          </w:p>
        </w:tc>
      </w:tr>
    </w:tbl>
    <w:p>
      <w:pPr>
        <w:spacing w:after="0" w:line="103" w:lineRule="exact"/>
        <w:rPr>
          <w:sz w:val="24"/>
          <w:szCs w:val="24"/>
          <w:color w:val="auto"/>
        </w:rPr>
      </w:pPr>
    </w:p>
    <w:p>
      <w:pPr>
        <w:ind w:right="200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August 25, 2009 was 42,110,170.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301"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jc w:val="center"/>
              <w:ind w:left="1512"/>
              <w:spacing w:after="0"/>
              <w:rPr>
                <w:sz w:val="20"/>
                <w:szCs w:val="20"/>
                <w:color w:val="auto"/>
              </w:rPr>
            </w:pPr>
            <w:r>
              <w:rPr>
                <w:rFonts w:ascii="Arial" w:cs="Arial" w:eastAsia="Arial" w:hAnsi="Arial"/>
                <w:sz w:val="18"/>
                <w:szCs w:val="18"/>
                <w:b w:val="1"/>
                <w:bCs w:val="1"/>
                <w:color w:val="auto"/>
                <w:w w:val="98"/>
              </w:rPr>
              <w:t>CASUAL MALE RETAIL GROUP, INC.</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0" w:type="dxa"/>
            <w:vAlign w:val="bottom"/>
          </w:tcPr>
          <w:p>
            <w:pPr>
              <w:jc w:val="center"/>
              <w:ind w:left="151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0" w:type="dxa"/>
            <w:vAlign w:val="bottom"/>
          </w:tcPr>
          <w:p>
            <w:pPr>
              <w:jc w:val="center"/>
              <w:ind w:left="1492"/>
              <w:spacing w:after="0"/>
              <w:rPr>
                <w:sz w:val="20"/>
                <w:szCs w:val="20"/>
                <w:color w:val="auto"/>
              </w:rPr>
            </w:pPr>
            <w:r>
              <w:rPr>
                <w:rFonts w:ascii="Arial" w:cs="Arial" w:eastAsia="Arial" w:hAnsi="Arial"/>
                <w:sz w:val="18"/>
                <w:szCs w:val="18"/>
                <w:color w:val="auto"/>
                <w:w w:val="85"/>
              </w:rPr>
              <w:t>(In thousands, except share data)</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August 1, 2009</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1,919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94,272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111,230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114,709</w:t>
            </w:r>
          </w:p>
        </w:tc>
        <w:tc>
          <w:tcPr>
            <w:tcW w:w="0" w:type="dxa"/>
            <w:vAlign w:val="bottom"/>
          </w:tcPr>
          <w:p>
            <w:pPr>
              <w:spacing w:after="0"/>
              <w:rPr>
                <w:sz w:val="1"/>
                <w:szCs w:val="1"/>
                <w:color w:val="auto"/>
              </w:rPr>
            </w:pPr>
          </w:p>
        </w:tc>
      </w:tr>
      <w:tr>
        <w:trPr>
          <w:trHeight w:val="322"/>
        </w:trPr>
        <w:tc>
          <w:tcPr>
            <w:tcW w:w="8820" w:type="dxa"/>
            <w:vAlign w:val="bottom"/>
            <w:gridSpan w:val="3"/>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46,954</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52,208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1"/>
              </w:rPr>
              <w:t>Other assets:</w:t>
            </w:r>
          </w:p>
        </w:tc>
        <w:tc>
          <w:tcPr>
            <w:tcW w:w="7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33,084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assets</w:t>
            </w:r>
          </w:p>
        </w:tc>
        <w:tc>
          <w:tcPr>
            <w:tcW w:w="7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8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192,159</w:t>
            </w:r>
          </w:p>
        </w:tc>
        <w:tc>
          <w:tcPr>
            <w:tcW w:w="6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portion of deferred gain on sale-leaseback</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1,465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20,140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21,322</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85"/>
              </w:rPr>
              <w:t>Notes payable</w:t>
            </w:r>
          </w:p>
        </w:tc>
        <w:tc>
          <w:tcPr>
            <w:tcW w:w="7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83,690</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94,662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22,714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5,139</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115,258</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129,400</w:t>
            </w:r>
          </w:p>
        </w:tc>
        <w:tc>
          <w:tcPr>
            <w:tcW w:w="0" w:type="dxa"/>
            <w:vAlign w:val="bottom"/>
          </w:tcPr>
          <w:p>
            <w:pPr>
              <w:spacing w:after="0"/>
              <w:rPr>
                <w:sz w:val="1"/>
                <w:szCs w:val="1"/>
                <w:color w:val="auto"/>
              </w:rPr>
            </w:pPr>
          </w:p>
        </w:tc>
      </w:tr>
      <w:tr>
        <w:trPr>
          <w:trHeight w:val="221"/>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Stockholders’ equity:</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Preferred stock, $0.01 par value, 1,000,000 shares authorized, none outstanding at August 1, 2009 and January 31,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7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3"/>
              </w:rPr>
              <w:t>Common stock, $0.01 par value, 75,000,000 shares authorized, 52,989,943 and 52,327,609 issued at August 1, 2009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tcPr>
          <w:p>
            <w:pPr>
              <w:ind w:left="200"/>
              <w:spacing w:after="0"/>
              <w:rPr>
                <w:sz w:val="20"/>
                <w:szCs w:val="20"/>
                <w:color w:val="auto"/>
              </w:rPr>
            </w:pPr>
            <w:r>
              <w:rPr>
                <w:rFonts w:ascii="Arial" w:cs="Arial" w:eastAsia="Arial" w:hAnsi="Arial"/>
                <w:sz w:val="18"/>
                <w:szCs w:val="18"/>
                <w:color w:val="auto"/>
              </w:rPr>
              <w:t>and January 31, 2009, respectively</w:t>
            </w: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530</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275,383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(106,130)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10,877,439 shares at August 1, 2009 and January 31, 2009</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(87,977)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(4,905)</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192,159</w:t>
            </w:r>
          </w:p>
        </w:tc>
        <w:tc>
          <w:tcPr>
            <w:tcW w:w="6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0"/>
              </w:rPr>
              <w:t>For the three months ended</w:t>
            </w:r>
          </w:p>
        </w:tc>
        <w:tc>
          <w:tcPr>
            <w:tcW w:w="200" w:type="dxa"/>
            <w:vAlign w:val="bottom"/>
          </w:tcPr>
          <w:p>
            <w:pPr>
              <w:spacing w:after="0"/>
              <w:rPr>
                <w:sz w:val="14"/>
                <w:szCs w:val="14"/>
                <w:color w:val="auto"/>
              </w:rPr>
            </w:pPr>
          </w:p>
        </w:tc>
        <w:tc>
          <w:tcPr>
            <w:tcW w:w="21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1, 2009</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August 2, 2008</w:t>
            </w:r>
          </w:p>
        </w:tc>
        <w:tc>
          <w:tcPr>
            <w:tcW w:w="480" w:type="dxa"/>
            <w:vAlign w:val="bottom"/>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1, 2009</w:t>
            </w: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98,252</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113,475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195,813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54,427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62,137</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110,430</w:t>
            </w: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51,338</w:t>
            </w: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85,383</w:t>
            </w: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43,485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47,592</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80,441</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3,746</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4,942</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1,887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2"/>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0.10</w:t>
            </w: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323"/>
        </w:trPr>
        <w:tc>
          <w:tcPr>
            <w:tcW w:w="638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basic</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41,405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460"/>
              <w:spacing w:after="0"/>
              <w:rPr>
                <w:sz w:val="20"/>
                <w:szCs w:val="20"/>
                <w:color w:val="auto"/>
              </w:rPr>
            </w:pPr>
            <w:r>
              <w:rPr>
                <w:rFonts w:ascii="Arial" w:cs="Arial" w:eastAsia="Arial" w:hAnsi="Arial"/>
                <w:sz w:val="18"/>
                <w:szCs w:val="18"/>
                <w:color w:val="auto"/>
              </w:rPr>
              <w:t>- diluted</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41,689</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41,638</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41,690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2"/>
              </w:rPr>
              <w:t>Six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August 1, 2009</w:t>
            </w: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3,962</w:t>
            </w:r>
          </w:p>
        </w:tc>
        <w:tc>
          <w:tcPr>
            <w:tcW w:w="7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7,777</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 expense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Loss from disposal of property and equipment</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(3,816)</w:t>
            </w: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(3,825)</w:t>
            </w: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70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(2,246)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Payment of Rochester earn-out provision</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Dahle Big &amp; Tall stores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1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(2,060)</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(10,331)</w:t>
            </w: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under credit facility</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(2,829)</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(2,437)</w:t>
            </w: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(5,266)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1"/>
        </w:trPr>
        <w:tc>
          <w:tcPr>
            <w:tcW w:w="750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Beginning of the period</w:t>
            </w:r>
          </w:p>
        </w:tc>
        <w:tc>
          <w:tcPr>
            <w:tcW w:w="1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the period</w:t>
            </w:r>
          </w:p>
        </w:tc>
        <w:tc>
          <w:tcPr>
            <w:tcW w:w="16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August 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40" w:type="dxa"/>
            <w:vAlign w:val="bottom"/>
            <w:gridSpan w:val="4"/>
            <w:vMerge w:val="restart"/>
          </w:tcPr>
          <w:p>
            <w:pPr>
              <w:jc w:val="right"/>
              <w:ind w:right="9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1"/>
                <w:szCs w:val="11"/>
                <w:color w:val="auto"/>
              </w:rPr>
            </w:pPr>
          </w:p>
        </w:tc>
        <w:tc>
          <w:tcPr>
            <w:tcW w:w="10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Amounts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Shares</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Amounts</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52,328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275,180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(10,877)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(87,977)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(110,092)</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Stock based compensation expense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gridSpan w:val="2"/>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Pension plan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3,962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Balance at August 1, 2009</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52,990</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530</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275,383</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(10,877)</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(87,977)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 (106,130)</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(4,905)</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31, 2009 included in the Company’s Annual Report on Form 10-K, which was filed with the Securities and Exchange Commission on March 23, 2009.</w:t>
      </w:r>
    </w:p>
    <w:p>
      <w:pPr>
        <w:spacing w:after="0" w:line="14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2009 is a 52-week period ending on January 30, 2010.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2008 was a 52-week period ending on January 31,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operating segments—Casual Male and Rochester. The Company considers its operating segments to be similar in terms of economic characteristics, production processes and operations, and have therefore aggregated them into a single reporting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 xml:space="preserve">Pursuant to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at January 31, 2009, in connection with the Company’s annual evaluation of goodwill, the Company determined that a full impairment had occurred with respect to the goodwill of both its reporting units, Casual Male and Rochester and accordingly, recognized an impairment charge of $63.1 million in the fourth quarter and fiscal year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Similar to goodwill, the Company’s trademarks are also considered indefinite-lived intangible assets and must also be tested annually for potential impairment. At January 31, 2009, both the Casual Male trademark and the Rochester trademark were tested for potential impairment. Utilizing an income approach with appropriate royalty rates applied, the Company concluded that the Casual Male trademark, with a carrying value of $29.2 million was not impaired. However, the Company did conclude that a partial impairment of its Rochester trademark had occurred and, accordingly, a charge was recorded in the fourth quarter of fiscal 2008 for $2.5 million to reduce the value of the Rochester trademark to $1.5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 xml:space="preserve">The Company accounts for stock-based compensation pursuant to the provisions of Statement of Financial Accounting Standards No. 123 (revised 2004), </w:t>
      </w:r>
      <w:r>
        <w:rPr>
          <w:rFonts w:ascii="Arial" w:cs="Arial" w:eastAsia="Arial" w:hAnsi="Arial"/>
          <w:sz w:val="15"/>
          <w:szCs w:val="15"/>
          <w:i w:val="1"/>
          <w:iCs w:val="1"/>
          <w:color w:val="auto"/>
        </w:rPr>
        <w:t xml:space="preserve">Share-Based Payment </w:t>
      </w:r>
      <w:r>
        <w:rPr>
          <w:rFonts w:ascii="Arial" w:cs="Arial" w:eastAsia="Arial" w:hAnsi="Arial"/>
          <w:sz w:val="15"/>
          <w:szCs w:val="15"/>
          <w:color w:val="auto"/>
        </w:rPr>
        <w:t>(SFAS 123R), which requires that all share-based payments, including grants of employee stock options, be recognized as an expense in the</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w:t>
      </w:r>
    </w:p>
    <w:p>
      <w:pPr>
        <w:sectPr>
          <w:pgSz w:w="11900" w:h="16838" w:orient="portrait"/>
          <w:cols w:equalWidth="0" w:num="1">
            <w:col w:w="11400"/>
          </w:cols>
          <w:pgMar w:left="240" w:top="274" w:right="259" w:bottom="1440" w:gutter="0" w:footer="0" w:header="0"/>
        </w:sectPr>
      </w:pPr>
    </w:p>
    <w:bookmarkStart w:id="6" w:name="page7"/>
    <w:bookmarkEnd w:id="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first six months of fiscal 2009 and fiscal 2008, the Company recognized total compensation expense of $0.2 million and $1.1 million, respectively. The total compensation cost related to non-vested awards not yet recognized as of August 1, 2009 is approximately $1.3 million which will be expensed over a weighted average remaining life of 26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 and Restricted Stock</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During the first six months of fiscal 2009, the Company granted 667,500 shares of restricted stock. Each restricted share of common stock was assigned a fair value equal to the closing price of the Company’s common stock on the date of grant. There were no stock options granted in the first six months of fiscal 2009. For the first six months of fiscal 2008, 1.1 million of stock options were granted. The fair value of each option granted is estimated on the date of grant using the Black-Scholes option-pricing model. The following assumptions were used for grants for the six months of the prior year ended August 2, 2008. There were no assumptions for the six months of fiscal 2009 since there were no option grants.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August 2, 2008</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45.0%</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2.39% – 3.15%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3.0 – 4.5 yrs</w:t>
            </w: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Dividend rate</w:t>
            </w:r>
          </w:p>
        </w:tc>
        <w:tc>
          <w:tcPr>
            <w:tcW w:w="1260" w:type="dxa"/>
            <w:vAlign w:val="bottom"/>
          </w:tcPr>
          <w:p>
            <w:pPr>
              <w:ind w:left="5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exercises of options or warrants during the first six months of fiscal 2009.</w:t>
      </w:r>
    </w:p>
    <w:p>
      <w:pPr>
        <w:spacing w:after="0" w:line="28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August 1, 2009, the Company had outstanding borrowings of $35.9 million under its credit facility, as most recently amended December 20, 2007, with Bank of America, N.A. (the “Credit Facility”). The maturity date of the Credit Facility is October 29, 2011. Outstanding standby letters of credit were $2.3 million and outstanding documentary letters of credit were $2.5 million. Average monthly borrowings outstanding under this facility during the first six months of fiscal 2009 were approximately $42.1 million, resulting in an average unused excess availability of approximately $27.6 million. Unused excess availability at August 1, 2009 was $29.0 million. The Company’s obligations under the Credit Facility are secured by a lien on all of its assets. The Company is not subject to any financial covenants pursuant to this Credit Facility.</w:t>
      </w:r>
    </w:p>
    <w:p>
      <w:pPr>
        <w:spacing w:after="0" w:line="14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fair value of amounts outstanding under the Credit Facility approximates the carrying value at August 1, 2009. At the Company’s option, any portion of the outstanding borrowings can be converted to LIBOR-based contracts; the remainder bears interest based on prime. At August 1, 2009, the prime-based interest rate was 3.25%. The Company had approximately $30.6 million of its outstanding borrowings in LIBOR-based contracts with interest rates ranging from 1.54% to</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3.04%. The LIBOR-based contracts expire between August 2, 2009 and August 25, 2009. At August 1, 2009, the Company’s weighted average borrowing rate on its revolver was approximately 2.0% as compared to 4.3% at August 2, 2008.</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Debt with Banc of America Leasing &amp; Capital, LLC</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two Equipment Security Notes with Banc of America Leasing &amp; Capital, LLC (“BALC”) for equipment financing, the Company has $10.0 million outstanding at August 1, 2009. The secured notes are due July 20, 2011 and January 16, 2012. Both secured notes accrue interest at a per annum rate of 1.75% plus the rate of interest equal to the 30-day published LIBOR rate. Principal and interest, in arrears, are payable monthly, commencing one month after issuance of such note.</w:t>
      </w:r>
    </w:p>
    <w:p>
      <w:pPr>
        <w:spacing w:after="0" w:line="14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Both notes are secured by a security interest in all of the Company’s rights, title and interest in and to certain equipment. The Company is not subject to any financial covenants pursuant to these notes.</w:t>
      </w:r>
    </w:p>
    <w:p>
      <w:pPr>
        <w:spacing w:after="0" w:line="248" w:lineRule="exact"/>
        <w:rPr>
          <w:sz w:val="20"/>
          <w:szCs w:val="20"/>
          <w:color w:val="auto"/>
        </w:rPr>
      </w:pPr>
    </w:p>
    <w:p>
      <w:pPr>
        <w:ind w:right="10080" w:firstLine="8"/>
        <w:spacing w:after="0" w:line="417" w:lineRule="auto"/>
        <w:tabs>
          <w:tab w:leader="none" w:pos="44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u w:val="single" w:color="auto"/>
          <w:color w:val="auto"/>
        </w:rPr>
        <w:t>Earnings per Share</w:t>
      </w:r>
    </w:p>
    <w:p>
      <w:pPr>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340" w:type="dxa"/>
            <w:vAlign w:val="bottom"/>
            <w:gridSpan w:val="3"/>
          </w:tcPr>
          <w:p>
            <w:pPr>
              <w:jc w:val="right"/>
              <w:ind w:right="297"/>
              <w:spacing w:after="0"/>
              <w:rPr>
                <w:sz w:val="20"/>
                <w:szCs w:val="20"/>
                <w:color w:val="auto"/>
              </w:rPr>
            </w:pPr>
            <w:r>
              <w:rPr>
                <w:rFonts w:ascii="Arial" w:cs="Arial" w:eastAsia="Arial" w:hAnsi="Arial"/>
                <w:sz w:val="14"/>
                <w:szCs w:val="14"/>
                <w:b w:val="1"/>
                <w:bCs w:val="1"/>
                <w:color w:val="auto"/>
              </w:rPr>
              <w:t>For the three months ended</w:t>
            </w:r>
          </w:p>
        </w:tc>
        <w:tc>
          <w:tcPr>
            <w:tcW w:w="600" w:type="dxa"/>
            <w:vAlign w:val="bottom"/>
          </w:tcPr>
          <w:p>
            <w:pPr>
              <w:spacing w:after="0"/>
              <w:rPr>
                <w:sz w:val="14"/>
                <w:szCs w:val="14"/>
                <w:color w:val="auto"/>
              </w:rPr>
            </w:pPr>
          </w:p>
        </w:tc>
        <w:tc>
          <w:tcPr>
            <w:tcW w:w="23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42"/>
        </w:trPr>
        <w:tc>
          <w:tcPr>
            <w:tcW w:w="522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August 1, 2009</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August 2, 2008</w:t>
            </w:r>
          </w:p>
        </w:tc>
        <w:tc>
          <w:tcPr>
            <w:tcW w:w="600" w:type="dxa"/>
            <w:vAlign w:val="bottom"/>
          </w:tcPr>
          <w:p>
            <w:pPr>
              <w:spacing w:after="0"/>
              <w:rPr>
                <w:sz w:val="12"/>
                <w:szCs w:val="12"/>
                <w:color w:val="auto"/>
              </w:rPr>
            </w:pPr>
          </w:p>
        </w:tc>
        <w:tc>
          <w:tcPr>
            <w:tcW w:w="148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4"/>
              </w:rPr>
              <w:t>August 1, 2009</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August 2, 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w:t>
            </w:r>
          </w:p>
        </w:tc>
        <w:tc>
          <w:tcPr>
            <w:tcW w:w="8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860" w:type="dxa"/>
            <w:vAlign w:val="bottom"/>
          </w:tcPr>
          <w:p>
            <w:pPr>
              <w:jc w:val="right"/>
              <w:spacing w:after="0"/>
              <w:rPr>
                <w:sz w:val="20"/>
                <w:szCs w:val="20"/>
                <w:color w:val="auto"/>
              </w:rPr>
            </w:pPr>
            <w:r>
              <w:rPr>
                <w:rFonts w:ascii="Arial" w:cs="Arial" w:eastAsia="Arial" w:hAnsi="Arial"/>
                <w:sz w:val="18"/>
                <w:szCs w:val="18"/>
                <w:color w:val="auto"/>
              </w:rPr>
              <w:t>41,450</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41,405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41,450</w:t>
            </w:r>
          </w:p>
        </w:tc>
        <w:tc>
          <w:tcPr>
            <w:tcW w:w="860" w:type="dxa"/>
            <w:vAlign w:val="bottom"/>
          </w:tcPr>
          <w:p>
            <w:pPr>
              <w:jc w:val="right"/>
              <w:spacing w:after="0"/>
              <w:rPr>
                <w:sz w:val="20"/>
                <w:szCs w:val="20"/>
                <w:color w:val="auto"/>
              </w:rPr>
            </w:pPr>
            <w:r>
              <w:rPr>
                <w:rFonts w:ascii="Arial" w:cs="Arial" w:eastAsia="Arial" w:hAnsi="Arial"/>
                <w:sz w:val="18"/>
                <w:szCs w:val="18"/>
                <w:color w:val="auto"/>
              </w:rPr>
              <w:t>41,398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 -Stock options, restricted stock and</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41,926</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41,689</w:t>
            </w:r>
          </w:p>
        </w:tc>
        <w:tc>
          <w:tcPr>
            <w:tcW w:w="6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41,638</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41,690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4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24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For the six months ended</w:t>
            </w:r>
          </w:p>
        </w:tc>
      </w:tr>
      <w:tr>
        <w:trPr>
          <w:trHeight w:val="142"/>
        </w:trPr>
        <w:tc>
          <w:tcPr>
            <w:tcW w:w="650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 except exercise prices)</w:t>
            </w:r>
          </w:p>
        </w:tc>
        <w:tc>
          <w:tcPr>
            <w:tcW w:w="11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99"/>
              </w:rPr>
              <w:t>August 1, 2009</w:t>
            </w:r>
          </w:p>
        </w:tc>
        <w:tc>
          <w:tcPr>
            <w:tcW w:w="100" w:type="dxa"/>
            <w:vAlign w:val="bottom"/>
          </w:tcPr>
          <w:p>
            <w:pPr>
              <w:spacing w:after="0"/>
              <w:rPr>
                <w:sz w:val="12"/>
                <w:szCs w:val="12"/>
                <w:color w:val="auto"/>
              </w:rPr>
            </w:pPr>
          </w:p>
        </w:tc>
        <w:tc>
          <w:tcPr>
            <w:tcW w:w="11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99"/>
              </w:rPr>
              <w:t>August 2, 2008</w:t>
            </w:r>
          </w:p>
        </w:tc>
        <w:tc>
          <w:tcPr>
            <w:tcW w:w="120" w:type="dxa"/>
            <w:vAlign w:val="bottom"/>
          </w:tcPr>
          <w:p>
            <w:pPr>
              <w:spacing w:after="0"/>
              <w:rPr>
                <w:sz w:val="12"/>
                <w:szCs w:val="12"/>
                <w:color w:val="auto"/>
              </w:rPr>
            </w:pPr>
          </w:p>
        </w:tc>
        <w:tc>
          <w:tcPr>
            <w:tcW w:w="11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99"/>
              </w:rPr>
              <w:t>August 1, 2009</w:t>
            </w:r>
          </w:p>
        </w:tc>
        <w:tc>
          <w:tcPr>
            <w:tcW w:w="120" w:type="dxa"/>
            <w:vAlign w:val="bottom"/>
          </w:tcPr>
          <w:p>
            <w:pPr>
              <w:spacing w:after="0"/>
              <w:rPr>
                <w:sz w:val="12"/>
                <w:szCs w:val="12"/>
                <w:color w:val="auto"/>
              </w:rPr>
            </w:pPr>
          </w:p>
        </w:tc>
        <w:tc>
          <w:tcPr>
            <w:tcW w:w="11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99"/>
              </w:rPr>
              <w:t>August 2, 2008</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3,407</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4,803</w:t>
            </w:r>
          </w:p>
        </w:tc>
        <w:tc>
          <w:tcPr>
            <w:tcW w:w="12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4"/>
              </w:rPr>
              <w:t>3,510</w:t>
            </w:r>
          </w:p>
        </w:tc>
        <w:tc>
          <w:tcPr>
            <w:tcW w:w="12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4,793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Warrants</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1,058</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1,058</w:t>
            </w:r>
          </w:p>
        </w:tc>
        <w:tc>
          <w:tcPr>
            <w:tcW w:w="126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1,058</w:t>
            </w:r>
          </w:p>
        </w:tc>
        <w:tc>
          <w:tcPr>
            <w:tcW w:w="12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1,058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Range of exercise prices of such options and warrants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$2.37 – $10.26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$4.13 – $12.35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$1.25 – $10.26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$4.17 – $12.35</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August 1, 2009, expire from October 8, 2009 to August 12, 2018.</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At August 1, 2009, the Company had total deferred tax assets of approximately $57.9 million, with a corresponding valuation allowance of $57.9 million. These tax assets principally relate to federal net operating loss carryforwards that expire through 2028 and to a lesser extent book/tax timing differences.</w:t>
      </w:r>
    </w:p>
    <w:p>
      <w:pPr>
        <w:spacing w:after="0" w:line="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Company’s effective tax rate for the second quarter and first six months of fiscal 2009 has been reduced from the statutory rate due to the utilization of the Company’s fully reserved net operating loss carryforwards.</w:t>
      </w:r>
    </w:p>
    <w:p>
      <w:pPr>
        <w:spacing w:after="0" w:line="13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 xml:space="preserve">The Company complies with Financial Accounting Standards Board (“FASB”) Interpretation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(“FIN 48”).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w:t>
      </w:r>
    </w:p>
    <w:p>
      <w:pPr>
        <w:sectPr>
          <w:pgSz w:w="11900" w:h="16838" w:orient="portrait"/>
          <w:cols w:equalWidth="0" w:num="1">
            <w:col w:w="11420"/>
          </w:cols>
          <w:pgMar w:left="240" w:top="280" w:right="239" w:bottom="1440" w:gutter="0" w:footer="0" w:header="0"/>
        </w:sectPr>
      </w:pPr>
    </w:p>
    <w:bookmarkStart w:id="8" w:name="page9"/>
    <w:bookmarkEnd w:id="8"/>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tax benefit is recorded. The charge for taxation is based on the results for the year as adjusted for items that are non-assessable or disallowed. The charge is calculated using tax rates that have been enacted or substantively enacted by the balance sheet date. Pursuant to FIN 48, the Company will recognize the benefit from a tax position only if it is more likely than not that the position would be sustained upon audit based solely on the technical merits of the tax position. At August 1, 2009, the Company had no material unrecognized tax benefits based on the provisions of FIN 48.</w:t>
      </w:r>
    </w:p>
    <w:p>
      <w:pPr>
        <w:spacing w:after="0" w:line="11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first six months of fiscal 2009.</w:t>
      </w:r>
    </w:p>
    <w:p>
      <w:pPr>
        <w:spacing w:after="0" w:line="20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2009, the FASB issued Statement of Financial Accounting Standards No. 165, “Subsequent Events” (SFAS 165”). SFAS 165 sets forth: 1) the period after the balance sheet date during which management of a reporting entity should evaluate events or transactions that may occur for potential recognition or disclosure in the financial statements; 2) the circumstances under which an entity should recognize events or transactions occurring after the balance sheet date in its financial statements; and 3) the disclosures that an entity should make about events or transactions that occurred after the balance sheet date. SFAS No. 165 is effective for interim and annual periods ending after June 15, 2009. The Company adopted SFAS No. 165 for the quarter ended August 1, 2009. Subsequent events were evaluated through August 25, 2009, the date on which the financial statements were issued. The adoption of this pronouncement did not impact the Company’s consolidated financial position and results of operations.</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June 2009, the FASB issued SFAS No. 166 “Accounting for Transfers of Financial Assets—an amendment of FASB Statement No. 140” (“SFAS 166”). SFAS 166 improves the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SFAS 166 is effective as of the beginning of each reporting entity’s first annual reporting period that begins after November 15, 2009, for interim periods within that first annual reporting period and for interim and annual reporting periods thereafter. The Company does not believe the adoptions of SFAS 166 will have a material impact of its consolidated financial statements.</w:t>
      </w:r>
    </w:p>
    <w:p>
      <w:pPr>
        <w:spacing w:after="0" w:line="120"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In June 2009, the FASB issued SFAS No. 167, “Amendments to FASB Interpretation No. 46(R)”(“SFAS 167”). SFAS 167 amends the evaluation criteria to identify the primary beneficiary of a variable interest entity provided by FIN 46(R). Additionally, SFAS 167 requires ongoing reassessments of whether an enterprise is the primary beneficiary of the variable interest entity. SFAS 167 will be effective for interim and annual reporting periods beginning after November 15, 2009. The Company does not believe the adoption of SFAS 167 will have a material impact on its consolidated financial position, results of operations or cash flows.</w:t>
      </w:r>
    </w:p>
    <w:p>
      <w:pPr>
        <w:spacing w:after="0" w:line="143"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In June 2009, the FASB issued Statement of Financial Accounting Standards No. 168, the FASB Accounting Standard Codification and the Hierarchy of the Generally Accepted Accounting Principles (“SFAS 168”). SFAS 168 is to become the source of authoritative U.S. generally accepted accounting principles, or GAAP, recognized by the FASB to be applied by nongovernmental entities. SFAS 168 is effective for financial statements issued for interim and annual periods ending after September 15, 2009. The Company does not believe the adoption of SFAS 168 will have a material impact on its consolidated financial statements.</w:t>
      </w:r>
    </w:p>
    <w:p>
      <w:pPr>
        <w:sectPr>
          <w:pgSz w:w="11900" w:h="16838" w:orient="portrait"/>
          <w:cols w:equalWidth="0" w:num="1">
            <w:col w:w="11400"/>
          </w:cols>
          <w:pgMar w:left="240" w:top="280" w:right="25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January 31, 2009, filed with the Securities and Exchange Commission on March 23, 2009, and Part II, Item 1A of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Casual Male Retail Group, Inc. together with our subsidiaries is the largest specialty retailer of big &amp; tall men’s apparel with retail operations throughout the United States, Canada and London, England. We operate 467 Casual Male XL retail and outlet stores, 20 Rochester Big &amp; Tall stores and a direct to consumer business, which includes several catalogs and e-commerce sites.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We refer to our fiscal years which end on January 30, 2010 and January 31, 2009 as “fiscal 2009” and “fiscal 2008,” respectively.</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discussed include our retail stores that have been open for at least one full year together with our e-commerce and catalog sales. Stores that may have been remodeled, expanded or re-located during the period are also included in our determination of comparable sales. We include our direct businesses as part of our calculation of comparable sales because we are a multi-channel retailer, offering our customers convenient alternatives for their shopping. The method of calculating comparative store sales varies across the retail industry and, as a result, our calculation of comparable sales is not necessarily comparable to similarly titled measures reported by other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sales trend for the second quarter and first six months of fiscal 2009 continued to be negatively impacted by the weakened economy, resulting in decreased customer spending. However, despite the sales decrease of 13.4% and 11.4% for the second quarter and first six months of fiscal 2009, respectively, we continue to carefully manage our inventory levels, maintain healthy gross margins and successfully reduce our selling, general &amp; administrative (“SG&amp;A”) cost structure, resulting in an increase in profitability for the first six months of fiscal 2009 of $2.0 million, or $0.05 per diluted share, over the first six months of the prior year. The resulting net income for the second quarter of fiscal 2009 was $3.6 million, or $0.09 per diluted share, as compared to</w:t>
      </w:r>
    </w:p>
    <w:p>
      <w:pPr>
        <w:sectPr>
          <w:pgSz w:w="11900" w:h="16838" w:orient="portrait"/>
          <w:cols w:equalWidth="0" w:num="1">
            <w:col w:w="11400"/>
          </w:cols>
          <w:pgMar w:left="240" w:top="274" w:right="259" w:bottom="1440" w:gutter="0" w:footer="0" w:header="0"/>
        </w:sectPr>
      </w:pPr>
    </w:p>
    <w:bookmarkStart w:id="10" w:name="page11"/>
    <w:bookmarkEnd w:id="10"/>
    <w:p>
      <w:pPr>
        <w:ind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income of $1.9 million, or $0.05 per diluted share, for the second quarter of fiscal 2008. For the first six months of fiscal year 2009, net income was $4.0 million, or $0.10 per diluted share, as compared to $2.0 million, or $0.05 per diluted share, for the first six months of fiscal 2008.</w:t>
      </w:r>
    </w:p>
    <w:p>
      <w:pPr>
        <w:spacing w:after="0" w:line="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response to the continued economic uncertainty and in order to align our operating infrastructure to the expected decline in top-line sales, for fiscal 2009 we have reprioritized our business activities and functions. We have planned for cost savings of $30.0 million on an annualized basis, of which $26.0 million is expected to be realized in fiscal 2009, representing a 15% decrease from SG&amp;A levels from fiscal 2008. The cost reductions relate primarily to re-focusing our marketing spend on our most productive customer base, reductions in our corporate headcount, store and distribution productivity improvements, and renegotiations of numerous service and supply contracts. In total, these reductions will bring our 2009 SG&amp;A back to 2005 levels. Through the first six months of fiscal 2009, we have reduced our SG&amp;A costs by $14.1 million over the prior year period, $8.0 million of which occurred in the second quarter.</w:t>
      </w:r>
    </w:p>
    <w:p>
      <w:pPr>
        <w:spacing w:after="0" w:line="1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second quarter and the first six months of fiscal 2009: (1) our operating income improved by 15.6% and 7.5%, respectively, as the SG&amp;A reductions of 18.3% and 16.3%, respectively, more than offset our sales losses; (2) our pre-tax income improved by 31.3% and 36.2%, respectively, as a result of our SG&amp;A savings and our lower interest costs, as our average debt levels for the first six months dropped by 20% and average interest rates for the first six months dropped to 2.3% from 4.7%; (3) as a result these savings, coupled with a drop in our effective tax rate from 40% to 12%, our net income improved by 92.2% and 99.8%, respectively.</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addition, we continued to improve our balance sheet liquidity, with improvement in free cash flow of $6.0 million to $5.9 million for the first six months of 2009 as compared to $(0.1) million for the first six months of fiscal 2008. (See “Presentation of Non-GAAP Measure” below for calculation and reconciliation of non-GAAP free cash flow.) Our inventory decreased by $18.4 million, or 16.3%, at August 1, 2009 as compared to August 2, 2008. In addition, our total debt decreased by $13.9 million or 23.2% over the prior 12 months, while our availability under our Credit Facility is at $29.0 million at August 1, 2009.</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Although our primary focus has shifted to maintaining and strengthening our financial condition, we remain committed to our overall objective of catering to our target market and increasing our market share by:</w:t>
      </w:r>
    </w:p>
    <w:p>
      <w:pPr>
        <w:spacing w:after="0" w:line="51" w:lineRule="exact"/>
        <w:rPr>
          <w:sz w:val="20"/>
          <w:szCs w:val="20"/>
          <w:color w:val="auto"/>
        </w:rPr>
      </w:pPr>
    </w:p>
    <w:p>
      <w:pPr>
        <w:ind w:left="900" w:right="9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continuing to transform our cultural focus towards creating an enhanced customer experience by providing our store sales associates and management with better sales training, development tools and monitoring capabilities;</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improving upon our methodology of planning and allocating appropriate assortments to each store, considering the demographics and lifestyle tendencies of our customers in each store location;</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testing a hybrid store format, a combination Casual Male XL/Rochester Clothing store, to better capitalize upon the higher-end customer and to improve store productivity and overall profitability for the long term;</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building our primary brands, Casual Male XL and Rochester Clothing, on web sites in the European Union which were launched in the third quarter of fiscal 2008;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focusing on growing our market share within the smaller size component of the big &amp; tall target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2009 Outlook</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Although our profitability, free cash flow and liquidity are dependent upon consumer behavior and changes in customer traffic, we believe that our business is stable and that we have appropriately forecasted our sales trends and inventory levels for the balance of fiscal 2009.</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continue to expect sales for fiscal 2009 to be approximately 10%-12% less than fiscal 2008. We expect our merchandise margins to improve 275 to 325 basis points; however, as a result of the sales shortfall, our merchandise margin improvement will be partially offset by unfavorable leveraging of fixed occupancy costs by approximately 180 basis points. With our total expected cost savings in SG&amp;A of approximately $26.0 million, we anticipate that SG&amp;A for the year will approximate $151.0 million, or a decrease of 15% over the prior year. Free cash flow for fiscal 2009 is expected to approximate between $20.0-$25.0 million and overall debt levels are anticipated to decline to between $25.0-$30.0 million.</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Presentation of Non-GAAP Measure</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presentation of non-GAAP free cash flow is not a measure determined by generally accepted accounting principles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This quarter, we changed our method of calculating free cash flow to include, as a deduction, the use of cash for the acquisition of Dahle Big &amp; Tall stores in the second quarter of fiscal 2008. Accordingly, free cash flow for the six months ended August 2, 2008, which was previously defined as cash flow from operating activities less capital expenditures, was restated to include the cash used for the Dahle acquisition of $2.5 million.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1"/>
              </w:rPr>
              <w:t>For the six months ended:</w:t>
            </w:r>
          </w:p>
        </w:tc>
        <w:tc>
          <w:tcPr>
            <w:tcW w:w="3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Projected Cash Flow</w:t>
            </w:r>
          </w:p>
        </w:tc>
        <w:tc>
          <w:tcPr>
            <w:tcW w:w="0" w:type="dxa"/>
            <w:vAlign w:val="bottom"/>
          </w:tcPr>
          <w:p>
            <w:pPr>
              <w:spacing w:after="0"/>
              <w:rPr>
                <w:sz w:val="1"/>
                <w:szCs w:val="1"/>
                <w:color w:val="auto"/>
              </w:rPr>
            </w:pPr>
          </w:p>
        </w:tc>
      </w:tr>
      <w:tr>
        <w:trPr>
          <w:trHeight w:val="142"/>
        </w:trPr>
        <w:tc>
          <w:tcPr>
            <w:tcW w:w="688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August 1, 2009</w:t>
            </w: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August 2, 2008</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Fiscal 2009</w:t>
            </w: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 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2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Less: Acquisition of Dahle Big &amp; Tall stores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Free Cash Flow</w:t>
            </w: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7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(0.1)</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 – 25.0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the second quarter of fiscal 2009, total sales decreased by 13.4% to $98.3 million when compared to total sales of $113.5 million for the second quarter of fiscal 2008. Comparable sales for the second quarter decreased 13.9% when compared to the same period of the prior year. This decrease consisted of an 11.0% decrease in sales from our Casual Male business and a 25.6% decrease in our Rochester business. Similar to other high-end retailers, our Rochester division has been significantly impacted by the recession.</w:t>
      </w:r>
    </w:p>
    <w:p>
      <w:pPr>
        <w:spacing w:after="0" w:line="14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For the first six months of fiscal 2009, total sales decreased by 11.4% to $195.8 million when compared to $221.1 million for the first six months of fiscal 2008. The sales shortfall of $25.3 million was primarily driven by a decrease in our comparable sales of 12.3%, which includes a comparable sales decrease of 8.9% from our Casual Male business and a comparable sales decrease of 26.3% from our Rochester business.</w:t>
      </w:r>
    </w:p>
    <w:p>
      <w:pPr>
        <w:spacing w:after="0" w:line="10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comparable sales decreases for the second quarter and first six months of fiscal 2009 are consistent with the decrease in store traffic that we experienced. In addition to the traffic decrease, we also experienced a negative trend in our average transaction value for the second quarter and first six months of fiscal 2009 of (4%) and (7%), respectively, as compared to the prior year comparable periods. However, our sales conversion (the percentage of store guests who make a purchase) improved by approximately 4% for the second quarter and 7% for the first six months, overcoming the average transaction trend and maintaining sales productivity levels consistent with the prior year comparable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For the second quarter of fiscal 2009, our gross margin rate, inclusive of occupancy costs, was 44.6% as compared to a gross margin rate of 45.2% for the second quarter of fiscal 2008. Merchandise margins for the second quarter of fiscal 2009 improved by 200 basis points as compared to the second quarter of fiscal 2008. However, occupancy costs as a percentage of sales increased 260 basis points for the second quarter of fiscal 2009, when compared to the second quarter of fiscal 2008. Occupancy costs for the second quarter of</w:t>
      </w:r>
    </w:p>
    <w:p>
      <w:pPr>
        <w:sectPr>
          <w:pgSz w:w="11900" w:h="16838" w:orient="portrait"/>
          <w:cols w:equalWidth="0" w:num="1">
            <w:col w:w="11420"/>
          </w:cols>
          <w:pgMar w:left="240" w:top="280" w:right="239" w:bottom="1440" w:gutter="0" w:footer="0" w:header="0"/>
        </w:sectPr>
      </w:pPr>
    </w:p>
    <w:bookmarkStart w:id="12" w:name="page13"/>
    <w:bookmarkEnd w:id="12"/>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2009 include an accrual of $0.6 million, or 60 basis points, for estimated lease obligations associated with the closing of five stores which were combined during the quarter with existing store locations as part of our new Casual Male/Rochester hybrid store format. The remaining increase is the result of relatively fixed occupancy costs over a decreased sales base; actual occupancy costs in dollars increased 3.1% over the prior year quarter.</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the first six months of fiscal 2009, our gross margin rate was 43.6% as compared to 45.1% for the first six months of fiscal 2008. The decrease in gross margin rate was the result of a 70 basis point increase in merchandise margins offset by a 220 basis point increase in occupancy costs as a percentage of sales, including a charge of $0.6 million, or 30 basis points, for the accrual of lease obligations discussed above. Similar to the second quarter results, occupancy costs as a percentage of sales for the first six months of fiscal 2009 are unfavorable due to the relatively fixed cost over a decreased sales base. Our merchandise margin for the first six months of fiscal 2009 reflects the impact during the first quarter of fiscal 2009 of some residual fourth quarter 2008 clearance merchandise.</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stated above, we anticipate our merchandise margins for fiscal 2009 to increase by 275 to 325 basis points over fiscal 2008, partially offset by unfavorable deleveraging of fixed occupancy costs by approximately 180 basis points.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SG&amp;A expenses for the second quarter of fiscal 2009 were 36.1% of sales as compared to 38.3% for the second quarter of fiscal 2008. On a dollar basis, SG&amp;A expenses decreased $8.0 million, or 18.3%, for the second quarter of fiscal 2009 as compared to the second quarter of fiscal 2008.</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first six months of fiscal 2009, SG&amp;A expenses were 37.1% of sales as compared to 39.3% for the first six months of fiscal 2008. On a dollar basis, SG&amp;A expenses decreased $14.1 million, or 16.3%, for the first six months of fiscal 2009 as compared to the first six months of fiscal 2008. Approximately half of the savings in the first six months were as a result of our revised marketing objectives, which have been refined to focus on our most productive customer base. The remainder of the savings resulted from our cost reduction efforts throughout our organization, including corporate overhead, distribution and field productivity improvements and staff reductions.</w:t>
      </w:r>
    </w:p>
    <w:p>
      <w:pPr>
        <w:spacing w:after="0" w:line="14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With the weakness in sales continuing this quarter, strong expense control has been a significant priority for us and will be for the remainder of the fiscal year. We remain committed to managing our SG&amp;A costs, while continuing to invest in our marketing campaigns and growing our direct businesses. As mentioned above, we expect to reduce our annual SG&amp;A expenses for fiscal 2009 by 15% to $151.0 million, or $26.0 million less than fiscal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Net interest expense was $0.3 million for the second quarter of fiscal 2009 as compared to $0.7 million for the second quarter of fiscal 2008. For the first six months of fiscal 2009, net interest expense was $0.6 million as compared to $1.6 million for the corresponding period of the prior year. The reduction in interest costs for the second quarter and first six months of fiscal 2009 as compared to the prior year was due to an overall reduction of 23.2% in total debt as of the end of the second quarter as well as favorable interest rates on our credit facility. The average interest rate on our average borrowings for the first six months of fiscal 2009 was approximately 2.3% compared to approximately 4.7% during the first six months of fiscal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At August 1, 2009, our total deferred tax assets were approximately $57.9 million, with a corresponding valuation allowance of $57.9 million. These tax assets principally relate to federal net operating loss (“NOL”) carryforwards that expire through 2028.</w:t>
      </w:r>
    </w:p>
    <w:p>
      <w:pPr>
        <w:spacing w:after="0" w:line="132"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The effect of the weakening economy on our retail business, especially in fiscal 2008, has had a significant impact upon our revenue and profitability. Further, the conditions of the economy also negatively impacted our market value as a result of the deterioration of the capital markets and resulted in substantial impairments in fiscal 2008. Accordingly, due to our cumulative operating losses as well as our uncertainty regarding the economy and our ability to generate future taxable income to realize all of our deferred tax assets, in the fourth quarter of fiscal 2008, we established a valuation allowance against our deferred tax assets.</w:t>
      </w:r>
    </w:p>
    <w:p>
      <w:pPr>
        <w:sectPr>
          <w:pgSz w:w="11900" w:h="16838" w:orient="portrait"/>
          <w:cols w:equalWidth="0" w:num="1">
            <w:col w:w="11420"/>
          </w:cols>
          <w:pgMar w:left="240" w:top="280" w:right="239" w:bottom="144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effective tax rate for the second quarter and first six months of fiscal 2009 has been reduced from the statutory rate due to the utilization of fully reserved NOL carryforwards. This benefit resulted in a reduction in income tax provision of approximately $1.3 million, or $0.03 per diluted share, for the first six months of fiscal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second quarter of fiscal 2009, net income was $3.6 million, or $0.09 per diluted share, as compared to $1.9 million, or $0.05 per diluted share, for the second quarter of fiscal 2008. For the first six months of fiscal 2009, we had net income of $4.0 million, or $0.10 per diluted share, as compared to net income of $2.0 million, or $0.05 per diluted share, for the first six months of fiscal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August 1, 2009, total inventory was $94.3 million compared to $98.6 million at January 31, 2009 and $112.7 million at August 2, 2008.</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Inventory at the end of the second quarter of fiscal 2009 decreased $18.4 million, or 16.3%, as compared to August 2, 2008. Similar to the end of fiscal 2008, we are continuing to make a concerted effort to manage our inventory levels during this economic recession.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primary cash needs are for working capital (essentially inventory requirements) and capital expenditures. As discussed below, our capital expenditure program for fiscal 2009 is $5.0 million and is considerably less than in prior years. For fiscal 2009, we have no plans for new store growth and will only pursue those capital projects which we deem imperative to our business and to promote improved customer service.</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current retail environment has been impacted by the recent volatility in the financial markets and the uncertainty in the economy, all of which could result in unanticipated adverse effects on our business. However, we currently believe that our existing cash generated by operations together with our availability under our credit facility will be sufficient within current forecasts for us to meet our foreseeable liquidity requirements. In determining future liquidity and cash flow for fiscal 2009, we factored in potential decreases in sales for fiscal 2009 of 10%-12%. We anticipate that we will be able to generate free cash flow of approximately $20.0-25.0 million in fiscal 2009 despite a lower sales base. For the first six months of fiscal 2009, free cash flow improved $6.0 million to $5.9 million from $(0.1) million for the first six months of fiscal 2008. See “Presentation of Non-GAAP Measures” above regarding non-GAAP free cash flow.</w:t>
      </w:r>
    </w:p>
    <w:p>
      <w:pPr>
        <w:spacing w:after="0" w:line="12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For the first six months of fiscal 2009, cash provided by operating activities was $8.1 million as compared to $9.2 million for the corresponding period of the prior year. The slight decrease in cash flows from operations was primarily due to the timing of working capital accounts, primarily related to accrued expenses.</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cash flow from operations, our other primary source of working capital is our Credit Facility which has a total commitment of $110.0 million, although the amount that can be borrowed is limited to the borrowing base as defined by the Credit Facility, which is comprised primarily of the liquidation value of our inventory. The maturity date of the Credit Facility is October 29, 2011. At August 1, 2009, our borrowing base under our Credit Facility was $65.7 million. Borrowings under the Credit Facility bear interest at variable rates based on Bank of America’s prime rate or the London Interbank Offering Rate (“LIBOR”) and vary depending on our levels of excess availability. Our Credit Facility is described in more detail in Note 2 to the Notes to the Consolidated Financial Statements.</w:t>
      </w:r>
    </w:p>
    <w:p>
      <w:pPr>
        <w:sectPr>
          <w:pgSz w:w="11900" w:h="16838" w:orient="portrait"/>
          <w:cols w:equalWidth="0" w:num="1">
            <w:col w:w="11400"/>
          </w:cols>
          <w:pgMar w:left="240" w:top="280" w:right="259" w:bottom="1440" w:gutter="0" w:footer="0" w:header="0"/>
        </w:sectPr>
      </w:pPr>
    </w:p>
    <w:bookmarkStart w:id="14" w:name="page15"/>
    <w:bookmarkEnd w:id="14"/>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had outstanding borrowings under the Credit Facility at August 1, 2009 of $35.9 million. Outstanding standby letters of credit were $2.3 million and outstanding documentary letters of credit were $2.5 million. Average monthly borrowings outstanding under this facility during the first six months of fiscal 2009 were approximately $42.1 million, resulting in an average unused excess availability of approximately $27.6 million. Unused excess availability at August 1, 2009 was $29.0 million. Our obligations under the Credit Facility are secured by a lien on all of our assets.</w:t>
      </w:r>
    </w:p>
    <w:p>
      <w:pPr>
        <w:spacing w:after="0" w:line="1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 August 1, 2009, we have reduced our total debt, including our long-term debt, by $13.9 million, or 23.2%, to $45.9 million from $59.8 million at August 2, 2008.</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also have an effective shelf registration statement on file with the Securities and Exchange Commission (“SEC”) allowing us to sell up to $100 million of our securities, although the amount available at any given time may be limited by SEC regulations. We believe it is prudent to maintain shelf registration capacity in order to facilitate future capital raising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August 1, 2009 and August 2, 2008,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Store Concept</w:t>
            </w:r>
          </w:p>
        </w:tc>
        <w:tc>
          <w:tcPr>
            <w:tcW w:w="3280" w:type="dxa"/>
            <w:vAlign w:val="bottom"/>
            <w:gridSpan w:val="4"/>
          </w:tcPr>
          <w:p>
            <w:pPr>
              <w:ind w:left="780"/>
              <w:spacing w:after="0"/>
              <w:rPr>
                <w:sz w:val="20"/>
                <w:szCs w:val="20"/>
                <w:color w:val="auto"/>
              </w:rPr>
            </w:pPr>
            <w:r>
              <w:rPr>
                <w:rFonts w:ascii="Arial" w:cs="Arial" w:eastAsia="Arial" w:hAnsi="Arial"/>
                <w:sz w:val="14"/>
                <w:szCs w:val="14"/>
                <w:b w:val="1"/>
                <w:bCs w:val="1"/>
                <w:color w:val="auto"/>
              </w:rPr>
              <w:t>At August 1, 2009</w:t>
            </w:r>
          </w:p>
        </w:tc>
        <w:tc>
          <w:tcPr>
            <w:tcW w:w="2620" w:type="dxa"/>
            <w:vAlign w:val="bottom"/>
            <w:gridSpan w:val="4"/>
          </w:tcPr>
          <w:p>
            <w:pPr>
              <w:ind w:left="780"/>
              <w:spacing w:after="0"/>
              <w:rPr>
                <w:sz w:val="20"/>
                <w:szCs w:val="20"/>
                <w:color w:val="auto"/>
              </w:rPr>
            </w:pPr>
            <w:r>
              <w:rPr>
                <w:rFonts w:ascii="Arial" w:cs="Arial" w:eastAsia="Arial" w:hAnsi="Arial"/>
                <w:sz w:val="14"/>
                <w:szCs w:val="14"/>
                <w:b w:val="1"/>
                <w:bCs w:val="1"/>
                <w:color w:val="auto"/>
              </w:rPr>
              <w:t>At August 2, 2008</w:t>
            </w:r>
          </w:p>
        </w:tc>
        <w:tc>
          <w:tcPr>
            <w:tcW w:w="0" w:type="dxa"/>
            <w:vAlign w:val="bottom"/>
          </w:tcPr>
          <w:p>
            <w:pPr>
              <w:spacing w:after="0"/>
              <w:rPr>
                <w:sz w:val="1"/>
                <w:szCs w:val="1"/>
                <w:color w:val="auto"/>
              </w:rPr>
            </w:pPr>
          </w:p>
        </w:tc>
      </w:tr>
      <w:tr>
        <w:trPr>
          <w:trHeight w:val="142"/>
        </w:trPr>
        <w:tc>
          <w:tcPr>
            <w:tcW w:w="5540" w:type="dxa"/>
            <w:vAlign w:val="bottom"/>
            <w:gridSpan w:val="3"/>
            <w:vMerge w:val="continue"/>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68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85"/>
              </w:rPr>
              <w:t>(square footage</w:t>
            </w:r>
          </w:p>
        </w:tc>
        <w:tc>
          <w:tcPr>
            <w:tcW w:w="466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10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1,668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Rochester Big &amp; Tall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Total cash outlays for capital expenditures for the first six months of fiscal 2009 were $2.2 million as compared to $6.8 million for the first six months of fiscal 2008.</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capital expenditures for fiscal 2009 are expected to approximate $5.0 million, which we believe to be an adequate level of expenditures to maintain our infrastructure, the condition of our stores, conduct certain necessary real estate relocations and advance our technology projects for further productivity enhancements. Our capital projects will be limited to those that we believe will provide a substantial financial benefit, such as our inventory integration project. With the exception of $0.5 million for the conversion and development of five hybrid Rochester/Casual Male XL stores, we do not plan on opening any new store locations during fiscal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since January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1"/>
              </w:rPr>
              <w:t>Rochester</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Casual Male</w:t>
            </w:r>
          </w:p>
        </w:tc>
        <w:tc>
          <w:tcPr>
            <w:tcW w:w="5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Big &amp;Tall</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 stores</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At January 31, 2009</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New outlet stores</w:t>
            </w: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New retail stores (1)</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Closed stores (1)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At August 1, 2009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5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r>
      <w:tr>
        <w:trPr>
          <w:trHeight w:val="221"/>
        </w:trPr>
        <w:tc>
          <w:tcPr>
            <w:tcW w:w="8240" w:type="dxa"/>
            <w:vAlign w:val="bottom"/>
            <w:gridSpan w:val="2"/>
          </w:tcPr>
          <w:p>
            <w:pPr>
              <w:spacing w:after="0"/>
              <w:rPr>
                <w:sz w:val="20"/>
                <w:szCs w:val="20"/>
                <w:color w:val="auto"/>
              </w:rPr>
            </w:pPr>
            <w:r>
              <w:rPr>
                <w:rFonts w:ascii="Arial" w:cs="Arial" w:eastAsia="Arial" w:hAnsi="Arial"/>
                <w:sz w:val="18"/>
                <w:szCs w:val="18"/>
                <w:color w:val="auto"/>
              </w:rPr>
              <w:t>Relocations</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right="14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second quarter of fiscal 2009, we converted one of our Rochester Clothing stores to a Casual Male XL store. Also during the second quarter of fiscal 2009, we closed five of our Rochester Clothing store locations in connection with the conversion of five of our existing Casual Male XL stores into our new hybrid Rochester/Casual Male XL store format.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31, 2009 filed with the SEC on March 23, 2009.</w:t>
      </w:r>
    </w:p>
    <w:p>
      <w:pPr>
        <w:sectPr>
          <w:pgSz w:w="11900" w:h="16838" w:orient="portrait"/>
          <w:cols w:equalWidth="0" w:num="1">
            <w:col w:w="11420"/>
          </w:cols>
          <w:pgMar w:left="240" w:top="280" w:right="239" w:bottom="1440" w:gutter="0" w:footer="0" w:header="0"/>
        </w:sectPr>
      </w:pPr>
    </w:p>
    <w:bookmarkStart w:id="15" w:name="page16"/>
    <w:bookmarkEnd w:id="1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2011, bear interest at variable rates based on Bank of America’s prime rate or LIBOR. At August 1, 2009, the interest rate on our prime based borrowings was 3.25%. Approximately $30.6 million of our outstanding borrowings were in LIBOR contracts with interest rates ranging from 1.54% to 3.05%. Based upon a sensitivity analysis as of August 1, 2009, assuming average outstanding borrowing during the first six months of fiscal 2009 of $42.1 million, a 50 basis point increase in interest rates would have resulted in a potential increase in interest expense of approximately $211,000 on an annualized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August 1, 2009,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August 1, 2009.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August 1, 2009, our disclosure controls and procedures were effective.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August 1, 2009 that has materially affected, or is reasonably likely to materially affect, our internal control over financial reporting.</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1040" w:right="100"/>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ectPr>
          <w:pgSz w:w="11900" w:h="16838" w:orient="portrait"/>
          <w:cols w:equalWidth="0" w:num="1">
            <w:col w:w="11400"/>
          </w:cols>
          <w:pgMar w:left="240" w:top="274"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130" w:lineRule="exact"/>
        <w:rPr>
          <w:sz w:val="20"/>
          <w:szCs w:val="20"/>
          <w:color w:val="auto"/>
        </w:rPr>
      </w:pPr>
    </w:p>
    <w:p>
      <w:pPr>
        <w:sectPr>
          <w:pgSz w:w="11900" w:h="16838" w:orient="portrait"/>
          <w:cols w:equalWidth="0" w:num="2">
            <w:col w:w="660" w:space="380"/>
            <w:col w:w="10360"/>
          </w:cols>
          <w:pgMar w:left="240" w:top="274" w:right="259" w:bottom="1440" w:gutter="0" w:footer="0" w:header="0"/>
          <w:type w:val="continuous"/>
        </w:sectPr>
      </w:pPr>
    </w:p>
    <w:p>
      <w:pPr>
        <w:ind w:left="1040" w:right="14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January 31, 2009 filed with the SEC on March 23, 2009.</w:t>
      </w:r>
    </w:p>
    <w:p>
      <w:pPr>
        <w:sectPr>
          <w:pgSz w:w="11900" w:h="16838" w:orient="portrait"/>
          <w:cols w:equalWidth="0" w:num="1">
            <w:col w:w="11400"/>
          </w:cols>
          <w:pgMar w:left="240" w:top="274" w:right="25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130" w:lineRule="exact"/>
        <w:rPr>
          <w:sz w:val="20"/>
          <w:szCs w:val="20"/>
          <w:color w:val="auto"/>
        </w:rPr>
      </w:pPr>
    </w:p>
    <w:p>
      <w:pPr>
        <w:sectPr>
          <w:pgSz w:w="11900" w:h="16838" w:orient="portrait"/>
          <w:cols w:equalWidth="0" w:num="2">
            <w:col w:w="540" w:space="500"/>
            <w:col w:w="10360"/>
          </w:cols>
          <w:pgMar w:left="240" w:top="274" w:right="25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00"/>
          </w:cols>
          <w:pgMar w:left="240" w:top="274" w:right="2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30" w:lineRule="exact"/>
        <w:rPr>
          <w:sz w:val="20"/>
          <w:szCs w:val="20"/>
          <w:color w:val="auto"/>
        </w:rPr>
      </w:pPr>
    </w:p>
    <w:p>
      <w:pPr>
        <w:sectPr>
          <w:pgSz w:w="11900" w:h="16838" w:orient="portrait"/>
          <w:cols w:equalWidth="0" w:num="2">
            <w:col w:w="540" w:space="500"/>
            <w:col w:w="10360"/>
          </w:cols>
          <w:pgMar w:left="240" w:top="274" w:right="25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00"/>
          </w:cols>
          <w:pgMar w:left="240" w:top="274" w:right="2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Submission of Matters to a Vote of Security Holders.</w:t>
      </w:r>
    </w:p>
    <w:p>
      <w:pPr>
        <w:spacing w:after="0" w:line="130" w:lineRule="exact"/>
        <w:rPr>
          <w:sz w:val="20"/>
          <w:szCs w:val="20"/>
          <w:color w:val="auto"/>
        </w:rPr>
      </w:pPr>
    </w:p>
    <w:p>
      <w:pPr>
        <w:sectPr>
          <w:pgSz w:w="11900" w:h="16838" w:orient="portrait"/>
          <w:cols w:equalWidth="0" w:num="2">
            <w:col w:w="540" w:space="500"/>
            <w:col w:w="10360"/>
          </w:cols>
          <w:pgMar w:left="240" w:top="274" w:right="25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00"/>
          </w:cols>
          <w:pgMar w:left="240" w:top="274" w:right="2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10360"/>
          </w:cols>
          <w:pgMar w:left="240" w:top="274" w:right="25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00"/>
          </w:cols>
          <w:pgMar w:left="240" w:top="274" w:right="2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130" w:lineRule="exact"/>
        <w:rPr>
          <w:sz w:val="20"/>
          <w:szCs w:val="20"/>
          <w:color w:val="auto"/>
        </w:rPr>
      </w:pPr>
    </w:p>
    <w:p>
      <w:pPr>
        <w:sectPr>
          <w:pgSz w:w="11900" w:h="16838" w:orient="portrait"/>
          <w:cols w:equalWidth="0" w:num="2">
            <w:col w:w="540" w:space="500"/>
            <w:col w:w="10360"/>
          </w:cols>
          <w:pgMar w:left="240" w:top="274" w:right="259" w:bottom="1440" w:gutter="0" w:footer="0" w:header="0"/>
          <w:type w:val="continuous"/>
        </w:sectPr>
      </w:pPr>
    </w:p>
    <w:p>
      <w:pPr>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2002.</w:t>
      </w:r>
    </w:p>
    <w:p>
      <w:pPr>
        <w:spacing w:after="0" w:line="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ectPr>
          <w:pgSz w:w="11900" w:h="16838" w:orient="portrait"/>
          <w:cols w:equalWidth="0" w:num="1">
            <w:col w:w="11400"/>
          </w:cols>
          <w:pgMar w:left="240" w:top="274" w:right="259" w:bottom="1440" w:gutter="0" w:footer="0" w:header="0"/>
          <w:type w:val="continuous"/>
        </w:sectPr>
      </w:pPr>
    </w:p>
    <w:bookmarkStart w:id="17" w:name="page18"/>
    <w:bookmarkEnd w:id="17"/>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August 25, 2009</w:t>
      </w:r>
      <w:r>
        <w:rPr>
          <w:sz w:val="20"/>
          <w:szCs w:val="20"/>
          <w:color w:val="auto"/>
        </w:rPr>
        <w:tab/>
      </w:r>
      <w:r>
        <w:rPr>
          <w:rFonts w:ascii="Arial" w:cs="Arial" w:eastAsia="Arial" w:hAnsi="Arial"/>
          <w:sz w:val="16"/>
          <w:szCs w:val="16"/>
          <w:color w:val="auto"/>
        </w:rPr>
        <w:t>By:  /s/ SHERI 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Sheri A. Knight</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of Finance and Corporate Controller</w:t>
      </w:r>
    </w:p>
    <w:p>
      <w:pPr>
        <w:sectPr>
          <w:pgSz w:w="11900" w:h="16838" w:orient="portrait"/>
          <w:cols w:equalWidth="0" w:num="1">
            <w:col w:w="10540"/>
          </w:cols>
          <w:pgMar w:left="240" w:top="274" w:right="11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25,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25,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August 1, 2009,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Dated: August 25, 2009</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firstLine="685"/>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August 1, 2009,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Dated: August 25, 2009</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firstLine="685"/>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2019-12-10T07:05:42Z</dcterms:created>
  <dcterms:modified xsi:type="dcterms:W3CDTF">2019-12-10T07:05:42Z</dcterms:modified>
</cp:coreProperties>
</file>