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2"/>
        </w:rPr>
      </w:pPr>
      <w:bookmarkStart w:id="0" w:name="dxlg-20240203.htm"/>
      <w:bookmarkStart w:id="1" w:name="ksdxlg20240203"/>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sz w:val="20"/>
        </w:rPr>
      </w:pPr>
      <w:r>
        <w:rPr>
          <w:rFonts w:ascii="Times New Roman" w:hAnsi="Times New Roman"/>
          <w:b/>
          <w:color w:val="000000"/>
          <w:sz w:val="20"/>
        </w:rPr>
        <w:t>For the fiscal year ended February 3, 2024</w:t>
      </w:r>
      <w:r>
        <w:rPr>
          <w:rFonts w:ascii="Times New Roman" w:hAnsi="Times New Roman"/>
          <w:color w:val="000000"/>
          <w:sz w:val="20"/>
        </w:rPr>
        <w:t xml:space="preserve"> </w:t>
      </w:r>
      <w:r>
        <w:rPr>
          <w:rFonts w:ascii="Times New Roman" w:hAnsi="Times New Roman"/>
          <w:b/>
          <w:color w:val="000000"/>
          <w:sz w:val="20"/>
        </w:rPr>
        <w:t>(Fiscal 2023)</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01-34219</w:t>
      </w:r>
    </w:p>
    <w:p>
      <w:pPr>
        <w:pStyle w:val="TextBody"/>
        <w:bidi w:val="0"/>
        <w:spacing w:before="80" w:after="283"/>
        <w:jc w:val="center"/>
        <w:rPr>
          <w:rFonts w:ascii="Times New Roman" w:hAnsi="Times New Roman"/>
          <w:sz w:val="20"/>
        </w:rPr>
      </w:pPr>
      <w:r>
        <w:rPr>
          <w:rFonts w:ascii="Times New Roman" w:hAnsi="Times New Roman"/>
          <w:b/>
          <w:color w:val="000000"/>
          <w:sz w:val="34"/>
        </w:rPr>
        <w:t>DESTINATION XL GROUP,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7281" w:type="dxa"/>
        <w:jc w:val="left"/>
        <w:tblInd w:w="0" w:type="dxa"/>
        <w:tblLayout w:type="fixed"/>
        <w:tblCellMar>
          <w:top w:w="28" w:type="dxa"/>
          <w:left w:w="28" w:type="dxa"/>
          <w:bottom w:w="28" w:type="dxa"/>
          <w:right w:w="28" w:type="dxa"/>
        </w:tblCellMar>
      </w:tblPr>
      <w:tblGrid>
        <w:gridCol w:w="4561"/>
        <w:gridCol w:w="109"/>
        <w:gridCol w:w="2611"/>
      </w:tblGrid>
      <w:tr>
        <w:trPr/>
        <w:tc>
          <w:tcPr>
            <w:tcW w:w="4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555 Turnpike Street, Canton, MA</w:t>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(781) 828-9300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013" w:type="dxa"/>
        <w:jc w:val="left"/>
        <w:tblInd w:w="0" w:type="dxa"/>
        <w:tblLayout w:type="fixed"/>
        <w:tblCellMar>
          <w:top w:w="28" w:type="dxa"/>
          <w:left w:w="28" w:type="dxa"/>
          <w:bottom w:w="28" w:type="dxa"/>
          <w:right w:w="28" w:type="dxa"/>
        </w:tblCellMar>
      </w:tblPr>
      <w:tblGrid>
        <w:gridCol w:w="3181"/>
        <w:gridCol w:w="151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Title of each class</w:t>
            </w:r>
          </w:p>
        </w:tc>
        <w:tc>
          <w:tcPr>
            <w:tcW w:w="15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Trading Symbols(s)</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DXLG</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283"/>
              <w:jc w:val="center"/>
              <w:rPr>
                <w:rFonts w:ascii="Times New Roman" w:hAnsi="Times New Roman"/>
                <w:sz w:val="20"/>
              </w:rPr>
            </w:pPr>
            <w:r>
              <w:rPr>
                <w:rFonts w:ascii="Times New Roman" w:hAnsi="Times New Roman"/>
                <w:b/>
                <w:color w:val="000000"/>
                <w:sz w:val="16"/>
              </w:rPr>
              <w:t>The Nasdaq</w:t>
            </w:r>
            <w:r>
              <w:rPr>
                <w:rFonts w:ascii="Times New Roman" w:hAnsi="Times New Roman"/>
                <w:color w:val="000000"/>
                <w:sz w:val="20"/>
              </w:rPr>
              <w:t> </w:t>
            </w:r>
            <w:r>
              <w:rPr>
                <w:rFonts w:ascii="Times New Roman" w:hAnsi="Times New Roman"/>
                <w:b/>
                <w:color w:val="000000"/>
                <w:sz w:val="16"/>
              </w:rPr>
              <w:t>Stock Market LLC</w:t>
            </w:r>
          </w:p>
        </w:tc>
      </w:tr>
    </w:tbl>
    <w:p>
      <w:pPr>
        <w:pStyle w:val="TextBody"/>
        <w:bidi w:val="0"/>
        <w:spacing w:before="80" w:after="283"/>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center"/>
              <w:rPr/>
            </w:pPr>
            <w:r>
              <w:rPr/>
              <w:t> </w:t>
            </w:r>
          </w:p>
        </w:tc>
      </w:tr>
    </w:tbl>
    <w:p>
      <w:pPr>
        <w:pStyle w:val="TextBody"/>
        <w:bidi w:val="0"/>
        <w:jc w:val="center"/>
        <w:rPr>
          <w:rFonts w:ascii="Times New Roman" w:hAnsi="Times New Roman"/>
          <w:sz w:val="20"/>
        </w:rPr>
      </w:pPr>
      <w:r>
        <w:rPr>
          <w:rFonts w:ascii="Times New Roman" w:hAnsi="Times New Roman"/>
          <w:b/>
          <w:color w:val="000000"/>
          <w:sz w:val="20"/>
        </w:rPr>
        <w:t>Securities registered pursuant to Section 12(g) of the Act:</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None.</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60"/>
        <w:jc w:val="both"/>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r>
        <w:rPr>
          <w:rFonts w:ascii="Times New Roman" w:hAnsi="Times New Roman"/>
          <w:color w:val="000000"/>
          <w:sz w:val="20"/>
        </w:rPr>
        <w:t xml:space="preserve"> </w:t>
      </w:r>
    </w:p>
    <w:tbl>
      <w:tblPr>
        <w:tblW w:w="4429" w:type="dxa"/>
        <w:jc w:val="left"/>
        <w:tblInd w:w="0" w:type="dxa"/>
        <w:tblLayout w:type="fixed"/>
        <w:tblCellMar>
          <w:top w:w="28" w:type="dxa"/>
          <w:left w:w="28" w:type="dxa"/>
          <w:bottom w:w="28" w:type="dxa"/>
          <w:right w:w="28" w:type="dxa"/>
        </w:tblCellMar>
      </w:tblPr>
      <w:tblGrid>
        <w:gridCol w:w="1666"/>
        <w:gridCol w:w="316"/>
        <w:gridCol w:w="208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Large accelerated filer</w:t>
            </w:r>
          </w:p>
        </w:tc>
        <w:tc>
          <w:tcPr>
            <w:tcW w:w="316" w:type="dxa"/>
            <w:tcBorders/>
            <w:vAlign w:val="center"/>
          </w:tcPr>
          <w:p>
            <w:pPr>
              <w:pStyle w:val="TableContents"/>
              <w:bidi w:val="0"/>
              <w:spacing w:before="0" w:after="283"/>
              <w:jc w:val="both"/>
              <w:rPr>
                <w:color w:val="000000"/>
              </w:rPr>
            </w:pPr>
            <w:r>
              <w:rPr>
                <w:color w:val="000000"/>
              </w:rPr>
              <w:t>☐</w:t>
            </w:r>
          </w:p>
        </w:tc>
        <w:tc>
          <w:tcPr>
            <w:tcW w:w="2086"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Accelerated filer</w:t>
            </w:r>
          </w:p>
        </w:tc>
        <w:tc>
          <w:tcPr>
            <w:tcW w:w="361" w:type="dxa"/>
            <w:tcBorders/>
            <w:vAlign w:val="center"/>
          </w:tcPr>
          <w:p>
            <w:pPr>
              <w:pStyle w:val="TableContents"/>
              <w:bidi w:val="0"/>
              <w:spacing w:before="0" w:after="283"/>
              <w:jc w:val="both"/>
              <w:rPr>
                <w:color w:val="000000"/>
              </w:rPr>
            </w:pPr>
            <w:r>
              <w:rPr>
                <w:color w:val="000000"/>
              </w:rPr>
              <w:t>☒</w:t>
            </w:r>
          </w:p>
        </w:tc>
      </w:tr>
      <w:tr>
        <w:trPr/>
        <w:tc>
          <w:tcPr>
            <w:tcW w:w="1666"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Non-accelerated filer</w:t>
            </w:r>
          </w:p>
        </w:tc>
        <w:tc>
          <w:tcPr>
            <w:tcW w:w="316" w:type="dxa"/>
            <w:tcBorders/>
            <w:vAlign w:val="center"/>
          </w:tcPr>
          <w:p>
            <w:pPr>
              <w:pStyle w:val="TableContents"/>
              <w:bidi w:val="0"/>
              <w:spacing w:before="0" w:after="283"/>
              <w:jc w:val="both"/>
              <w:rPr>
                <w:color w:val="000000"/>
              </w:rPr>
            </w:pPr>
            <w:r>
              <w:rPr>
                <w:color w:val="000000"/>
              </w:rPr>
              <w:t>☐</w:t>
            </w:r>
          </w:p>
        </w:tc>
        <w:tc>
          <w:tcPr>
            <w:tcW w:w="2086"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Smaller reporting company</w:t>
            </w:r>
          </w:p>
        </w:tc>
        <w:tc>
          <w:tcPr>
            <w:tcW w:w="361" w:type="dxa"/>
            <w:tcBorders/>
            <w:vAlign w:val="center"/>
          </w:tcPr>
          <w:p>
            <w:pPr>
              <w:pStyle w:val="TableContents"/>
              <w:bidi w:val="0"/>
              <w:spacing w:before="0" w:after="283"/>
              <w:jc w:val="both"/>
              <w:rPr>
                <w:color w:val="000000"/>
              </w:rPr>
            </w:pPr>
            <w:r>
              <w:rPr>
                <w:color w:val="000000"/>
              </w:rPr>
              <w:t>☐</w:t>
            </w:r>
          </w:p>
        </w:tc>
      </w:tr>
      <w:tr>
        <w:trPr/>
        <w:tc>
          <w:tcPr>
            <w:tcW w:w="1982" w:type="dxa"/>
            <w:gridSpan w:val="2"/>
            <w:tcBorders/>
            <w:vAlign w:val="center"/>
          </w:tcPr>
          <w:p>
            <w:pPr>
              <w:pStyle w:val="TableContents"/>
              <w:bidi w:val="0"/>
              <w:spacing w:before="0" w:after="283"/>
              <w:jc w:val="both"/>
              <w:rPr/>
            </w:pPr>
            <w:r>
              <w:rPr/>
              <w:t> </w:t>
            </w:r>
          </w:p>
        </w:tc>
        <w:tc>
          <w:tcPr>
            <w:tcW w:w="2086"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 xml:space="preserve">Emerging growth company </w:t>
            </w:r>
          </w:p>
        </w:tc>
        <w:tc>
          <w:tcPr>
            <w:tcW w:w="361" w:type="dxa"/>
            <w:tcBorders/>
            <w:vAlign w:val="center"/>
          </w:tcPr>
          <w:p>
            <w:pPr>
              <w:pStyle w:val="TableContents"/>
              <w:bidi w:val="0"/>
              <w:spacing w:before="0" w:after="283"/>
              <w:jc w:val="both"/>
              <w:rPr>
                <w:color w:val="000000"/>
              </w:rPr>
            </w:pPr>
            <w:r>
              <w:rPr>
                <w:color w:val="000000"/>
              </w:rPr>
              <w:t>☐</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As of July 28, 2023, the aggregate market value of the Common Stock held by non-affiliates of the registrant was approximately $268.3</w:t>
      </w:r>
      <w:r>
        <w:rPr>
          <w:rFonts w:ascii="Times New Roman" w:hAnsi="Times New Roman"/>
          <w:color w:val="000000"/>
          <w:sz w:val="20"/>
        </w:rPr>
        <w:t xml:space="preserve"> </w:t>
      </w:r>
      <w:r>
        <w:rPr>
          <w:rFonts w:ascii="Times New Roman" w:hAnsi="Times New Roman"/>
          <w:color w:val="000000"/>
          <w:sz w:val="18"/>
        </w:rPr>
        <w:t>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The registrant had 57,989,062</w:t>
      </w:r>
      <w:r>
        <w:rPr>
          <w:rFonts w:ascii="Times New Roman" w:hAnsi="Times New Roman"/>
          <w:color w:val="000000"/>
          <w:sz w:val="20"/>
        </w:rPr>
        <w:t xml:space="preserve"> </w:t>
      </w:r>
      <w:r>
        <w:rPr>
          <w:rFonts w:ascii="Times New Roman" w:hAnsi="Times New Roman"/>
          <w:color w:val="000000"/>
          <w:sz w:val="18"/>
        </w:rPr>
        <w:t>shares of Common Stock, $0.01 par value, outstanding as of March 15, 2024.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sz w:val="20"/>
        </w:rPr>
      </w:pPr>
      <w:r>
        <w:rPr>
          <w:rFonts w:ascii="Times New Roman" w:hAnsi="Times New Roman"/>
          <w:b/>
          <w:color w:val="000000"/>
          <w:sz w:val="18"/>
        </w:rPr>
        <w:t>DOCUMENTS INCORPORATED BY REFERENCE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color w:val="000000"/>
          <w:sz w:val="18"/>
        </w:rPr>
        <w:t>Portions of the Proxy Statement for the 2024 Annual Meeting of Stockholders are incorporated by reference into Part III.</w:t>
      </w:r>
      <w:r>
        <w:rPr>
          <w:rFonts w:ascii="Times New Roman" w:hAnsi="Times New Roman"/>
          <w:color w:val="000000"/>
          <w:sz w:val="20"/>
        </w:rPr>
        <w:t xml:space="preserve"> </w:t>
      </w:r>
    </w:p>
    <w:p>
      <w:pPr>
        <w:pStyle w:val="TextBody"/>
        <w:pBdr>
          <w:bottom w:val="double" w:sz="6" w:space="1" w:color="000000"/>
        </w:pBdr>
        <w:bidi w:val="0"/>
        <w:spacing w:before="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Index to Annual Report on Form 10-K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Year Ended February 3, 2024</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88"/>
        <w:gridCol w:w="146"/>
        <w:gridCol w:w="8613"/>
        <w:gridCol w:w="146"/>
        <w:gridCol w:w="512"/>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Cybersecurity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properties">
              <w:r>
                <w:rPr>
                  <w:rStyle w:val="InternetLink"/>
                  <w:rFonts w:ascii="Times New Roman" w:hAnsi="Times New Roman"/>
                  <w:color w:val="0000FF"/>
                  <w:sz w:val="20"/>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market_for_registrants_common_equity">
              <w:r>
                <w:rPr>
                  <w:rStyle w:val="InternetLink"/>
                  <w:rFonts w:ascii="Times New Roman" w:hAnsi="Times New Roman"/>
                  <w:color w:val="0000FF"/>
                  <w:sz w:val="20"/>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Reserved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managements_discussion">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financial_statements_and_supplementary">
              <w:r>
                <w:rPr>
                  <w:rStyle w:val="InternetLink"/>
                  <w:rFonts w:ascii="Times New Roman" w:hAnsi="Times New Roman"/>
                  <w:color w:val="0000FF"/>
                  <w:sz w:val="20"/>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hanges_in_and_disagreements">
              <w:r>
                <w:rPr>
                  <w:rStyle w:val="InternetLink"/>
                  <w:rFonts w:ascii="Times New Roman" w:hAnsi="Times New Roman"/>
                  <w:color w:val="0000FF"/>
                  <w:sz w:val="20"/>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directors_executive_officers_and">
              <w:r>
                <w:rPr>
                  <w:rStyle w:val="InternetLink"/>
                  <w:rFonts w:ascii="Times New Roman" w:hAnsi="Times New Roman"/>
                  <w:color w:val="0000FF"/>
                  <w:sz w:val="20"/>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
              <w:r>
                <w:rPr>
                  <w:rStyle w:val="InternetLink"/>
                  <w:rFonts w:ascii="Times New Roman" w:hAnsi="Times New Roman"/>
                  <w:color w:val="0000FF"/>
                  <w:sz w:val="20"/>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
              <w:r>
                <w:rPr>
                  <w:rStyle w:val="InternetLink"/>
                  <w:rFonts w:ascii="Times New Roman" w:hAnsi="Times New Roman"/>
                  <w:color w:val="0000FF"/>
                  <w:sz w:val="20"/>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principal_accounting_fees_and_services">
              <w:r>
                <w:rPr>
                  <w:rStyle w:val="InternetLink"/>
                  <w:rFonts w:ascii="Times New Roman" w:hAnsi="Times New Roman"/>
                  <w:color w:val="0000FF"/>
                  <w:sz w:val="20"/>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exhibits_financial_statement_schedules">
              <w:r>
                <w:rPr>
                  <w:rStyle w:val="InternetLink"/>
                  <w:rFonts w:ascii="Times New Roman" w:hAnsi="Times New Roman"/>
                  <w:color w:val="0000FF"/>
                  <w:sz w:val="20"/>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form_10k_summary">
              <w:r>
                <w:rPr>
                  <w:rStyle w:val="InternetLink"/>
                  <w:rFonts w:ascii="Times New Roman" w:hAnsi="Times New Roman"/>
                  <w:color w:val="0000FF"/>
                  <w:sz w:val="20"/>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our ability to grow market share, the size of the addressable big + tall market, the impact of our strategic growth initiatives, including our ability to build brand awareness, develop new stores and create and expand alliances and collaborations, our ability to grow our top line and maintain profitability, the expected change in gross margin rate in 2024, our expected capital expenditures in 2024, our expected marketing spend in 2024, expected store openings in 2024 and beyond, and our ability to meet our liquidity needs.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our ability to successfully implement our business strategy and grow our market share, including through improving brand awareness, increasing our digital presence and expanding existing and entering into new alliances and collaborations, and manage our store portfolio; loss or disruption in our operations and supply chain, including due to the ongoing conflict in the Middle East; labor costs and shortages; increases in certain raw material costs and freight costs; the impact of macroeconomic factors, such as inflation, the ongoing conflict in Ukraine, consumer confidence and high interest rates; as well as those risks and uncertainties set forth below under Item 1A, </w:t>
      </w:r>
      <w:r>
        <w:rPr>
          <w:rFonts w:ascii="Times New Roman" w:hAnsi="Times New Roman"/>
          <w:i/>
          <w:color w:val="000000"/>
          <w:sz w:val="20"/>
        </w:rPr>
        <w:t>Risk Factors</w:t>
      </w:r>
      <w:r>
        <w:rPr>
          <w:rFonts w:ascii="Times New Roman" w:hAnsi="Times New Roman"/>
          <w:color w:val="000000"/>
          <w:sz w:val="20"/>
        </w:rPr>
        <w:t>. Readers are encouraged to review these risks and uncertainties carefully.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pStyle w:val="TextBody"/>
        <w:bidi w:val="0"/>
        <w:spacing w:before="360" w:after="283"/>
        <w:jc w:val="left"/>
        <w:rPr>
          <w:rFonts w:ascii="Times New Roman" w:hAnsi="Times New Roman"/>
          <w:sz w:val="20"/>
        </w:rPr>
      </w:pPr>
      <w:bookmarkStart w:id="3" w:name="busines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Destination XL Group, Inc., together with its subsidiaries (the “Company”), is the leading specialty retailer of big &amp; tall men’s apparel with retail locations throughout the United States. We operate under the trade names of Destination XL</w:t>
      </w:r>
      <w:r>
        <w:rPr>
          <w:rFonts w:ascii="Times New Roman" w:hAnsi="Times New Roman"/>
          <w:color w:val="000000"/>
          <w:sz w:val="13"/>
        </w:rPr>
        <w:t>®</w:t>
      </w:r>
      <w:r>
        <w:rPr>
          <w:rFonts w:ascii="Times New Roman" w:hAnsi="Times New Roman"/>
          <w:color w:val="000000"/>
          <w:sz w:val="20"/>
        </w:rPr>
        <w:t>, DXL</w:t>
      </w:r>
      <w:r>
        <w:rPr>
          <w:rFonts w:ascii="Times New Roman" w:hAnsi="Times New Roman"/>
          <w:color w:val="000000"/>
          <w:sz w:val="13"/>
        </w:rPr>
        <w:t>®</w:t>
      </w:r>
      <w:r>
        <w:rPr>
          <w:rFonts w:ascii="Times New Roman" w:hAnsi="Times New Roman"/>
          <w:color w:val="000000"/>
          <w:sz w:val="20"/>
        </w:rPr>
        <w:t>, DXL Men’s Apparel, DXL outlets, Casual Male XL</w:t>
      </w:r>
      <w:r>
        <w:rPr>
          <w:rFonts w:ascii="Times New Roman" w:hAnsi="Times New Roman"/>
          <w:color w:val="000000"/>
          <w:sz w:val="13"/>
        </w:rPr>
        <w:t xml:space="preserve">® </w:t>
      </w:r>
      <w:r>
        <w:rPr>
          <w:rFonts w:ascii="Times New Roman" w:hAnsi="Times New Roman"/>
          <w:color w:val="000000"/>
          <w:sz w:val="20"/>
        </w:rPr>
        <w:t xml:space="preserve">and Casual Male XL outlets. At February 3, 2024, we operated 232 DXL retail stores, 15 DXL outlet stores, 17 Casual Male XL retail stores, 19 Casual Male XL outlet stores, and a digital business, including an e-commerce site at </w:t>
      </w:r>
      <w:r>
        <w:rPr>
          <w:rFonts w:ascii="Times New Roman" w:hAnsi="Times New Roman"/>
          <w:i/>
          <w:color w:val="000000"/>
          <w:sz w:val="20"/>
        </w:rPr>
        <w:t xml:space="preserve">www.dxl.com, </w:t>
      </w:r>
      <w:r>
        <w:rPr>
          <w:rFonts w:ascii="Times New Roman" w:hAnsi="Times New Roman"/>
          <w:color w:val="000000"/>
          <w:sz w:val="20"/>
        </w:rPr>
        <w:t xml:space="preserve">a mobile site </w:t>
      </w:r>
      <w:r>
        <w:rPr>
          <w:rFonts w:ascii="Times New Roman" w:hAnsi="Times New Roman"/>
          <w:i/>
          <w:color w:val="000000"/>
          <w:sz w:val="20"/>
        </w:rPr>
        <w:t>m.destinationXL.com</w:t>
      </w:r>
      <w:r>
        <w:rPr>
          <w:rFonts w:ascii="Times New Roman" w:hAnsi="Times New Roman"/>
          <w:color w:val="000000"/>
          <w:sz w:val="20"/>
        </w:rPr>
        <w:t xml:space="preserve"> and mobile app. Unless the context indicates otherwise, all references to “we,” “our,” “ours,” “us” and “the Company” refer to Destination XL Group, Inc. and our consolidated subsidiaries. We refer to our fiscal years ended February 3, 2024, January 28, 2023 and January 29, 2022 as “fiscal 2023,” “fiscal 2022” and “fiscal 2021,”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OUR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the big &amp; tall men’s clothing market as starting at a waist size of 38” and greater, as well as tops sized 1XL and greater. With the assistance of Coresight Research, we believe that the U.S. big &amp; tall men's clothing market is approximately $23 billion and is highly fragmented. Big + Tall is all we do. With our proprietary fit and extensive selection of exclusive brands, we believe that we can grow market share as an integrated commerce retailer able to target a broad market, attracting customers from various income, age and lifestyle segments, offering the underserved consumer the widest selection of sizes and styles. </w:t>
      </w:r>
    </w:p>
    <w:p>
      <w:pPr>
        <w:pStyle w:val="TextBody"/>
        <w:bidi w:val="0"/>
        <w:spacing w:before="360" w:after="283"/>
        <w:jc w:val="left"/>
        <w:rPr>
          <w:rFonts w:ascii="Times New Roman" w:hAnsi="Times New Roman"/>
          <w:sz w:val="20"/>
        </w:rPr>
      </w:pPr>
      <w:r>
        <w:rPr>
          <w:rFonts w:ascii="Times New Roman" w:hAnsi="Times New Roman"/>
          <w:b/>
          <w:i/>
          <w:color w:val="000000"/>
          <w:sz w:val="20"/>
        </w:rPr>
        <w:t>HISTORY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Company was incorporated in the State of Delaware in 1976 under the name "Kara Enterprises, Inc." and subsequently operated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as an integrated commerce retailer of big &amp; tall men’s clothing and shoes. Through our multiple brands, which include both national brands and our own brands,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What is unique about our business is our proprietary fit, our ability to manage an array of sizes and optimize our in-stock position throughout each season. Our best-selling pant has 58 size combinations and a unique specification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DXL retail stores, e-commerce site, dxl.com, and mobile app cater to all income demographics and offer our customers merchandise to fit a variety of lifestyles from casual to business, young to mature, in all price ranges and in all large sizes from XL and up. In addition, we also offer a selection of shoes in sizes 10W to 18W on our website at dxl.com. Our Casual Male XL retail stores primarily carry moderate-priced national brands and our own brands of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 </w:t>
      </w:r>
    </w:p>
    <w:p>
      <w:pPr>
        <w:pStyle w:val="TextBody"/>
        <w:bidi w:val="0"/>
        <w:spacing w:before="360" w:after="283"/>
        <w:jc w:val="left"/>
        <w:rPr>
          <w:rFonts w:ascii="Times New Roman" w:hAnsi="Times New Roman"/>
          <w:sz w:val="20"/>
        </w:rPr>
      </w:pPr>
      <w:r>
        <w:rPr>
          <w:rFonts w:ascii="Times New Roman" w:hAnsi="Times New Roman"/>
          <w:b/>
          <w:i/>
          <w:color w:val="000000"/>
          <w:sz w:val="20"/>
        </w:rPr>
        <w:t>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past five years, we have transformed our business, investing in our customer relationship capabilities, our data infrastructure and our data analytics capabilities. We have achieved a heightened level of operational excellence, recapitalized our balance sheet to provide a greater level of financial flexibility, made investments in our technical capabilities, and upgraded our leadership team. Since fiscal 2019, we have grown net sales by 10% and more than doubled our adjusted EBITDA margin rate. In addition, we believe strongly that there is a great opportunity for us to grow our market share. We believe that our addressable market is approximately $23 billion, yet based on our research our unaided brand awareness is 9% and our aided brand awareness is 28%. If we are to grow our revenue base and market share, our addressable market needs to know who we are, what we offer, how we are different from our competition and why they should shop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can change the growth trajectory of the Company through investments in brand marketing, new store development, a new and efficient eCommerce platform, and alliances/collaborations with other brands. We have spent the past year developing a deeper understanding of the big + tall consumer and we are now ready to execute on our long-range plan. We expect to fund these strategic initiatives with cash on hand. Accordingly, in fiscal 2024, our primary focus will be on the following four initiatives: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Marketing and Brand-Building:</w:t>
      </w:r>
      <w:r>
        <w:rPr>
          <w:color w:val="000000"/>
        </w:rPr>
        <w:t xml:space="preserve"> </w:t>
      </w:r>
      <w:r>
        <w:rPr>
          <w:rFonts w:ascii="Times New Roman" w:hAnsi="Times New Roman"/>
          <w:color w:val="000000"/>
          <w:sz w:val="20"/>
        </w:rPr>
        <w:t xml:space="preserve">We believe one of our greatest opportunities is to address our overall brand awareness levels. Over the past few years, we have transformed our brand position and differentiated ourselves in terms of experience, fit, and assortment. However, many of our target consumers simply do not know DXL. We now have the financial flexibility, informed consumer research, and the right messaging to invest in building our brand. For the past several years, our advertising-to-sales ratio has been between 5.0% to 6.0%. Our plan is to increase our advertising-to-sales ratio over the next few years, with an advertising-to-sales ratio for fiscal 2024 of approximately 7.0% to 7.5%. We have selected new creative and media agencies to develop, build, and execute a campaign that will create an emotional connection to the brand and drive brand awareness. We are planning a multi-channel campaign targeting an early summer 2024 multi-market test-launch. With favorable results, we plan to fund our marketing and brand building initiatives at greater levels over time.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Store Development</w:t>
      </w:r>
      <w:r>
        <w:rPr>
          <w:rFonts w:ascii="Times New Roman" w:hAnsi="Times New Roman"/>
          <w:color w:val="000000"/>
          <w:sz w:val="20"/>
        </w:rPr>
        <w:t>: As we have stated before, we believe there are approximately 50 net new store opportunities. New store development addresses another factor critical to our growth. While we have stores in every major metro market across the United States, there are voids in certain markets where big + tall consumers are not being served by a DXL. In our most recent research across 2,500 big + tall men, 44% self-reported that they do not shop with us because a store is not near them, and 35% self-reported that they do not shop with us because a store location is not convenient. This year we opened three DXL stores, our first store openings since 2019. We currently have plans to open an additional eight stores in fiscal 2024, with 15 new stores per year in fiscal 2025 through 2027. We also converted 11 Casual Male stores to DXL this year and expect to convert another five by the end of 2024. All new store and conversion investments are subject to rigorous ROIC hurdles that are informed by our prior experience.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New Website</w:t>
      </w:r>
      <w:r>
        <w:rPr>
          <w:rFonts w:ascii="Times New Roman" w:hAnsi="Times New Roman"/>
          <w:color w:val="000000"/>
          <w:sz w:val="20"/>
        </w:rPr>
        <w:t>: We are upgrading our website from our legacy infrastructure to a new, modern commerce platform, with various features and functionality launching in the second half of fiscal 2024. We believe this upgrade will provide immediate performance improvements and customer experience benefits by eliminating friction points, optimizing search capability, and enhancing speed and response times. The new platform is engineered by a leading eCommerce technology provider and will position us to respond faster and more effectively to make changes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Alliances/Collaborations</w:t>
      </w:r>
      <w:r>
        <w:rPr>
          <w:rFonts w:ascii="Times New Roman" w:hAnsi="Times New Roman"/>
          <w:color w:val="000000"/>
          <w:sz w:val="20"/>
        </w:rPr>
        <w:t xml:space="preserve">: We strongly believe that our "fit authority" is one of our greatest assets and that we can develop successful collaborations with other brands, who are interested in finding a cost-effective way to expand their offering to include big + tall men's apparel. In 2023, we launched UNTUCKit, Fit by DXL in an alliance with UNTUCKit, which is sold exclusively by DXL. In addition, we also added Hugo Boss and Faherty to our list of national brands, each with a level of merchandise exclusivity that cannot be found elsewhere. All three programs exceeded our initial expectations, with door expansion planned for all three in fiscal 2024. We believe our heritage of providing a world-class consumer shopping experience makes DXL an ideal partner for collaborations and alliances. We are in the final stages of an agreement with another retailer that will allow us to sell our product through a new retail distribution channel that is aligned with DXL's leading retail consumer experience.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these investments in marketing, stores, and other growth initiatives in fiscal 2024, we believe we can grow our top line and invest greater resources while maintaining a minimum acceptable level of profitability and free cash flow. </w:t>
      </w:r>
    </w:p>
    <w:p>
      <w:pPr>
        <w:pStyle w:val="TextBody"/>
        <w:bidi w:val="0"/>
        <w:spacing w:before="360" w:after="283"/>
        <w:jc w:val="left"/>
        <w:rPr>
          <w:rFonts w:ascii="Times New Roman" w:hAnsi="Times New Roman"/>
          <w:sz w:val="20"/>
        </w:rPr>
      </w:pPr>
      <w:r>
        <w:rPr>
          <w:rFonts w:ascii="Times New Roman" w:hAnsi="Times New Roman"/>
          <w:b/>
          <w:i/>
          <w:color w:val="000000"/>
          <w:sz w:val="20"/>
        </w:rPr>
        <w:t>MERCHANDISE</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offer our customers an extensive assortment of apparel consisting of both our own brands and over 100 well-known national brands, within our “good,” “better” and “best” price points. Regardless of our customers’ age, socioeconomic status, or lifestyle preference, we are able to assemble a wardrobe to fit their apparel needs. With over 5,000 styles available, we carry an extensive selection of tops in sizes up to 7XL and 7XLT with additional assortments up to 8XL, bottoms with waist sizes 38” to 70”, and shoes in sizes 10W to 18W.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What sets us apart from our competitors is our proprietary fit. We are different because our fit is different. Our merchandise is not just an extension of regular sizes. The fit is built from unique specifications for every size and style, with specific design features for the big and tall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stores are merchandised to showcase entire outfits by lifestyle, including traditional, active, modern, tailored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 The key item strategy is also fully integrated by lifestyle, allowing us to focus on merchandise presentation and offer our customers a compelling value proposition.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Merchandise assortments in our DXL stores are organized not only by lifestyle but, within each lifestyle, the assortments are shown in a “good,” “better” and “best” visual presentation. With the “best” merchandise assortments featured most prominently in the DXL store, our customers can visualize current fashion trends and select their wardrobes within their desired price points in a convenient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Big and tall is all we do and through our own brands and exclusivity with national brands, we estimate that more than 80% of our inventory assortment, in units, is not available elsewhere. Several of the national brands that we carry, in sizes 2XL and above, are sold exclusively by us in our stores and on our website and may otherwise only be available on the brand’s website, if at all. In addition to our exclusive brands, we also work with several other national brands to offer a unique, curated merchandise assortment, in sizes 2XL and above, that are exclusively sold in our stores and on our website and are not available from the brand’s own website. These offerings are a subset of the larger merchandise offering that we carry for these respective brands. The penetration of national brands in a specific DXL store can range from 39% to 80%, depending on several factors, but on average, approximately half of the assortment is branded apparel.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launched UNTUCKit, Fit by DXL in collaboration with UNTUCKit, sold exclusively by DXL. The launch was supported by a comprehensive marketing campaign on both DXL and UNTUCKit channels. The shirts are sold exclusively online with ‘try-on’ capsules in select physical stores. Based on the performance, we are expanding this program in fiscal 2024. We will continue to explore other strategic collaborations with other brands that are widely recognized and that could complement our curated assortment.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Value-Priced Apparel -“Good” Merchandise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value-oriented customers, we carry Champion, Lee, Wrangler and Reebok. In addition, we carry several value-priced private label lines: </w:t>
      </w:r>
    </w:p>
    <w:p>
      <w:pPr>
        <w:pStyle w:val="TextBody"/>
        <w:bidi w:val="0"/>
        <w:spacing w:before="120" w:after="283"/>
        <w:jc w:val="left"/>
        <w:rPr>
          <w:rFonts w:ascii="Times New Roman" w:hAnsi="Times New Roman"/>
          <w:sz w:val="20"/>
        </w:rPr>
      </w:pPr>
      <w:r>
        <w:rPr>
          <w:rFonts w:ascii="Times New Roman" w:hAnsi="Times New Roman"/>
          <w:i/>
          <w:color w:val="000000"/>
          <w:sz w:val="20"/>
        </w:rPr>
        <w:t>Harbor Bay</w:t>
      </w:r>
      <w:r>
        <w:rPr>
          <w:rFonts w:ascii="Times New Roman" w:hAnsi="Times New Roman"/>
          <w:i/>
          <w:color w:val="000000"/>
          <w:sz w:val="13"/>
        </w:rPr>
        <w:t>®</w:t>
      </w:r>
      <w:r>
        <w:rPr>
          <w:rFonts w:ascii="Times New Roman" w:hAnsi="Times New Roman"/>
          <w:color w:val="000000"/>
          <w:sz w:val="20"/>
        </w:rPr>
        <w:t xml:space="preserve"> was our first proprietary brand and it is a traditional line that continues to represent a significant portion of our business, specifically in terms of our core basic merchandise. </w:t>
      </w:r>
    </w:p>
    <w:p>
      <w:pPr>
        <w:pStyle w:val="TextBody"/>
        <w:bidi w:val="0"/>
        <w:spacing w:before="120" w:after="283"/>
        <w:jc w:val="left"/>
        <w:rPr>
          <w:rFonts w:ascii="Times New Roman" w:hAnsi="Times New Roman"/>
          <w:sz w:val="20"/>
        </w:rPr>
      </w:pPr>
      <w:r>
        <w:rPr>
          <w:rFonts w:ascii="Times New Roman" w:hAnsi="Times New Roman"/>
          <w:i/>
          <w:color w:val="000000"/>
          <w:sz w:val="20"/>
        </w:rPr>
        <w:t>Oak Hill</w:t>
      </w:r>
      <w:r>
        <w:rPr>
          <w:rFonts w:ascii="Times New Roman" w:hAnsi="Times New Roman"/>
          <w:i/>
          <w:color w:val="000000"/>
          <w:sz w:val="13"/>
        </w:rPr>
        <w:t>®</w:t>
      </w:r>
      <w:r>
        <w:rPr>
          <w:rFonts w:ascii="Times New Roman" w:hAnsi="Times New Roman"/>
          <w:color w:val="000000"/>
          <w:sz w:val="20"/>
        </w:rPr>
        <w:t xml:space="preserve"> is a premium line catering to those customers looking for slightly more style and quality than our </w:t>
      </w:r>
      <w:r>
        <w:rPr>
          <w:rFonts w:ascii="Times New Roman" w:hAnsi="Times New Roman"/>
          <w:i/>
          <w:color w:val="000000"/>
          <w:sz w:val="20"/>
        </w:rPr>
        <w:t>Harbor Bay</w:t>
      </w:r>
      <w:r>
        <w:rPr>
          <w:rFonts w:ascii="Times New Roman" w:hAnsi="Times New Roman"/>
          <w:color w:val="000000"/>
          <w:sz w:val="20"/>
        </w:rPr>
        <w:t xml:space="preserve"> line but still in a traditional lifestyle.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Synrgy </w:t>
      </w:r>
      <w:r>
        <w:rPr>
          <w:rFonts w:ascii="Times New Roman" w:hAnsi="Times New Roman"/>
          <w:color w:val="000000"/>
          <w:sz w:val="20"/>
        </w:rPr>
        <w:t xml:space="preserve">targets the customer looking for a contemporary/modern look. </w:t>
      </w:r>
    </w:p>
    <w:p>
      <w:pPr>
        <w:pStyle w:val="TextBody"/>
        <w:bidi w:val="0"/>
        <w:spacing w:before="120" w:after="283"/>
        <w:jc w:val="left"/>
        <w:rPr>
          <w:rFonts w:ascii="Times New Roman" w:hAnsi="Times New Roman"/>
          <w:sz w:val="20"/>
        </w:rPr>
      </w:pPr>
      <w:r>
        <w:rPr>
          <w:rFonts w:ascii="Times New Roman" w:hAnsi="Times New Roman"/>
          <w:i/>
          <w:color w:val="000000"/>
          <w:sz w:val="20"/>
        </w:rPr>
        <w:t>True Nation</w:t>
      </w:r>
      <w:r>
        <w:rPr>
          <w:rFonts w:ascii="Times New Roman" w:hAnsi="Times New Roman"/>
          <w:i/>
          <w:color w:val="000000"/>
          <w:sz w:val="13"/>
        </w:rPr>
        <w:t>®</w:t>
      </w:r>
      <w:r>
        <w:rPr>
          <w:rFonts w:ascii="Times New Roman" w:hAnsi="Times New Roman"/>
          <w:color w:val="000000"/>
          <w:sz w:val="20"/>
        </w:rPr>
        <w:t xml:space="preserve"> is a denim-inspired line consisting of vintage-screen t-shirts and wovens and is geared towards our younger customers.</w:t>
      </w:r>
    </w:p>
    <w:p>
      <w:pPr>
        <w:pStyle w:val="TextBody"/>
        <w:bidi w:val="0"/>
        <w:spacing w:before="120" w:after="283"/>
        <w:jc w:val="left"/>
        <w:rPr>
          <w:rFonts w:ascii="Times New Roman" w:hAnsi="Times New Roman"/>
          <w:sz w:val="20"/>
        </w:rPr>
      </w:pPr>
      <w:r>
        <w:rPr>
          <w:rFonts w:ascii="Times New Roman" w:hAnsi="Times New Roman"/>
          <w:i/>
          <w:color w:val="000000"/>
          <w:sz w:val="20"/>
        </w:rPr>
        <w:t>Society of One</w:t>
      </w:r>
      <w:r>
        <w:rPr>
          <w:rFonts w:ascii="Times New Roman" w:hAnsi="Times New Roman"/>
          <w:i/>
          <w:color w:val="000000"/>
          <w:sz w:val="13"/>
        </w:rPr>
        <w:t>®</w:t>
      </w:r>
      <w:r>
        <w:rPr>
          <w:rFonts w:ascii="Times New Roman" w:hAnsi="Times New Roman"/>
          <w:color w:val="000000"/>
          <w:sz w:val="20"/>
        </w:rPr>
        <w:t xml:space="preserve"> is an activewear brand that offers versatile styling options and is grounded by performance technology. </w:t>
      </w:r>
    </w:p>
    <w:p>
      <w:pPr>
        <w:pStyle w:val="TextBody"/>
        <w:bidi w:val="0"/>
        <w:spacing w:before="120" w:after="283"/>
        <w:jc w:val="left"/>
        <w:rPr>
          <w:rFonts w:ascii="Times New Roman" w:hAnsi="Times New Roman"/>
          <w:sz w:val="20"/>
        </w:rPr>
      </w:pPr>
      <w:r>
        <w:rPr>
          <w:rFonts w:ascii="Times New Roman" w:hAnsi="Times New Roman"/>
          <w:b/>
          <w:i/>
          <w:color w:val="000000"/>
          <w:sz w:val="20"/>
        </w:rPr>
        <w:t>Moderate-Priced Apparel -“Better” Merchandise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offer our customers an extensive selection of quality sportswear and dress clothing at moderate prices carrying well-known brands such as: Levi's</w:t>
      </w:r>
      <w:r>
        <w:rPr>
          <w:rFonts w:ascii="Times New Roman" w:hAnsi="Times New Roman"/>
          <w:color w:val="000000"/>
          <w:sz w:val="13"/>
        </w:rPr>
        <w:t>®</w:t>
      </w:r>
      <w:r>
        <w:rPr>
          <w:rFonts w:ascii="Times New Roman" w:hAnsi="Times New Roman"/>
          <w:color w:val="000000"/>
          <w:sz w:val="20"/>
        </w:rPr>
        <w:t>, Columbia, Carhartt</w:t>
      </w:r>
      <w:r>
        <w:rPr>
          <w:rFonts w:ascii="Times New Roman" w:hAnsi="Times New Roman"/>
          <w:color w:val="000000"/>
          <w:sz w:val="13"/>
        </w:rPr>
        <w:t>®</w:t>
      </w:r>
      <w:r>
        <w:rPr>
          <w:rFonts w:ascii="Times New Roman" w:hAnsi="Times New Roman"/>
          <w:color w:val="000000"/>
          <w:sz w:val="20"/>
        </w:rPr>
        <w:t>, and Jockey</w:t>
      </w:r>
      <w:r>
        <w:rPr>
          <w:rFonts w:ascii="Times New Roman" w:hAnsi="Times New Roman"/>
          <w:color w:val="000000"/>
          <w:sz w:val="13"/>
        </w:rPr>
        <w:t>®</w:t>
      </w:r>
      <w:r>
        <w:rPr>
          <w:rFonts w:ascii="Times New Roman" w:hAnsi="Times New Roman"/>
          <w:color w:val="000000"/>
          <w:sz w:val="20"/>
        </w:rPr>
        <w:t>. Our exclusive brands in this price range include O’Neill</w:t>
      </w:r>
      <w:r>
        <w:rPr>
          <w:rFonts w:ascii="Times New Roman" w:hAnsi="Times New Roman"/>
          <w:color w:val="000000"/>
          <w:sz w:val="13"/>
        </w:rPr>
        <w:t>®</w:t>
      </w:r>
      <w:r>
        <w:rPr>
          <w:rFonts w:ascii="Times New Roman" w:hAnsi="Times New Roman"/>
          <w:color w:val="000000"/>
          <w:sz w:val="20"/>
        </w:rPr>
        <w:t xml:space="preserve"> and Nautica</w:t>
      </w:r>
      <w:r>
        <w:rPr>
          <w:rFonts w:ascii="Times New Roman" w:hAnsi="Times New Roman"/>
          <w:color w:val="000000"/>
          <w:sz w:val="13"/>
        </w:rPr>
        <w:t>®</w:t>
      </w:r>
      <w:r>
        <w:rPr>
          <w:rFonts w:ascii="Times New Roman" w:hAnsi="Times New Roman"/>
          <w:color w:val="000000"/>
          <w:sz w:val="20"/>
        </w:rPr>
        <w:t>, Adidas Golf</w:t>
      </w:r>
      <w:r>
        <w:rPr>
          <w:rFonts w:ascii="Times New Roman" w:hAnsi="Times New Roman"/>
          <w:color w:val="000000"/>
          <w:sz w:val="13"/>
        </w:rPr>
        <w:t>®</w:t>
      </w:r>
      <w:r>
        <w:rPr>
          <w:rFonts w:ascii="Times New Roman" w:hAnsi="Times New Roman"/>
          <w:color w:val="000000"/>
          <w:sz w:val="20"/>
        </w:rPr>
        <w:t xml:space="preserve"> and vineyard vines</w:t>
      </w:r>
      <w:r>
        <w:rPr>
          <w:rFonts w:ascii="Times New Roman" w:hAnsi="Times New Roman"/>
          <w:color w:val="000000"/>
          <w:sz w:val="13"/>
        </w:rPr>
        <w:t>®</w:t>
      </w:r>
      <w:r>
        <w:rPr>
          <w:rFonts w:ascii="Times New Roman" w:hAnsi="Times New Roman"/>
          <w:color w:val="000000"/>
          <w:sz w:val="20"/>
        </w:rPr>
        <w:t>. Within our product assortment for Callaway</w:t>
      </w:r>
      <w:r>
        <w:rPr>
          <w:rFonts w:ascii="Times New Roman" w:hAnsi="Times New Roman"/>
          <w:color w:val="000000"/>
          <w:sz w:val="13"/>
        </w:rPr>
        <w:t>®</w:t>
      </w:r>
      <w:r>
        <w:rPr>
          <w:rFonts w:ascii="Times New Roman" w:hAnsi="Times New Roman"/>
          <w:color w:val="000000"/>
          <w:sz w:val="20"/>
        </w:rPr>
        <w:t>, Majestic and Tommy Bahama</w:t>
      </w:r>
      <w:r>
        <w:rPr>
          <w:rFonts w:ascii="Times New Roman" w:hAnsi="Times New Roman"/>
          <w:color w:val="000000"/>
          <w:sz w:val="13"/>
        </w:rPr>
        <w:t xml:space="preserve">® </w:t>
      </w:r>
      <w:r>
        <w:rPr>
          <w:rFonts w:ascii="Times New Roman" w:hAnsi="Times New Roman"/>
          <w:color w:val="000000"/>
          <w:sz w:val="20"/>
        </w:rPr>
        <w:t xml:space="preserve">we also offer exclusive styles specially curated for our customers. </w:t>
      </w:r>
    </w:p>
    <w:p>
      <w:pPr>
        <w:pStyle w:val="TextBody"/>
        <w:bidi w:val="0"/>
        <w:spacing w:before="120" w:after="283"/>
        <w:jc w:val="left"/>
        <w:rPr>
          <w:rFonts w:ascii="Times New Roman" w:hAnsi="Times New Roman"/>
          <w:sz w:val="20"/>
        </w:rPr>
      </w:pPr>
      <w:r>
        <w:rPr>
          <w:rFonts w:ascii="Times New Roman" w:hAnsi="Times New Roman"/>
          <w:b/>
          <w:i/>
          <w:color w:val="000000"/>
          <w:sz w:val="20"/>
        </w:rPr>
        <w:t>Higher-End Fashion Apparel -“Best” Merchandise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Within this higher-end price range, we carry a broad selection of quality apparel from well-known branded manufacturers, such as The North Face</w:t>
      </w:r>
      <w:r>
        <w:rPr>
          <w:rFonts w:ascii="Times New Roman" w:hAnsi="Times New Roman"/>
          <w:color w:val="000000"/>
          <w:sz w:val="13"/>
        </w:rPr>
        <w:t>®</w:t>
      </w:r>
      <w:r>
        <w:rPr>
          <w:rFonts w:ascii="Times New Roman" w:hAnsi="Times New Roman"/>
          <w:color w:val="000000"/>
          <w:sz w:val="20"/>
        </w:rPr>
        <w:t>, Polo Ralph Lauren</w:t>
      </w:r>
      <w:r>
        <w:rPr>
          <w:rFonts w:ascii="Times New Roman" w:hAnsi="Times New Roman"/>
          <w:color w:val="000000"/>
          <w:sz w:val="13"/>
        </w:rPr>
        <w:t>®</w:t>
      </w:r>
      <w:r>
        <w:rPr>
          <w:rFonts w:ascii="Times New Roman" w:hAnsi="Times New Roman"/>
          <w:color w:val="000000"/>
          <w:sz w:val="20"/>
        </w:rPr>
        <w:t>, Jack Victor</w:t>
      </w:r>
      <w:r>
        <w:rPr>
          <w:rFonts w:ascii="Times New Roman" w:hAnsi="Times New Roman"/>
          <w:color w:val="000000"/>
          <w:sz w:val="13"/>
        </w:rPr>
        <w:t>®</w:t>
      </w:r>
      <w:r>
        <w:rPr>
          <w:rFonts w:ascii="Times New Roman" w:hAnsi="Times New Roman"/>
          <w:color w:val="000000"/>
          <w:sz w:val="20"/>
        </w:rPr>
        <w:t>, Boss</w:t>
      </w:r>
      <w:r>
        <w:rPr>
          <w:rFonts w:ascii="Times New Roman" w:hAnsi="Times New Roman"/>
          <w:color w:val="000000"/>
          <w:sz w:val="13"/>
        </w:rPr>
        <w:t>®</w:t>
      </w:r>
      <w:r>
        <w:rPr>
          <w:rFonts w:ascii="Times New Roman" w:hAnsi="Times New Roman"/>
          <w:color w:val="000000"/>
          <w:sz w:val="20"/>
        </w:rPr>
        <w:t>, Faherty</w:t>
      </w:r>
      <w:r>
        <w:rPr>
          <w:rFonts w:ascii="Times New Roman" w:hAnsi="Times New Roman"/>
          <w:color w:val="000000"/>
          <w:sz w:val="13"/>
        </w:rPr>
        <w:t>®</w:t>
      </w:r>
      <w:r>
        <w:rPr>
          <w:rFonts w:ascii="Times New Roman" w:hAnsi="Times New Roman"/>
          <w:color w:val="000000"/>
          <w:sz w:val="20"/>
        </w:rPr>
        <w:t>, Original Penguin Golf</w:t>
      </w:r>
      <w:r>
        <w:rPr>
          <w:rFonts w:ascii="Times New Roman" w:hAnsi="Times New Roman"/>
          <w:color w:val="000000"/>
          <w:sz w:val="13"/>
        </w:rPr>
        <w:t>®</w:t>
      </w:r>
      <w:r>
        <w:rPr>
          <w:rFonts w:ascii="Times New Roman" w:hAnsi="Times New Roman"/>
          <w:color w:val="000000"/>
          <w:sz w:val="20"/>
        </w:rPr>
        <w:t>, Michael Kors</w:t>
      </w:r>
      <w:r>
        <w:rPr>
          <w:rFonts w:ascii="Times New Roman" w:hAnsi="Times New Roman"/>
          <w:color w:val="000000"/>
          <w:sz w:val="13"/>
        </w:rPr>
        <w:t>®</w:t>
      </w:r>
      <w:r>
        <w:rPr>
          <w:rFonts w:ascii="Times New Roman" w:hAnsi="Times New Roman"/>
          <w:color w:val="000000"/>
          <w:sz w:val="20"/>
        </w:rPr>
        <w:t>, and Tallia</w:t>
      </w:r>
      <w:r>
        <w:rPr>
          <w:rFonts w:ascii="Times New Roman" w:hAnsi="Times New Roman"/>
          <w:color w:val="000000"/>
          <w:sz w:val="13"/>
        </w:rPr>
        <w:t xml:space="preserve">®. </w:t>
      </w:r>
      <w:r>
        <w:rPr>
          <w:rFonts w:ascii="Times New Roman" w:hAnsi="Times New Roman"/>
          <w:color w:val="000000"/>
          <w:sz w:val="20"/>
        </w:rPr>
        <w:t>Our exclusive brands in this price range include Brooks Brothers</w:t>
      </w:r>
      <w:r>
        <w:rPr>
          <w:rFonts w:ascii="Times New Roman" w:hAnsi="Times New Roman"/>
          <w:color w:val="000000"/>
          <w:sz w:val="13"/>
        </w:rPr>
        <w:t>®</w:t>
      </w:r>
      <w:r>
        <w:rPr>
          <w:rFonts w:ascii="Times New Roman" w:hAnsi="Times New Roman"/>
          <w:color w:val="000000"/>
          <w:sz w:val="20"/>
        </w:rPr>
        <w:t>, JOE’S</w:t>
      </w:r>
      <w:r>
        <w:rPr>
          <w:rFonts w:ascii="Times New Roman" w:hAnsi="Times New Roman"/>
          <w:color w:val="000000"/>
          <w:sz w:val="13"/>
        </w:rPr>
        <w:t>®</w:t>
      </w:r>
      <w:r>
        <w:rPr>
          <w:rFonts w:ascii="Times New Roman" w:hAnsi="Times New Roman"/>
          <w:color w:val="000000"/>
          <w:sz w:val="20"/>
        </w:rPr>
        <w:t>Jeans, 7 for all Mankind</w:t>
      </w:r>
      <w:r>
        <w:rPr>
          <w:rFonts w:ascii="Times New Roman" w:hAnsi="Times New Roman"/>
          <w:color w:val="000000"/>
          <w:sz w:val="13"/>
        </w:rPr>
        <w:t xml:space="preserve">®, </w:t>
      </w:r>
      <w:r>
        <w:rPr>
          <w:rFonts w:ascii="Times New Roman" w:hAnsi="Times New Roman"/>
          <w:color w:val="000000"/>
          <w:sz w:val="20"/>
        </w:rPr>
        <w:t>Boss</w:t>
      </w:r>
      <w:r>
        <w:rPr>
          <w:rFonts w:ascii="Times New Roman" w:hAnsi="Times New Roman"/>
          <w:color w:val="000000"/>
          <w:sz w:val="13"/>
        </w:rPr>
        <w:t>®</w:t>
      </w:r>
      <w:r>
        <w:rPr>
          <w:rFonts w:ascii="Times New Roman" w:hAnsi="Times New Roman"/>
          <w:color w:val="000000"/>
          <w:sz w:val="20"/>
        </w:rPr>
        <w:t>, Faherty</w:t>
      </w:r>
      <w:r>
        <w:rPr>
          <w:rFonts w:ascii="Times New Roman" w:hAnsi="Times New Roman"/>
          <w:color w:val="000000"/>
          <w:sz w:val="13"/>
        </w:rPr>
        <w:t>®</w:t>
      </w:r>
      <w:r>
        <w:rPr>
          <w:rFonts w:ascii="Times New Roman" w:hAnsi="Times New Roman"/>
          <w:color w:val="000000"/>
          <w:sz w:val="20"/>
        </w:rPr>
        <w:t>, Original Penguin Golf</w:t>
      </w:r>
      <w:r>
        <w:rPr>
          <w:rFonts w:ascii="Times New Roman" w:hAnsi="Times New Roman"/>
          <w:color w:val="000000"/>
          <w:sz w:val="13"/>
        </w:rPr>
        <w:t>®</w:t>
      </w:r>
      <w:r>
        <w:rPr>
          <w:rFonts w:ascii="Times New Roman" w:hAnsi="Times New Roman"/>
          <w:color w:val="000000"/>
          <w:sz w:val="20"/>
        </w:rPr>
        <w:t xml:space="preserve"> and Robert Barakett</w:t>
      </w:r>
      <w:r>
        <w:rPr>
          <w:rFonts w:ascii="Times New Roman" w:hAnsi="Times New Roman"/>
          <w:color w:val="000000"/>
          <w:sz w:val="13"/>
        </w:rPr>
        <w:t>®</w:t>
      </w:r>
      <w:r>
        <w:rPr>
          <w:rFonts w:ascii="Times New Roman" w:hAnsi="Times New Roman"/>
          <w:color w:val="000000"/>
          <w:sz w:val="20"/>
        </w:rPr>
        <w:t>. Within our product assortment for Psycho Bunny</w:t>
      </w:r>
      <w:r>
        <w:rPr>
          <w:rFonts w:ascii="Times New Roman" w:hAnsi="Times New Roman"/>
          <w:color w:val="000000"/>
          <w:sz w:val="13"/>
        </w:rPr>
        <w:t>®</w:t>
      </w:r>
      <w:r>
        <w:rPr>
          <w:rFonts w:ascii="Times New Roman" w:hAnsi="Times New Roman"/>
          <w:color w:val="000000"/>
          <w:sz w:val="20"/>
        </w:rPr>
        <w:t>, Lucky and Robert Graham</w:t>
      </w:r>
      <w:r>
        <w:rPr>
          <w:rFonts w:ascii="Times New Roman" w:hAnsi="Times New Roman"/>
          <w:color w:val="000000"/>
          <w:sz w:val="13"/>
        </w:rPr>
        <w:t xml:space="preserve">® </w:t>
      </w:r>
      <w:r>
        <w:rPr>
          <w:rFonts w:ascii="Times New Roman" w:hAnsi="Times New Roman"/>
          <w:color w:val="000000"/>
          <w:sz w:val="20"/>
        </w:rPr>
        <w:t>we also offer exclusive styles specially curated for our customers. Polo Ralph Lauren builds one collection a quarter for our customers that is exclusive to DXL.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Shoes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DXL website offers an assortment of footwear, with a broad selection from casual to formal, in varying price points. We currently have a selection of more than 200 styles of shoes, ranging in sizes from 10W to 18W, including designer brands such as Cole Haan®, Timberland®, Sketchers®, New Balance®, Reebok® and Deerstags. </w:t>
      </w:r>
    </w:p>
    <w:p>
      <w:pPr>
        <w:pStyle w:val="TextBody"/>
        <w:bidi w:val="0"/>
        <w:spacing w:before="360" w:after="283"/>
        <w:jc w:val="left"/>
        <w:rPr>
          <w:rFonts w:ascii="Times New Roman" w:hAnsi="Times New Roman"/>
          <w:sz w:val="20"/>
        </w:rPr>
      </w:pPr>
      <w:r>
        <w:rPr>
          <w:rFonts w:ascii="Times New Roman" w:hAnsi="Times New Roman"/>
          <w:b/>
          <w:i/>
          <w:color w:val="000000"/>
          <w:sz w:val="20"/>
        </w:rPr>
        <w:t>STORE CHANNEL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u w:val="single"/>
        </w:rPr>
        <w:t>DXL Men’s Apparel Stores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3, 2024, we operated 232 DXL retail stores. Our DXL store concept brings all of our brands together in one format. Within this format, we cater to our diverse customer base, with merchandise representing all price points, from our higher-end brands to value-oriented brands, and all lifestyles, from business to denim. The size of our DXL stores averages 7,400 square feet. Depending on the customers in each respective market, we can adjust the appropriate mix of merchandise, with varying selections from each of our price points, to cater to each demographic market. Our DXL stores are located on real estate that is highly visible, often adjacent to high-performing regional malls or other high-traffic shopping areas.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markets, rebranding a Casual Male XL store to a DXL store provides a viable alternative to the more costly endeavor of relocating a Casual Male XL store to new DXL real estate. In addition, the converted stores benefit from DXL advertising. We are actively reviewing opportunities to relocate or convert Casual Male XL stores to DXL stores.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2023, we opened three new DXL stores, with plans to open eight new stores in fiscal 2024. These new DXL stores offer an updated look and feel both inside and outside, with the store layout focusing on improving our customer engagement and their overall shopping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store portfolio is a vital asset to our business strategy and we are investing in stores over the next several years. Over the next three to five years, we believe we could potentially open approximately 50 net new DXL stores across the country, which could average 6,000 square feet or 300,000 sq. ft. in total, a 15% increase over our current square footage. </w:t>
      </w:r>
    </w:p>
    <w:p>
      <w:pPr>
        <w:pStyle w:val="TextBody"/>
        <w:bidi w:val="0"/>
        <w:spacing w:before="240" w:after="283"/>
        <w:jc w:val="left"/>
        <w:rPr>
          <w:rFonts w:ascii="Times New Roman" w:hAnsi="Times New Roman"/>
          <w:sz w:val="20"/>
        </w:rPr>
      </w:pPr>
      <w:r>
        <w:rPr>
          <w:rFonts w:ascii="Times New Roman" w:hAnsi="Times New Roman"/>
          <w:b/>
          <w:i/>
          <w:color w:val="000000"/>
          <w:sz w:val="20"/>
          <w:u w:val="single"/>
        </w:rPr>
        <w:t>Casual Male XL Retail Stores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3, 2024, we operated 17 Casual Male XL full-price retail stores, located primarily in strip centers or stand-alone locations. The majority of the merchandise carried in our Casual Male XL stores is moderate-priced basic or fashion-neutral items, such as jeans, casual pants, t-shirts, polo shirts, dress shirts and suit separates. These stores also carry a full complement of our own brand collections. The average Casual Male XL retail store is approximately 3,200 square feet.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DXL Outlet /Casual Male XL Outlet Stores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3, 2024, we operated 15 DXL outlet stores and 19 Casual Male XL outlet stores designed to offer a wide range of casual clothing for the big &amp; tall customer at prices that are generally 20-25% lower than our moderate-priced merchandise. Much of the merchandise in our outlet stores is offered at discounted prices to cater to the value-oriented customer. In addition to own brands and national brands at our “good” price tier, our outlets also carry clearance product obtained from DXL and Casual Male XL stores, offering the outlet customer the ability to purchase brand and fashion product for a reduced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average DXL outlet is approximately 5,100 square feet and the average Casual Male XL outlet store is approximately 3,000 square feet. </w:t>
      </w:r>
    </w:p>
    <w:p>
      <w:pPr>
        <w:pStyle w:val="TextBody"/>
        <w:bidi w:val="0"/>
        <w:spacing w:before="360" w:after="283"/>
        <w:jc w:val="left"/>
        <w:rPr>
          <w:rFonts w:ascii="Times New Roman" w:hAnsi="Times New Roman"/>
          <w:sz w:val="20"/>
        </w:rPr>
      </w:pPr>
      <w:r>
        <w:rPr>
          <w:rFonts w:ascii="Times New Roman" w:hAnsi="Times New Roman"/>
          <w:b/>
          <w:i/>
          <w:color w:val="000000"/>
          <w:sz w:val="20"/>
        </w:rPr>
        <w:t>DIRECT CHANNEL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 business is a critical channel for growing sales and market share through new customer acquisition and digital engagement of the active file. Since fiscal 2019, comparable sales from our direct business in fiscal 2023 have grown 50.9%, with our total direct business representing 31.3% of our total retail sales in fiscal 2023, as compared to 23.1% of our retail sales in fiscal 2019.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our direct business as sales that originate online, whether through our website, our app, those initiated online at the store level, our Guest Engagement Center, or through a third-party marketplace. We want to serve our customers wherever and how they want to shop, whether in-person at a store, over the telephone, or online via a computer, smartphone or tablet.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key to being a successful integrated commerce retailer is having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DXL Website and App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DXL website and app have been instrumental in our growth over the past three years, with sales from our website and app together increasing 47.4% from fiscal 2019. We continue to see our consumers shift to online shopping helping to drive higher new customer acquisition for the website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mentioned above, we expect to launch an updated website in the second half of fiscal 2024 that we believe will offer a superior user experience to our customers, with modernized design aesthetics and improved performance, while also providing us the tools to improve our agility and efficiency.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Digital Sales at Store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support of our integrated commerce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shop-by-store and pick-up in store on the same day.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Digital Marketplaces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broaden our reach through digital, third-party marketplaces. A large portion of our assortment is available on Amazon.com and Walmart.com. Digital marketplaces provide us an opportunity to drive awareness, grow our customer base and introduce new customers to our brand. </w:t>
      </w:r>
    </w:p>
    <w:p>
      <w:pPr>
        <w:pStyle w:val="TextBody"/>
        <w:bidi w:val="0"/>
        <w:spacing w:before="360" w:after="283"/>
        <w:jc w:val="left"/>
        <w:rPr>
          <w:rFonts w:ascii="Times New Roman" w:hAnsi="Times New Roman"/>
          <w:sz w:val="20"/>
        </w:rPr>
      </w:pPr>
      <w:r>
        <w:rPr>
          <w:rFonts w:ascii="Times New Roman" w:hAnsi="Times New Roman"/>
          <w:b/>
          <w:i/>
          <w:color w:val="000000"/>
          <w:sz w:val="20"/>
        </w:rPr>
        <w:t>MERCHANDISE PLANNING AND ALLOCATION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stores and for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evergreen merchandise made up approximately 42% of our merchandise assortment in fiscal 2023.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merchandise planning and allocation team utilizes a set of specific universal reporting tools in fulfilling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 </w:t>
      </w:r>
    </w:p>
    <w:p>
      <w:pPr>
        <w:pStyle w:val="TextBody"/>
        <w:bidi w:val="0"/>
        <w:spacing w:before="360" w:after="283"/>
        <w:jc w:val="left"/>
        <w:rPr>
          <w:rFonts w:ascii="Times New Roman" w:hAnsi="Times New Roman"/>
          <w:sz w:val="20"/>
        </w:rPr>
      </w:pPr>
      <w:r>
        <w:rPr>
          <w:rFonts w:ascii="Times New Roman" w:hAnsi="Times New Roman"/>
          <w:b/>
          <w:i/>
          <w:color w:val="000000"/>
          <w:sz w:val="20"/>
        </w:rPr>
        <w:t>STORE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store associates are critical to creating the highest quality experience for our guests. The culture in our stores is to be guest-centric - to engage and build a relationship with each of our customers.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last component is our stores serving as mini-distribution centers. The majority of our stores are able to fulfill customer orders that were placed online in one of our digital channels. Our associates are well versed in not only the product selection carried in their specific store, but also the product selection carried online. With a point-of-sale system that can access items online for the guest who is physically in the store, our associates are able to fulfill all of their customers’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multi-unit, field management team receives extensive training on recruiting associates who are the correct fit for our stores. All store associates participate in our DXL FIT Expert Training and Certification program as part of our commitment to deliver a great guest experience. All new DXL store management team hires are trained extensively through senior peer trainers throughout the country. We believe having a mix of internal promotions (store manager to Regional Sales Manager) as well as external hires with extensive multi-unit background gives us an inclusive and diverse Regional Sales management team. Regional Vice Presidents give us touchpoints in the field in addition to our Regional Sales Managers and store management team to ensure consistency in executing our standards and all programs and processes we deem important to our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field organization is overseen by our Chief Stores and Real Estate Officer, VP Store Operations, Regional Vice Presidents, Regional Sales Managers, and a Store Operations Team,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MARKETING AND ADVERTISING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believe that our marketing initiatives are critical to driving our sales growth by increasing traffic to our stores, website and app. Last year, we launched our brand initiative “</w:t>
      </w:r>
      <w:r>
        <w:rPr>
          <w:rFonts w:ascii="Times New Roman" w:hAnsi="Times New Roman"/>
          <w:i/>
          <w:color w:val="000000"/>
          <w:sz w:val="20"/>
        </w:rPr>
        <w:t>Wear What You Want</w:t>
      </w:r>
      <w:r>
        <w:rPr>
          <w:rFonts w:ascii="Times New Roman" w:hAnsi="Times New Roman"/>
          <w:color w:val="000000"/>
          <w:sz w:val="20"/>
        </w:rPr>
        <w:t xml:space="preserve">” ℠ inviting our customer to not only experience the depth of our assortment but also the breadth of exclusivity across our brands, offering brands and styles not available elsewhere. We are providing him with the freedom to choose his own style and wear what he wants. Big + Tall is all we do, and we trade on the belief that we offer superior fit, assortment, and experience to him and through this initiative we are eager to develop relationships with our customers that are built on respect, trust, and belonging.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past few years, our marketing strategy has been a more targeted, personalized, data-driven model, enabling us to engage differently with each of our customers based on their shopping behaviors across all our buying channels. We adopted a stringent, analytical perspective to our marketing program, focusing on understanding incremental outcomes in addition to the “return on ad spend” throughout all our programs. This data-driven philosophy extends across all our marketing initiatives as we look at new ways to engage our customers. Our on-going work on enhancing our customer segmentation will ultimately drive our long-term marketing strategy, enabling us to create targeted and personalized content and messaging to our various customer segments. Our marketing programs have included email, direct mail, our loyalty program, direct marketing, digital marketing, social media, and streaming media, among others. Because we are not highly promotional, our loyalty program, The DXL Rewards Club, provides a strong value to our customers and we are planning on making further enhancements to the program during fiscal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will continue to invest in these targeted marketing initiatives, we also plan to increase our marketing spend in fiscal 2024 to include broad-based advertising, focusing specifically at building brand awareness. We have been working to transform our brand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positioning by focusing on key customer insights and leveraging our distinct advantages of superior fit, depth of assortment, great styles and largely exclusive brands and an experience like no other. Our focus is to acquire new customers and achieve a greater lifetime value across our entire customer file. Working with our new creative and media agencies, we are planning a multi-channel campaign, targeting an early summer 2024 multi-market test-launch.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marketing costs in fiscal 2024 to be approximately 7.0%-7.5% of sales as compared to 5.9% of sales in fiscal 2023. </w:t>
      </w:r>
    </w:p>
    <w:p>
      <w:pPr>
        <w:pStyle w:val="TextBody"/>
        <w:bidi w:val="0"/>
        <w:spacing w:before="360" w:after="283"/>
        <w:jc w:val="left"/>
        <w:rPr>
          <w:rFonts w:ascii="Times New Roman" w:hAnsi="Times New Roman"/>
          <w:sz w:val="20"/>
        </w:rPr>
      </w:pPr>
      <w:r>
        <w:rPr>
          <w:rFonts w:ascii="Times New Roman" w:hAnsi="Times New Roman"/>
          <w:b/>
          <w:i/>
          <w:color w:val="000000"/>
          <w:sz w:val="20"/>
        </w:rPr>
        <w:t>GLOBAL SOURCING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global sourcing strategy is a balanced approach, which considers quality, cost and lead-time, depending on the requirements of the program. We believe our current sourcing structure meets our operating requirements and provides capacity for growth. The growth and effectiveness of our global direct sourcing program is a key component to the strength of merchandise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30 factories in eight countries which are experts in big &amp; tall sizing and production. In fiscal 2023, approximately 52% of all our product needs were sourced directly. We manufacture a significant percentage of our own brand merchandise in Southeast Asian countries including Vietnam, Bangladesh, Cambodia and India. We continue to reduce dependency on China, with less than 10% of our own brands sourced from China, inclusive of our raw materials and trims, and have moved certain programs into the Western Hemisphere with duty-free opportunities such as Nicaragua and Mexico.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 effort to minimize foreign currency risk, all payments to our direct sourced vendors are made in U.S. dollars with payment on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"Sustainability" below for a discussion of our environmental, ethical and social audits.</w:t>
      </w:r>
    </w:p>
    <w:p>
      <w:pPr>
        <w:pStyle w:val="TextBody"/>
        <w:bidi w:val="0"/>
        <w:spacing w:before="240" w:after="283"/>
        <w:jc w:val="left"/>
        <w:rPr>
          <w:rFonts w:ascii="Times New Roman" w:hAnsi="Times New Roman"/>
          <w:sz w:val="20"/>
        </w:rPr>
      </w:pPr>
      <w:r>
        <w:rPr>
          <w:rFonts w:ascii="Times New Roman" w:hAnsi="Times New Roman"/>
          <w:b/>
          <w:i/>
          <w:color w:val="000000"/>
          <w:sz w:val="20"/>
        </w:rPr>
        <w:t>DISTRIBUTION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primarily fulfilled by our distribution center and if an order cannot be fulfilled by our distribution center, the order is completed at the store level.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supply chain technology provides visibility for imports and domestic deliveries giving our buyers accurate shipping information and allowing the distribution center to plan staffing for arriving freight, resulting in reduced costs and improved receipt efficiency.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warehousing application and labor management system enable us to streamline our distribution processes, enhance our in-transit times, and reduce our distribution costs. We will continually work to make improvements and upgrades to our software.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store shipments and domestic customer deliveries, we use large national carriers. We are able to track all deliveries from the warehouse to our individual stores, including the status of in-transit shipments. In addition, we are able to provide our direct customers with Authorized Return Service and Web labels, making returns more convenient for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 INFORMATION SYSTEMS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infrastructure of our management information systems is a priority to us. We believe that the investments we have made in this regard have improved our overall efficiency and improved our access to information enabling timely, data-driven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 Our direct and retail channels maintain a shared inventory system and we operate a single-system platform for our DXL and Casual Male XL stores to deliver improved efficiencies.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an effort to improve our inventory management, we have created a standardized set of “best practices” for both our merchandise planning and allocation groups. Using a retail business intelligence solution, we are able to integrate data from several sources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enterprise-wide analytics reporting. Over the past few years, we have continued to develop a custom Assortment Suite application to leverage business intelligence and predictive analytics to provide high-impact insights into core merchandising tasks.</w:t>
      </w:r>
    </w:p>
    <w:p>
      <w:pPr>
        <w:pStyle w:val="TextBody"/>
        <w:bidi w:val="0"/>
        <w:spacing w:before="360" w:after="283"/>
        <w:jc w:val="left"/>
        <w:rPr>
          <w:rFonts w:ascii="Times New Roman" w:hAnsi="Times New Roman"/>
          <w:sz w:val="20"/>
        </w:rPr>
      </w:pPr>
      <w:r>
        <w:rPr>
          <w:rFonts w:ascii="Times New Roman" w:hAnsi="Times New Roman"/>
          <w:b/>
          <w:i/>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faces competition from a variety of sources, including department stores, mass merchandisers, other specialty stores and discount and off-price retailers that sell big &amp; tall men’s clothing. While we have successfully competed on the basis of merchandise assortment, comfort and fit, customer service and desirable store locations, there can be no assurances that other retailers, including e-commerce retailers, will not adopt purchasing and marketing concepts similar to ours. Discount retailers with significant buying power, such as Walmart, Kohl's and J.C. Penney, represent a source of competition for us. The direct business has many competitors, including the King Size catalog and website as well as online marketplaces, such as Amazon.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United States big &amp; tall men’s clothing market is highly competitive with many national and regional department stores, specialty apparel retailers, single market operators and discount stores offering a broad range of apparel products intended for big and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&amp; tall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 </w:t>
      </w:r>
    </w:p>
    <w:p>
      <w:pPr>
        <w:pStyle w:val="TextBody"/>
        <w:bidi w:val="0"/>
        <w:spacing w:before="360" w:after="283"/>
        <w:jc w:val="left"/>
        <w:rPr>
          <w:rFonts w:ascii="Times New Roman" w:hAnsi="Times New Roman"/>
          <w:sz w:val="20"/>
        </w:rPr>
      </w:pPr>
      <w:r>
        <w:rPr>
          <w:rFonts w:ascii="Times New Roman" w:hAnsi="Times New Roman"/>
          <w:b/>
          <w:i/>
          <w:color w:val="000000"/>
          <w:sz w:val="20"/>
        </w:rPr>
        <w:t>TRADEMARKS/TRADEMARK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own several service marks and trademarks relating to our businesses, including, among others, “Destination XL</w:t>
      </w:r>
      <w:r>
        <w:rPr>
          <w:rFonts w:ascii="Times New Roman" w:hAnsi="Times New Roman"/>
          <w:color w:val="000000"/>
          <w:sz w:val="13"/>
        </w:rPr>
        <w:t>®</w:t>
      </w:r>
      <w:r>
        <w:rPr>
          <w:rFonts w:ascii="Times New Roman" w:hAnsi="Times New Roman"/>
          <w:color w:val="000000"/>
          <w:sz w:val="20"/>
        </w:rPr>
        <w:t>”, “DXL</w:t>
      </w:r>
      <w:r>
        <w:rPr>
          <w:rFonts w:ascii="Times New Roman" w:hAnsi="Times New Roman"/>
          <w:color w:val="000000"/>
          <w:sz w:val="13"/>
        </w:rPr>
        <w:t>®</w:t>
      </w:r>
      <w:r>
        <w:rPr>
          <w:rFonts w:ascii="Times New Roman" w:hAnsi="Times New Roman"/>
          <w:color w:val="000000"/>
          <w:sz w:val="20"/>
        </w:rPr>
        <w:t>”, “DXL Mens Apparel</w:t>
      </w:r>
      <w:r>
        <w:rPr>
          <w:rFonts w:ascii="Times New Roman" w:hAnsi="Times New Roman"/>
          <w:color w:val="000000"/>
          <w:sz w:val="13"/>
        </w:rPr>
        <w:t>®</w:t>
      </w:r>
      <w:r>
        <w:rPr>
          <w:rFonts w:ascii="Times New Roman" w:hAnsi="Times New Roman"/>
          <w:color w:val="000000"/>
          <w:sz w:val="20"/>
        </w:rPr>
        <w:t>”, “Big on Being Better</w:t>
      </w:r>
      <w:r>
        <w:rPr>
          <w:rFonts w:ascii="Times New Roman" w:hAnsi="Times New Roman"/>
          <w:color w:val="000000"/>
          <w:sz w:val="13"/>
        </w:rPr>
        <w:t>®</w:t>
      </w:r>
      <w:r>
        <w:rPr>
          <w:rFonts w:ascii="Times New Roman" w:hAnsi="Times New Roman"/>
          <w:color w:val="000000"/>
          <w:sz w:val="20"/>
        </w:rPr>
        <w:t>”, “Casual Male</w:t>
      </w:r>
      <w:r>
        <w:rPr>
          <w:rFonts w:ascii="Times New Roman" w:hAnsi="Times New Roman"/>
          <w:color w:val="000000"/>
          <w:sz w:val="13"/>
        </w:rPr>
        <w:t>®</w:t>
      </w:r>
      <w:r>
        <w:rPr>
          <w:rFonts w:ascii="Times New Roman" w:hAnsi="Times New Roman"/>
          <w:color w:val="000000"/>
          <w:sz w:val="20"/>
        </w:rPr>
        <w:t>”, “Casual Male XL</w:t>
      </w:r>
      <w:r>
        <w:rPr>
          <w:rFonts w:ascii="Times New Roman" w:hAnsi="Times New Roman"/>
          <w:color w:val="000000"/>
          <w:sz w:val="13"/>
        </w:rPr>
        <w:t>®</w:t>
      </w:r>
      <w:r>
        <w:rPr>
          <w:rFonts w:ascii="Times New Roman" w:hAnsi="Times New Roman"/>
          <w:color w:val="000000"/>
          <w:sz w:val="20"/>
        </w:rPr>
        <w:t>”, “Harbor Bay</w:t>
      </w:r>
      <w:r>
        <w:rPr>
          <w:rFonts w:ascii="Times New Roman" w:hAnsi="Times New Roman"/>
          <w:color w:val="000000"/>
          <w:sz w:val="13"/>
        </w:rPr>
        <w:t>®</w:t>
      </w:r>
      <w:r>
        <w:rPr>
          <w:rFonts w:ascii="Times New Roman" w:hAnsi="Times New Roman"/>
          <w:color w:val="000000"/>
          <w:sz w:val="20"/>
        </w:rPr>
        <w:t>”, “Oak Hill</w:t>
      </w:r>
      <w:r>
        <w:rPr>
          <w:rFonts w:ascii="Times New Roman" w:hAnsi="Times New Roman"/>
          <w:color w:val="000000"/>
          <w:sz w:val="13"/>
        </w:rPr>
        <w:t>®</w:t>
      </w:r>
      <w:r>
        <w:rPr>
          <w:rFonts w:ascii="Times New Roman" w:hAnsi="Times New Roman"/>
          <w:color w:val="000000"/>
          <w:sz w:val="20"/>
        </w:rPr>
        <w:t>”, “Continuous Comfort</w:t>
      </w:r>
      <w:r>
        <w:rPr>
          <w:rFonts w:ascii="Times New Roman" w:hAnsi="Times New Roman"/>
          <w:color w:val="000000"/>
          <w:sz w:val="13"/>
        </w:rPr>
        <w:t>®</w:t>
      </w:r>
      <w:r>
        <w:rPr>
          <w:rFonts w:ascii="Times New Roman" w:hAnsi="Times New Roman"/>
          <w:color w:val="000000"/>
          <w:sz w:val="20"/>
        </w:rPr>
        <w:t>”, “Synrgy”, “Society of One</w:t>
      </w:r>
      <w:r>
        <w:rPr>
          <w:rFonts w:ascii="Times New Roman" w:hAnsi="Times New Roman"/>
          <w:color w:val="000000"/>
          <w:sz w:val="13"/>
        </w:rPr>
        <w:t>®</w:t>
      </w:r>
      <w:r>
        <w:rPr>
          <w:rFonts w:ascii="Times New Roman" w:hAnsi="Times New Roman"/>
          <w:color w:val="000000"/>
          <w:sz w:val="20"/>
        </w:rPr>
        <w:t>”, “True Nation</w:t>
      </w:r>
      <w:r>
        <w:rPr>
          <w:rFonts w:ascii="Times New Roman" w:hAnsi="Times New Roman"/>
          <w:color w:val="000000"/>
          <w:sz w:val="13"/>
        </w:rPr>
        <w:t>®</w:t>
      </w:r>
      <w:r>
        <w:rPr>
          <w:rFonts w:ascii="Times New Roman" w:hAnsi="Times New Roman"/>
          <w:color w:val="000000"/>
          <w:sz w:val="20"/>
        </w:rPr>
        <w:t>” and “Wear What You Want℠”. We also hold a U.S. patent for an extendable collar system, which is marketed as “Neck-Relaxer</w:t>
      </w:r>
      <w:r>
        <w:rPr>
          <w:rFonts w:ascii="Times New Roman" w:hAnsi="Times New Roman"/>
          <w:color w:val="000000"/>
          <w:sz w:val="13"/>
        </w:rPr>
        <w:t>®</w:t>
      </w:r>
      <w:r>
        <w:rPr>
          <w:rFonts w:ascii="Times New Roman" w:hAnsi="Times New Roman"/>
          <w:color w:val="000000"/>
          <w:sz w:val="20"/>
        </w:rPr>
        <w:t xml:space="preserve">” and a U.S. copyright for a no-iron hang tag.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SUSTAINABILITY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DXL, we recognize the importance of addressing and prioritizing environmental, social and governance ("ESG") issues throughout our business, including recognizing and addressing specific climate-related risks. During fiscal 2021, we formed the Sustainability Committee, consisting of a cross-disciplinary team from corporate management that engaged with a third-party firm to assist us in the development of the Company's initial ESG strategy and initiatives. The committee reports to the senior management team of the Company and to the Nominating and Corporate Governance Committee of our Board of Directors, which is responsible for the oversight of our initiatives. We are working to develop short- and long-term ESG goals, as well as an action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2019, we have been a member of a leading ethical trade service provider to increase our social, environmental and ethical sustainability, and we participate in their Ethical Trade Audit platform. Since fiscal 2020, we have retained LRQA, formerly Elevate, a global leader in supply chain assessment, and instituted 4-Pillar audits of our supply chain factories. Our intent is to increase our social, environmental and ethical sustainability by utilizing LRQA’s audit tool, "ERSA", which stands for ELEVATE Responsible Sourcing Assessment. ERSA 3.0 covers social compliance, human rights, environmental business ethics, and worker’s sentiment surveys. All audits can be found on their EIQ tool which is a web-based analytical system on which we participate in their Ethical Trade Audit platform. In fiscal 2023, we retained LRQA to also perform environment assessment audits. Through collaboration with LRQA and Bureau Veritas, we are pursuing what we call a “5-Pillar Audit”, which includes traceability of both raw materials and the equipment used to produce finished goods.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HUMAN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3, 2024, we had 1,439 employees. We hire additional temporary employees during the peak holiday season. None of our employees is represented by any collective bargaining agreement. Our associates are our greatest asset and we are committed to providing them with a safe and healthy work environment. 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Inclusion and Diversity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inclusivity, acceptance, and equality. Since 2017, we have had a diversity and inclusion initiative called “Normalizing the Brand.” The program brings awareness to unconscious bias and focuses on ensuring that the composition of our organization looks and feels like the communities where we live and serve. We have policies and training in place with respect to anti-discrimination and anti-harassment, among others, and provide our associates with access to an anonymous hot-line for reporting any concerns. Throughout the year, we require our associates to participate in educational videos. In 2021, we joined with CEO Action for Diversity &amp; Inclusion, a coalition of over 2,000 CEOs, pledging to advance diversity and inclusion in the workplace. By signing on to this commitment, we have pledged to take action to cultivate a workplace where diverse perspectives and experiences are welcomed and respected, and where employees feel encouraged to discuss diversity and inclusion without retribution.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Workplace, Culture and Career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providing our associates an environment where they have an opportunity to provide input on issues affecting the Company’s workforce and the employer-associate relationship. Periodically through the year, we encourage feedback and ideas from our associates through our annual engagement surveys and periodic pulse surveys. Perhaps most importantly, we promote professional and career development and mentorship programs. Since 2014, we have offered our associates the opportunity to participate in our DXLG Mentor Program, which pairs up to 20 mentees with mentors for one-year periods. The DXL Women’s Leadership Group was formed in fiscal 2016 with a mission of “Women supporting, educating and empowering each other @ DXLG”. It started as a pilot program and quickly expanded to now include over 40 female leaders, both people and process managers, in the corporate office and field. In addition, for the past five years, we have presented Leadercast, a platform for leadership development content available online.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Associate Engagement &amp; Development Committee organizes “Lunch, Learn, Lead” and “Coffee Talk” sessions throughout the year to provide our associates an opportunity to gain insight on a variety of topics, such as, DXL’s social responsibility initiatives, TED talks, Global Sourcing, Normalizing the Brand and Technology. We also joined with Marist College to provide our DXL associates and their immediate adult family members with a 25% discount toward on-line tuition costs.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programs are designed to pay our associates competitively in the market, based on their skills, qualifications, role, and abilities. 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are continually looking for programs and opportunities to offer our associates to ensure physical and mental wellness. We also highlight mental health awareness as part of our “Lunch, Learn, Lead” series and provide other relevant content within our learning management system. We also provide an Employee Assistance Program (EAP) which provides 24/7 assistance to associates and their family members for a variety of issues such as stress, family, parenting, and finances.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we added a new voluntary benefit, DailyPay, which allows our associates to access their money as they earn it, instead of having to wait until their payday to access their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regarding human capital, our programs, our health and safety as well as diversity information regarding our board, senior management and associates, such information can be found on our corporate website at https://investor.dxl.com. The information included in, referenced to, or otherwise accessible through, our website is not incorporated by reference in, or considered to be part of, this document or any document unless expressly incorporated by reference therein.</w:t>
      </w:r>
    </w:p>
    <w:p>
      <w:pPr>
        <w:pStyle w:val="TextBody"/>
        <w:bidi w:val="0"/>
        <w:spacing w:before="360" w:after="283"/>
        <w:jc w:val="left"/>
        <w:rPr>
          <w:rFonts w:ascii="Times New Roman" w:hAnsi="Times New Roman"/>
          <w:sz w:val="20"/>
        </w:rPr>
      </w:pPr>
      <w:r>
        <w:rPr>
          <w:rFonts w:ascii="Times New Roman" w:hAnsi="Times New Roman"/>
          <w:b/>
          <w:i/>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corporate website is </w:t>
      </w:r>
      <w:r>
        <w:rPr>
          <w:rFonts w:ascii="Times New Roman" w:hAnsi="Times New Roman"/>
          <w:color w:val="000000"/>
          <w:sz w:val="20"/>
          <w:u w:val="single"/>
        </w:rPr>
        <w:t>www.dxl.com.</w:t>
      </w:r>
      <w:r>
        <w:rPr>
          <w:rFonts w:ascii="Times New Roman" w:hAnsi="Times New Roman"/>
          <w:color w:val="000000"/>
          <w:sz w:val="20"/>
        </w:rPr>
        <w:t xml:space="preserve"> Our investor relations site is </w:t>
      </w:r>
      <w:r>
        <w:rPr>
          <w:rFonts w:ascii="Times New Roman" w:hAnsi="Times New Roman"/>
          <w:color w:val="000000"/>
          <w:sz w:val="20"/>
          <w:u w:val="single"/>
        </w:rPr>
        <w:t xml:space="preserve">http://investor.dxl.com. </w:t>
      </w:r>
      <w:r>
        <w:rPr>
          <w:rFonts w:ascii="Times New Roman" w:hAnsi="Times New Roman"/>
          <w:color w:val="000000"/>
          <w:sz w:val="20"/>
        </w:rPr>
        <w:t xml:space="preserve">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Times New Roman" w:hAnsi="Times New Roman"/>
          <w:color w:val="000000"/>
          <w:sz w:val="20"/>
          <w:u w:val="single"/>
        </w:rPr>
        <w:t>http://www.sec.gov</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risk_factors"/>
      <w:bookmarkEnd w:id="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time-to-time. Other unknown or unpredictable factors also could have material adverse effects on our future results, performance or achievements. We cannot assure you that our projected results or events will be achieved or will occur.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Strategic Risks That May Affect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We may not be successful in executing our long-term strategy and growing our market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us to be successful in the future and maintain growth, we must be able to continue increasing our share of the big &amp; tall men’s apparel market. Our growth is dependent on our ability to continue to build upon our DXL brand, maintain our existing customers and attract new customers. We have developed and are implementing long-term strategic initiatives to grow our business. Our failure to execute our strategy successfully could prevent us from growing our market share, which could have a material adverse effect on our results of operations, cash flows and financial position, including if we were unable to: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 our store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 effective modern marketing program to build brand awareness as well as increase store and online traffic, attract customers across all channels, and grow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successful collaborations and alliances, similar to our alliance with UNTUCKit;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 our DXL digital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 upgraded, state-of-the-art website;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predict and respond to fashion trends, while offering our customers a broad selection of merchandise in an extended selection of sizes;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 our existing customer base;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qualified store management and store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 and then sustain the number of transactions, units-per-transaction and share of wallet;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operate at appropriate operating margins.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Our marketing programs and efforts to drive traffic and convert that traffic into an increased loyal customer base are critical to achieving market share growth within the big &amp; tall men’s apparel market and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our share of the big &amp; tall men’s apparel market is largely dependent on effectively marketing our brand and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our loyalty program, direct mail,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long-term strategy, we are planning to increase the amount that we expect to spend annually on our marketing efforts over the next few fiscal years, with marketing costs for fiscal 2024 expected to increase to 7.0%-7.5% of sales. There can be no assurance that our long-term strategy and the increased investment in marketing will grow our business or build brand awareness. If our marketing campaigns are unable to drive traffic to our stores and website, the marketing costs incurred will have a negative impact on the Company's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Our direct business is a significant component of our growth strategy, and the failure to develop our digital infrastructure could disrupt our business and negatively impact our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made significant investments in capital spending and labor to develop our direct channels and increased investments in digital marketing to attract new customers. The growth of our overall sales is dependent on customers’ continuing to expand their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online purchases in addition to in-store purchases. While it is our objective to continue to grow this business, there can be no assurance that this growth will continue or be sustainable.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appropriately could reduce our direct sales, increase our costs and diminish our growth prospects, which could negatively affect our operating results.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If we are unable to develop and implement our integrated commerce initiatives successfully, our market share and financial results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shopping behavior continues to evolve across multiple channels and we are working to meet his needs, with real time store inventory visibility, our mobile app, and BOPIS (buy online pick-up in stores). We consider ourselves a customer-centric integrated commerce retailer, and we continue to make ongoing investments in our information technology systems to support these evolving capabilities.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Integrated commerce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these initiatives, some of which may be more successful than our initiatives.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investment in our integrated commerce initiatives is not successful, our systems are unable to support such initiatives, or if our competitors are more successful, our financial results and our market penetration may be adversely affected.</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Our business may be adversely affected if we are unable to manage and grow our store portfolio successfully.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lease all of our store locations. Renewing and renegotiating these leases at acceptable lease terms is critical to the profitability of our stores. While we worked closely with our landlords to renegotiate and restructure a majority of our lease portfolio from the onset of the pandemic, there still may be certain stores that may not be profitable and we may not be able to renew existing agreements. We will continue to evaluate our store portfolio to optimize store profitability. As part of that evaluation, we may choose not to renew certain lease locations.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One of our long-term strategic initiatives is to grow our store portfolio over the next several years and we have identified multiple white space opportunities in new or underpenetrated markets. We are also actively reviewing opportunities to relocate or convert the majority of our remaining Casual Male XL stores to DXL. If we are unable to find locations or obtain favorable lease terms, we may not be able to grow or maintain our current store base and the lack of store growth could negatively affect our ability to growth revenue and market share.</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Operational Risks That May Affect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The loss of, or disruption in, our centralized distribution center could negatively impact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labor shortages, severe weather, the impact of climate change or disruptions in our distribution center, could result in delays in the delivery of merchandise to our stores or directly to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all of our management information systems centralized in our corporate headquarters, any disruption or destruction of our system infrastructure could materially affect our business. This type of disaster would be mitigated by our offsite storage and disaster recovery plans, but we would still incur business interruption that may impact our business for a significant period of time.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relating to our distribution center.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Our business may be adversely affected due to disruptions in the global supply chain.</w:t>
      </w:r>
    </w:p>
    <w:p>
      <w:pPr>
        <w:pStyle w:val="TextBody"/>
        <w:bidi w:val="0"/>
        <w:spacing w:before="120" w:after="283"/>
        <w:jc w:val="left"/>
        <w:rPr>
          <w:rFonts w:ascii="Times New Roman" w:hAnsi="Times New Roman"/>
          <w:sz w:val="20"/>
        </w:rPr>
      </w:pPr>
      <w:r>
        <w:rPr>
          <w:rFonts w:ascii="Times New Roman" w:hAnsi="Times New Roman"/>
          <w:color w:val="000000"/>
          <w:sz w:val="20"/>
        </w:rPr>
        <w:t>Disruptions in the global supply chain in foreign ports, the impact of climate change and shortages of vessels and shipping containers may impact our ability to import inventory in a timely manner. Recent events in the Middle East have made accessing the Suez Canal a risk, thereby prompting vessels to avoid this route, which adds time and cost. Drought has left water levels lower than ever forcing Panama to reduce the volume of ships passing through the Panama Canal, leading to delays and increased shipping costs. In addition</w:t>
      </w:r>
      <w:r>
        <w:rPr>
          <w:rFonts w:ascii="Times New Roman" w:hAnsi="Times New Roman"/>
          <w:b/>
          <w:strike/>
          <w:color w:val="000000"/>
          <w:sz w:val="20"/>
        </w:rPr>
        <w:t>,</w:t>
      </w:r>
      <w:r>
        <w:rPr>
          <w:rFonts w:ascii="Times New Roman" w:hAnsi="Times New Roman"/>
          <w:color w:val="000000"/>
          <w:sz w:val="20"/>
        </w:rPr>
        <w:t xml:space="preserve"> the ongoing war in Ukraine may cause additional tariffs, sanctions, import/export restrictions and future actions that may have a negative impact on the supply chain and may limit the availability of certain raw materials and result in an increase of associated cost.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Furthermore, we may continue to incur incremental freight costs which could negatively harm our gross margin rates.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We are dependent on third parties for the manufacture of the merchandise we sell.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and customer satisfaction would likely suffer which would negatively impact our business. These manufacturers may also increase the cost to us of the products we purchase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Treasury Department has placed sanctions on China’s Xinjiang Production and Construction Corporation ("XPCC") for serious human rights abuses against ethnic minorities in China’s Xinjiang Uyghur Autonomous Region ("XUAR"). In addition, in January 2021, the US Customs Border Protection (“CBP”) issued a Withhold Release Order on Products Made in Xinjiang region of China.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work with a third-party audit vendor to ensure a responsible and ethical supply chain. We are and will continue to pursue our corporate responsibilities and create a positive effect on human rights as well as the environment. The Company publishes a Vendor Code of Conduct, which is a part of every agreement requiring compliance by the manufacturing facilities. If, despite third-party audits, the manufacturing facilities engage in workplace or human rights violations and we are unable to identify or correct it, it may negatively affect our business and harm our brand.</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Our business is highly competitive, and competitive factors may reduce our revenues and profit margins.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maintain exclusivity arrangements with several of the brands that we carry. If we were to lose any of these exclusivity arrangements or brands altogether, our revenues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u w:val="single"/>
        </w:rPr>
        <w:t>Our business may be negatively impacted and we may be liable if third parties misappropriate proprietary information of our customers and breach our security systems.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harmed by security risks we face in connection with our electronic processing and transmission of confidential customer information. The majority of our retail sales are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We attempt to limit exposures to security breaches and sensitive customer data through the use of “tokenization”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a third party were to use this proprietary customer information in order to compete with us, it could have a material adverse impact on our business and could result in litigation.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Our ability to operate and expand our business and to respond to changing business and economic conditions will depend on the availability of adequate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operation of our business, the rate of our expansion and our ability to respond to changing business and economic conditions, all depend on the availability of adequate capital, which in turn depends on cash flow generated by our business and, if necessary, the availability of equity or debt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make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and we cannot ensure we would be able to obtain refinancing or that such additional financing would be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We may be unable to predict fashion trends and customer preferences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longer-term consequences, such as an adverse impact on our brand value and the loss of market share to our competitors.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The loss of any of our key trademarks or licenses could adversely affect demand for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Fluctuations in the price, availability and quality of raw materials and finished goods could increase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aftermath of the COVID-19 pandemic, as well as the ban of Xinjiang cotton, we are seeing cost increases in labor and across raw materials. We have secured raw materials in key item programs to reduce the impact on our gross margin. Fluctuations in the price, availability and quality of fabrics or other raw materials used in the manufacturing of our merchandise could have a material adverse effect on our gross margin or on our ability to meet our customers’ demands. Several factors may affect our costs for raw materials including, among other things, demand, currency fluctuations, political instability, inflationary pressures, fuel prices and weather, including the impact of global climate change.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If our long-lived assets become impaired, we may need to record significant non-cash impairment charges.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Due to the uncertainty that remains regarding the duration of the pandemic and its impact on our store locations, we may need to take additional impairment charges. Any such impairment charges, if significant, could adversely affect our financial position and results of operations.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Environmental, Social And Governance Issues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The effects of climate change may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increasing concern that a gradual rise in global average temperatures due to increased concentration of carbon dioxide and other greenhouse gases ("GHG") in the atmosphere will cause significant changes in weather patterns. This could result in an increase in the frequency, severity, and duration of extreme weather conditions and natural disasters, as well as water scarcity and poor water quality. These events could adversely impact the availability and price of cotton and other raw materials, disrupt the supply chain and our ability to secure merchandise. Further, extreme weather conditions caused by climate change could negatively impact our financial results if our retail locations are unable to open, customers are unable to travel or our distribution center is unable to fulfill orders or delivery inventory. These events could also create adverse economic conditions and impact consumer confidence and discretionary spending. As a result, the effects of climate change could have a long-term adverse impact on our business and results of operations. We are working to develop policies, standards and goals to help mitigate these risks, including working closely with our vendors and business partners to help identify such risks, develop standards and improve processes.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We may be unable to achieve our environmental, social and governance goals.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corporate social responsibility and sustainability and we recognize the importance of environmental, social and governance ("ESG") issues. Our Sustainability Committee, comprising a cross-discipline of corporate management, has engaged with a third-party firm to assist us in the development of the Company's ESG policies and initiatives. Achievement of our initiatives is subject to risks and uncertainties and we may fail to achieve our objectives. We may also incur additional costs and require additional resources to implement such policies and initiatives.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Our business is subject to evolving regulations and expectations with respect to ESG matters that may expose us to increased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increased focus by local, state, regional, national, and international regulatory bodies on GHG emissions and climate change issues increases the risk to our business if we are unable to comply with the multiple and evolving policy changes. For example, in March 2024, the SEC adopted rules to enhance and standardize climate-related disclosures by public companies so that there is more consistent, comparable, and reliable information about the financial effects of climate-related risks on a public company’s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how it manages those risks. In addition, in October 2023, California enacted the Climate Corporate Data Accountability Act and the Climate Related Financial Risk Act that will require large public and private companies that do business within the state to disclose their Scopes 1, 2, and 3 GHG emissions, with third-party assurance of GHG emissions information for certain entities, and issue public reports on their climate-related financial risk and related mitigation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 advocacy groups, certain institutional investors, investment funds, other market participants, stockholders, and customers have focused increasingly on the ESG or sustainability practices of companies, including those associated with climate change. If our ESG practices do not meet investor or other industry stakeholder expectations and standards, which continue to evolve, our brand, reputation and employee retention may be negatively impacted based on an assessment of our ESG practices. Any disclosures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ESG practices or the speed of their adoption. We could also incur additional costs and require additional resources to monitor,</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General Risks That May Affect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Our business is seasonal and is affected by general political and economic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seasonal. Historically, a significant portion of our operating income has been generated during our second and fourth quarters. If, for any reason, we miscalculate the demand for our products during these quarters, our sales in that quarter could decline, resulting in higher labor costs as a percentage of sales, lower margins and excess inventory, which could cause our annual operating results to suffer. Due to our seasonality, the possible adverse impact from such risks is potentially greater if any such risks occur during our second and fourth quarters.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our operations may be negatively affected by local, regional or national political and economic conditions, such as levels of disposable consumer income, inflation, consumer debt, interest rates, consumer confidence and other macro issues. The volatile political environment, including the upcoming U.S. </w:t>
      </w:r>
      <w:r>
        <w:rPr>
          <w:rFonts w:ascii="Times New Roman" w:hAnsi="Times New Roman"/>
          <w:color w:val="252525"/>
          <w:sz w:val="20"/>
        </w:rPr>
        <w:t>presidential</w:t>
      </w:r>
      <w:r>
        <w:rPr>
          <w:rFonts w:ascii="Times New Roman" w:hAnsi="Times New Roman"/>
          <w:color w:val="000000"/>
          <w:sz w:val="20"/>
        </w:rPr>
        <w:t xml:space="preserve"> and congressional </w:t>
      </w:r>
      <w:r>
        <w:rPr>
          <w:rFonts w:ascii="Times New Roman" w:hAnsi="Times New Roman"/>
          <w:color w:val="252525"/>
          <w:sz w:val="20"/>
        </w:rPr>
        <w:t>election</w:t>
      </w:r>
      <w:r>
        <w:rPr>
          <w:rFonts w:ascii="Times New Roman" w:hAnsi="Times New Roman"/>
          <w:color w:val="000000"/>
          <w:sz w:val="20"/>
        </w:rPr>
        <w:t xml:space="preserve"> in November 2024, increases the chance of other legislative and regulatory changes at both the federal and state level that could affect us in ways we cannot predict. In addition, about 46% of the world's population will be holding elections in 2024, the outcome of those elections may have long-term implications on global economies, conflicts, trade negotiations and policies that may directly or indirectly affect our business.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The global impact of the COVID-19 pandemic and its variants have had, and other global health pandemics may have, an adverse effect on our business, financial results, liquidity, supply chain and workforce.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COVID-19 pandemic and its variants caused global uncertainty and disruption and had a material impact on our business, predominately in fiscal 2020 and early 2021. Through fiscal 2023, the pandemic continued to have a lingering negative effect on the global economy that directly impacted our business, specifically as it related to the economy, rising interest rates, labor shortages, increased material costs, global supply chain issues, inflationary pressures, and changes in consumer spending behaviors. Our business may be negatively impacted as it relates to the risk and uncertainty of a potential COVID-19 resurgence, new variants or a new global health pandemic which could materially affect our financial results, access to sources of liquidity and inventory.</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Our success depends significantly on our key personnel and our ability to attract and retain additional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Labor shortages or increases in labor costs due to new regulations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end of the pandemic, we have continued to experience labor shortages primarily in our distribution facility and in our stores. If such labor shortages continue, especially during peak-selling periods, it may negatively impact our ability to process inventory in a timely manner and effectively staff our stores.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Failure to comply with laws, rules and regulations could negatively affect our business operations and financial performance</w:t>
      </w:r>
      <w:r>
        <w:rPr>
          <w:rFonts w:ascii="Times New Roman" w:hAnsi="Times New Roman"/>
          <w:b/>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federal, state, and increasing local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Risks Related to Our Corporate Structure and Stock</w:t>
      </w:r>
      <w:r>
        <w:rPr>
          <w:rFonts w:ascii="Times New Roman" w:hAnsi="Times New Roman"/>
          <w:color w:val="000000"/>
          <w:sz w:val="20"/>
        </w:rPr>
        <w:t xml:space="preserve"> </w:t>
      </w:r>
    </w:p>
    <w:p>
      <w:pPr>
        <w:pStyle w:val="TextBody"/>
        <w:bidi w:val="0"/>
        <w:spacing w:before="360" w:after="200"/>
        <w:jc w:val="left"/>
        <w:rPr>
          <w:rFonts w:ascii="Times New Roman" w:hAnsi="Times New Roman"/>
          <w:sz w:val="20"/>
        </w:rPr>
      </w:pPr>
      <w:r>
        <w:rPr>
          <w:rFonts w:ascii="Times New Roman" w:hAnsi="Times New Roman"/>
          <w:b/>
          <w:i/>
          <w:color w:val="000000"/>
          <w:sz w:val="20"/>
        </w:rPr>
        <w:t>Our stock price has been and will likely continue to be volatile and fluctuate substantially.</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market price of our common stock has been and will likely continue to fluctuate substantially as a result of many factors, some of which are beyond our control. For example, from September 8, 2021, when we relisted on the Nasdaq Global market, through February 2, 2024, the reported price of our common stock has ranged from a low of $3.27 on July 1, 2022, to a high of $8.99 on November 17, 2021. Factors that could cause fluctuations in the market price of our common stock include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overall changes in the economy and general market volatility, including the effects of inflation and/or recession;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news announcements regarding our quarterly or annual results of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quarterly comparable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competitive developments;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governmental regulation (such as increased wage and paid benefits laws);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litigation affecting us;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market views as to the prospects of the Company or retail clothing industry generally.</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Our certificate of incorporation, as amended, limits transfers of our common stock and may, along with state law, inhibit potential acquisition bids that could be beneficial to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pStyle w:val="TextBody"/>
        <w:bidi w:val="0"/>
        <w:spacing w:before="120" w:after="283"/>
        <w:jc w:val="left"/>
        <w:rPr/>
      </w:pPr>
      <w:r>
        <w:rPr/>
        <w:t> </w:t>
      </w:r>
    </w:p>
    <w:p>
      <w:pPr>
        <w:pStyle w:val="TextBody"/>
        <w:bidi w:val="0"/>
        <w:jc w:val="left"/>
        <w:rPr>
          <w:rFonts w:ascii="Times New Roman" w:hAnsi="Times New Roman"/>
          <w:sz w:val="20"/>
        </w:rPr>
      </w:pPr>
      <w:bookmarkStart w:id="5" w:name="unresolved_staff_comments"/>
      <w:bookmarkEnd w:id="5"/>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i/>
          <w:color w:val="000000"/>
          <w:sz w:val="20"/>
        </w:rPr>
        <w:t>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6" w:name="cybersecurity"/>
      <w:bookmarkEnd w:id="6"/>
      <w:r>
        <w:rPr>
          <w:rFonts w:ascii="Times New Roman" w:hAnsi="Times New Roman"/>
          <w:b/>
          <w:color w:val="000000"/>
          <w:sz w:val="20"/>
        </w:rPr>
        <w:t>Item 1C.</w:t>
      </w:r>
      <w:r>
        <w:rPr>
          <w:rFonts w:ascii="Times New Roman" w:hAnsi="Times New Roman"/>
          <w:color w:val="000000"/>
          <w:sz w:val="20"/>
        </w:rPr>
        <w:t xml:space="preserve"> </w:t>
      </w:r>
      <w:r>
        <w:rPr>
          <w:rFonts w:ascii="Times New Roman" w:hAnsi="Times New Roman"/>
          <w:b/>
          <w:i/>
          <w:color w:val="000000"/>
          <w:sz w:val="20"/>
        </w:rPr>
        <w:t>Cybersecurity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 the critical importance of maintaining the trust and confidence of our customers and employees. Consequently, we maintain a comprehensive security incident response plan (“SIRP”) and we assess, identify, and manage material risks associated with cybersecurity threats. Our SIRP includes immediate actions to mitigate the impact and long-term strategies for remediation and prevention of future incidents.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integrated cybersecurity risk management into our broader risk management framework through various mechanisms, including (i) our updates to the Cybersecurity and Data Privacy Committee (the “Cyber Committee”, created by our Board of Directors (the “Board”) in 2016), which meets at least quarterly; (ii) our annual enterprise risk management update to the Board, and (iii) our information technology and security related internal controls, including vulnerability management programs.</w:t>
      </w:r>
    </w:p>
    <w:p>
      <w:pPr>
        <w:pStyle w:val="TextBody"/>
        <w:bidi w:val="0"/>
        <w:jc w:val="left"/>
        <w:rPr>
          <w:rFonts w:ascii="Times New Roman" w:hAnsi="Times New Roman"/>
          <w:color w:val="000000"/>
          <w:sz w:val="20"/>
        </w:rPr>
      </w:pPr>
      <w:r>
        <w:rPr>
          <w:rFonts w:ascii="Times New Roman" w:hAnsi="Times New Roman"/>
          <w:color w:val="000000"/>
          <w:sz w:val="20"/>
        </w:rPr>
        <w:t>The Company trains employees to understand their role in attempting to protect the Company from cybersecurity attacks. Our information security training program for employees includes acknowledgement of our information security policies, regular internal communications, and testing to measure the effectiveness of our information security program. For example, we conduct regular phishing awareness campaigns designed to emulate current threats and provide immediate feedback and, as necessary, additional training or remedial action.</w:t>
      </w:r>
    </w:p>
    <w:p>
      <w:pPr>
        <w:pStyle w:val="TextBody"/>
        <w:bidi w:val="0"/>
        <w:jc w:val="left"/>
        <w:rPr>
          <w:rFonts w:ascii="Times New Roman" w:hAnsi="Times New Roman"/>
          <w:color w:val="000000"/>
          <w:sz w:val="20"/>
        </w:rPr>
      </w:pPr>
      <w:r>
        <w:rPr>
          <w:rFonts w:ascii="Times New Roman" w:hAnsi="Times New Roman"/>
          <w:color w:val="000000"/>
          <w:sz w:val="20"/>
        </w:rPr>
        <w:t>In addition, the Company engages third parties to assist in assessing, identifying, and remediating material risks from cybersecurity threats. Our key cybersecurity controls are regularly tested by third-party service providers, which we retain to help identify vulnerabilities in our systems and to help maintain compliance to standards and regulatory requirements. Other third-party service providers are enlisted by the Company for security operations center services to augment our teams’ monitoring capabilities and to assist with our investigation and response to alerts on emerging and ongoing threats.</w:t>
      </w:r>
    </w:p>
    <w:p>
      <w:pPr>
        <w:pStyle w:val="TextBody"/>
        <w:bidi w:val="0"/>
        <w:jc w:val="left"/>
        <w:rPr>
          <w:rFonts w:ascii="Times New Roman" w:hAnsi="Times New Roman"/>
          <w:color w:val="000000"/>
          <w:sz w:val="20"/>
        </w:rPr>
      </w:pPr>
      <w:r>
        <w:rPr>
          <w:rFonts w:ascii="Times New Roman" w:hAnsi="Times New Roman"/>
          <w:color w:val="000000"/>
          <w:sz w:val="20"/>
        </w:rPr>
        <w:t>Further, our cybersecurity team continuously evaluates and addresses cybersecurity risks in alignment with our business objectives and operational needs. We use various security tools and processes to help prevent, identify, escalate, investigate, resolve and recover from identified vulnerabilities and security incidents in a timely manner, including, but not limited to, risk assessment network security controls, detection and response tools and a vulnerability management program.</w:t>
      </w:r>
    </w:p>
    <w:p>
      <w:pPr>
        <w:pStyle w:val="TextBody"/>
        <w:bidi w:val="0"/>
        <w:jc w:val="left"/>
        <w:rPr>
          <w:rFonts w:ascii="Times New Roman" w:hAnsi="Times New Roman"/>
          <w:color w:val="000000"/>
          <w:sz w:val="20"/>
        </w:rPr>
      </w:pPr>
      <w:r>
        <w:rPr>
          <w:rFonts w:ascii="Times New Roman" w:hAnsi="Times New Roman"/>
          <w:color w:val="000000"/>
          <w:sz w:val="20"/>
        </w:rPr>
        <w:t>The complexity and evolving nature of cybersecurity threats requires that we engage with a range of external experts, including cybersecurity assessors and consultants, in evaluating and testing our risk management systems. This enables us to leverage specialized knowledge and insights, to be confident that our cybersecurity strategies and processes are consistent with industry best practices. Our collaboration with these third-parties includes regular threat assessments and consultation on security enhancements.</w:t>
      </w:r>
    </w:p>
    <w:p>
      <w:pPr>
        <w:pStyle w:val="TextBody"/>
        <w:bidi w:val="0"/>
        <w:jc w:val="left"/>
        <w:rPr>
          <w:rFonts w:ascii="Times New Roman" w:hAnsi="Times New Roman"/>
          <w:color w:val="000000"/>
          <w:sz w:val="20"/>
        </w:rPr>
      </w:pPr>
      <w:r>
        <w:rPr>
          <w:rFonts w:ascii="Times New Roman" w:hAnsi="Times New Roman"/>
          <w:color w:val="000000"/>
          <w:sz w:val="20"/>
        </w:rPr>
        <w:t>In order to mitigate data or security incidents that may originate from third party vendors or suppliers, we conduct both privacy and security assessments to properly identify, prioritize, assess and remediate any third-party risks, and require security and privacy addenda to our contracts where applicable.</w:t>
      </w:r>
    </w:p>
    <w:p>
      <w:pPr>
        <w:pStyle w:val="TextBody"/>
        <w:bidi w:val="0"/>
        <w:jc w:val="left"/>
        <w:rPr>
          <w:rFonts w:ascii="Times New Roman" w:hAnsi="Times New Roman"/>
          <w:sz w:val="20"/>
        </w:rPr>
      </w:pPr>
      <w:r>
        <w:rPr>
          <w:rFonts w:ascii="Times New Roman" w:hAnsi="Times New Roman"/>
          <w:color w:val="000000"/>
          <w:sz w:val="20"/>
        </w:rPr>
        <w:t xml:space="preserve">The nature of our business exposes us to cybersecurity threats and attacks that can lead to the unauthorized acquisition or access, compromise, loss, misuse or theft of our data, including personal information, confidential information or intellectual property. To date, risks from cybersecurity threats, including as a result of any previous cybersecurity incidents, have not materially affected the Company, including our business strategy, results of operations, or financial condition. Also see Part 1, Item 1A, </w:t>
      </w:r>
      <w:r>
        <w:rPr>
          <w:rFonts w:ascii="Times New Roman" w:hAnsi="Times New Roman"/>
          <w:i/>
          <w:color w:val="000000"/>
          <w:sz w:val="20"/>
        </w:rPr>
        <w:t>Risk Factors</w:t>
      </w:r>
      <w:r>
        <w:rPr>
          <w:rFonts w:ascii="Times New Roman" w:hAnsi="Times New Roman"/>
          <w:color w:val="000000"/>
          <w:sz w:val="20"/>
        </w:rPr>
        <w:t>, in this Annual Report on Form 10-K for a discussion of cybersecurity risks.</w:t>
      </w:r>
    </w:p>
    <w:p>
      <w:pPr>
        <w:pStyle w:val="TextBody"/>
        <w:bidi w:val="0"/>
        <w:jc w:val="left"/>
        <w:rPr>
          <w:rFonts w:ascii="Times New Roman" w:hAnsi="Times New Roman"/>
          <w:b/>
          <w:color w:val="000000"/>
          <w:sz w:val="20"/>
        </w:rPr>
      </w:pPr>
      <w:r>
        <w:rPr>
          <w:rFonts w:ascii="Times New Roman" w:hAnsi="Times New Roman"/>
          <w:b/>
          <w:color w:val="000000"/>
          <w:sz w:val="20"/>
        </w:rPr>
        <w:t>Governance</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is ultimately responsible for the risk oversight of the Company, including cybersecurity and privacy risks. Our Board has delegated day-to-day responsibility for oversight of cybersecurity risks to the Cyber Committee. The Cyber Committee is composed of board members with diverse expertise including risk management, technology, and finance, equipping them to oversee cybersecurity risks effectively. </w:t>
      </w:r>
    </w:p>
    <w:p>
      <w:pPr>
        <w:pStyle w:val="TextBody"/>
        <w:bidi w:val="0"/>
        <w:jc w:val="left"/>
        <w:rPr>
          <w:rFonts w:ascii="Times New Roman" w:hAnsi="Times New Roman"/>
          <w:color w:val="000000"/>
          <w:sz w:val="20"/>
        </w:rPr>
      </w:pPr>
      <w:r>
        <w:rPr>
          <w:rFonts w:ascii="Times New Roman" w:hAnsi="Times New Roman"/>
          <w:color w:val="000000"/>
          <w:sz w:val="20"/>
        </w:rPr>
        <w:t>Pursuant to its charter, our Cyber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assists our Board in fulfilling its risk oversight responsibilities with respect to the protection of the Company’s assets, including confidential, proprietary and personal information, reputation and goodwill in all 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supervises and monitors the soundness of our cybersecurity and data protection strategies and practices;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oversees and monitors our material compliance with applicable information security, privacy and data protection laws, industry standards and contractual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promotes and furthers the integrity, adoption and coordination of our data security processes across the Company to help ensure that data and system security is a Company-wide business objective and priority;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oversees our cybersecurity and data protection performance and the overall implementation of our cybersecurity and data protection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the management level, our Chief Technology Officer (“CTO”), SVP, Technology and Information as well as our cybersecurity personnel are primarily responsible for identifying, assessing, monitoring and managing our cybersecurity. Our CTO reports directly to our President and Chief Executive Officer and at least quarterly meets with the Cyber Committee. Our current CTO has over 35 years of industry experience, including serving as CIO/CTO for over 6 years and having extensive experience in developing and leading technology risk management programs. Additionally, our technology staff holds multiple industry standard security certifications, including Cisco Certified Network Associate ("CCNA"), PCI Internal Security Assessor ("PCI ISA") and Certified Ethical Hacker ("CEH").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properties"/>
      <w:bookmarkEnd w:id="7"/>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twenty-year lease agreement for an initial annual rent payment of $4.6 million, with periodic increases every fifth anniversary of the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February 3, 2024, we operated 232 Destination XL retail stores, 15 Destination XL outlet stores, 17 Casual Male XL retail stores and 19 Casual Male XL outlet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February 3,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Sites for new stores are selected based on several factors, including population and density levels,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sales to invested capital ratio, and return on investment requirements.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Store count by state at February 3, 2024</w:t>
      </w:r>
    </w:p>
    <w:p>
      <w:pPr>
        <w:pStyle w:val="TextBody"/>
        <w:bidi w:val="0"/>
        <w:jc w:val="left"/>
        <w:rPr/>
      </w:pPr>
      <w:r>
        <w:rPr/>
        <w:t> </w:t>
      </w:r>
    </w:p>
    <w:tbl>
      <w:tblPr>
        <w:tblW w:w="4820" w:type="dxa"/>
        <w:jc w:val="left"/>
        <w:tblInd w:w="0" w:type="dxa"/>
        <w:tblLayout w:type="fixed"/>
        <w:tblCellMar>
          <w:top w:w="28" w:type="dxa"/>
          <w:left w:w="28" w:type="dxa"/>
          <w:bottom w:w="28" w:type="dxa"/>
          <w:right w:w="28" w:type="dxa"/>
        </w:tblCellMar>
      </w:tblPr>
      <w:tblGrid>
        <w:gridCol w:w="1331"/>
        <w:gridCol w:w="146"/>
        <w:gridCol w:w="338"/>
        <w:gridCol w:w="802"/>
        <w:gridCol w:w="146"/>
        <w:gridCol w:w="146"/>
        <w:gridCol w:w="478"/>
        <w:gridCol w:w="1142"/>
        <w:gridCol w:w="291"/>
      </w:tblGrid>
      <w:tr>
        <w:trPr/>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United States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DXL retail and</w:t>
              <w:br/>
              <w:t>outlet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Casual Male XL</w:t>
              <w:br/>
              <w:t>retail and outlet stores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Alabama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Arizona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Arkansas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California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Colorado</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Connecticut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Delaware</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Florida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Georgia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Idaho</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Illinois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Indiana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Iowa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Kansas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Kentucky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Louisiana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Maine</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Maryland</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Massachusetts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Michigan</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Minnesota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Mississippi</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Missouri</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Montana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Nebraska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Nevada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New Hampshire</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New Jersey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New Mexico</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New York</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 Carolina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 Dakota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Ohio</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Oklahoma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Oregon</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Pennsylvania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Rhode Island</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 Carolina</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 Dakota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478"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Tennessee</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Texas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Utah</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Virginia</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Washington</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 Virginia</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Wisconsin</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bookmarkStart w:id="8" w:name="legal_proceedings"/>
      <w:bookmarkEnd w:id="8"/>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subject to various legal proceedings and claims that arise in the ordinary course of business. Management believes that the resolution of these matters will not have a material adverse impact on our future results of operations or financial position. </w:t>
      </w:r>
    </w:p>
    <w:p>
      <w:pPr>
        <w:pStyle w:val="TextBody"/>
        <w:bidi w:val="0"/>
        <w:spacing w:before="360" w:after="283"/>
        <w:jc w:val="left"/>
        <w:rPr>
          <w:rFonts w:ascii="Times New Roman" w:hAnsi="Times New Roman"/>
          <w:sz w:val="20"/>
        </w:rPr>
      </w:pPr>
      <w:bookmarkStart w:id="9" w:name="mine_safety_disclosures"/>
      <w:bookmarkEnd w:id="9"/>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1" w:name="market_for_registrants_common_equity"/>
      <w:bookmarkEnd w:id="11"/>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for trading on the Nasdaq Global Market under the symbol “DXLG”.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15, 2024, based upon data provided by the transfer agent for our common stock, there were approximately 75 holders of record of our common stock. The number of holders does not include individuals or entities who beneficially own shares but whose shares are held of record by a broker or clearing agent. </w:t>
      </w:r>
    </w:p>
    <w:p>
      <w:pPr>
        <w:pStyle w:val="TextBody"/>
        <w:bidi w:val="0"/>
        <w:spacing w:before="360" w:after="283"/>
        <w:jc w:val="left"/>
        <w:rPr>
          <w:rFonts w:ascii="Times New Roman" w:hAnsi="Times New Roman"/>
          <w:sz w:val="20"/>
        </w:rPr>
      </w:pPr>
      <w:r>
        <w:rPr>
          <w:rFonts w:ascii="Times New Roman" w:hAnsi="Times New Roman"/>
          <w:b/>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14, 2023, the Company’s Board of Directors approved a stock repurchase program pursuant to which the Company was initially authorized to repurchase up to $15.0 million of its common stock through open market and privately-negotiated transactions. The initial authorization was completed during the third quarter of fiscal 2023. On November 15, 2023, the Board of Directors approved an amendment to the stock repurchase program to increase the amount authorized under the program from $15.0 million to $25.0 million, effective November 17, 2023. Subsequent to the end of fiscal 2023, the stock repurchase program was completed.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repurchase activity during the three months ended February 3, 2024 was as follows:</w:t>
      </w:r>
    </w:p>
    <w:tbl>
      <w:tblPr>
        <w:tblW w:w="10205" w:type="dxa"/>
        <w:jc w:val="left"/>
        <w:tblInd w:w="0" w:type="dxa"/>
        <w:tblLayout w:type="fixed"/>
        <w:tblCellMar>
          <w:top w:w="28" w:type="dxa"/>
          <w:left w:w="28" w:type="dxa"/>
          <w:bottom w:w="28" w:type="dxa"/>
          <w:right w:w="28" w:type="dxa"/>
        </w:tblCellMar>
      </w:tblPr>
      <w:tblGrid>
        <w:gridCol w:w="1583"/>
        <w:gridCol w:w="146"/>
        <w:gridCol w:w="202"/>
        <w:gridCol w:w="1292"/>
        <w:gridCol w:w="146"/>
        <w:gridCol w:w="146"/>
        <w:gridCol w:w="379"/>
        <w:gridCol w:w="840"/>
        <w:gridCol w:w="146"/>
        <w:gridCol w:w="146"/>
        <w:gridCol w:w="295"/>
        <w:gridCol w:w="1886"/>
        <w:gridCol w:w="146"/>
        <w:gridCol w:w="146"/>
        <w:gridCol w:w="425"/>
        <w:gridCol w:w="2087"/>
        <w:gridCol w:w="194"/>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br/>
              <w:t>Total number of shares purchased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(b)</w:t>
              <w:br/>
              <w:t xml:space="preserve">Average price paid per share </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br/>
              <w:t>Total number of shares purchased as part of publicly announced plan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5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(d)</w:t>
              <w:br/>
              <w:t xml:space="preserve">Approximate dollar value of shares that may yet be purchased under the plan </w:t>
            </w:r>
            <w:r>
              <w:rPr>
                <w:rFonts w:ascii="Times New Roman" w:hAnsi="Times New Roman"/>
                <w:color w:val="000000"/>
                <w:sz w:val="13"/>
              </w:rPr>
              <w:t>(1)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5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2"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5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29, 2023 to November 25,2023</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18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10,150,003</w:t>
            </w:r>
          </w:p>
        </w:tc>
        <w:tc>
          <w:tcPr>
            <w:tcW w:w="194" w:type="dxa"/>
            <w:tcBorders/>
            <w:shd w:fill="CFF0FC"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26, 2023 to December 30, 2023</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5,172,641</w:t>
            </w:r>
          </w:p>
        </w:tc>
        <w:tc>
          <w:tcPr>
            <w:tcW w:w="194" w:type="dxa"/>
            <w:tcBorders/>
            <w:shd w:fill="FFFFFF" w:val="clear"/>
            <w:vAlign w:val="center"/>
          </w:tcPr>
          <w:p>
            <w:pPr>
              <w:pStyle w:val="TableContents"/>
              <w:bidi w:val="0"/>
              <w:spacing w:before="0" w:after="283"/>
              <w:jc w:val="left"/>
              <w:rPr/>
            </w:pPr>
            <w:r>
              <w:rPr/>
              <w:t> </w:t>
            </w:r>
          </w:p>
        </w:tc>
      </w:tr>
      <w:tr>
        <w:trPr/>
        <w:tc>
          <w:tcPr>
            <w:tcW w:w="15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 to February 3, 2024</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461,187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461,187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Average price paid per share and the approximate dollar value of shares that may yet be purchased under the plan excludes the accrual of excise tax of $0.2 million as of February 3,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Performance Graph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2019.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3248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2480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Annual Return Percentage</w:t>
      </w:r>
    </w:p>
    <w:tbl>
      <w:tblPr>
        <w:tblW w:w="8534" w:type="dxa"/>
        <w:jc w:val="left"/>
        <w:tblInd w:w="0" w:type="dxa"/>
        <w:tblLayout w:type="fixed"/>
        <w:tblCellMar>
          <w:top w:w="28" w:type="dxa"/>
          <w:left w:w="28" w:type="dxa"/>
          <w:bottom w:w="28" w:type="dxa"/>
          <w:right w:w="28" w:type="dxa"/>
        </w:tblCellMar>
      </w:tblPr>
      <w:tblGrid>
        <w:gridCol w:w="2345"/>
        <w:gridCol w:w="237"/>
        <w:gridCol w:w="237"/>
        <w:gridCol w:w="146"/>
        <w:gridCol w:w="146"/>
        <w:gridCol w:w="526"/>
        <w:gridCol w:w="331"/>
        <w:gridCol w:w="146"/>
        <w:gridCol w:w="146"/>
        <w:gridCol w:w="526"/>
        <w:gridCol w:w="331"/>
        <w:gridCol w:w="146"/>
        <w:gridCol w:w="146"/>
        <w:gridCol w:w="571"/>
        <w:gridCol w:w="271"/>
        <w:gridCol w:w="146"/>
        <w:gridCol w:w="146"/>
        <w:gridCol w:w="466"/>
        <w:gridCol w:w="331"/>
        <w:gridCol w:w="146"/>
        <w:gridCol w:w="146"/>
        <w:gridCol w:w="526"/>
        <w:gridCol w:w="376"/>
      </w:tblGrid>
      <w:tr>
        <w:trPr/>
        <w:tc>
          <w:tcPr>
            <w:tcW w:w="23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5"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Company/Index</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9"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DXLG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gridSpan w:val="3"/>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 Jones U.S. Apparel Retailers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Indexed Returns</w:t>
      </w:r>
    </w:p>
    <w:tbl>
      <w:tblPr>
        <w:tblW w:w="9968" w:type="dxa"/>
        <w:jc w:val="left"/>
        <w:tblInd w:w="0" w:type="dxa"/>
        <w:tblLayout w:type="fixed"/>
        <w:tblCellMar>
          <w:top w:w="28" w:type="dxa"/>
          <w:left w:w="28" w:type="dxa"/>
          <w:bottom w:w="28" w:type="dxa"/>
          <w:right w:w="28" w:type="dxa"/>
        </w:tblCellMar>
      </w:tblPr>
      <w:tblGrid>
        <w:gridCol w:w="2821"/>
        <w:gridCol w:w="146"/>
        <w:gridCol w:w="305"/>
        <w:gridCol w:w="610"/>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Base Period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03" w:type="dxa"/>
            <w:gridSpan w:val="18"/>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 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Company/Index</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DXLG</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w:t>
            </w:r>
          </w:p>
        </w:tc>
        <w:tc>
          <w:tcPr>
            <w:tcW w:w="19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183.21</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 Jones U.S. Apparel Retailers</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156.55</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 </w:t>
      </w:r>
    </w:p>
    <w:p>
      <w:pPr>
        <w:pStyle w:val="TextBody"/>
        <w:bidi w:val="0"/>
        <w:jc w:val="left"/>
        <w:rPr/>
      </w:pPr>
      <w:r>
        <w:rPr/>
        <w:t> </w:t>
      </w:r>
    </w:p>
    <w:p>
      <w:pPr>
        <w:pStyle w:val="TextBody"/>
        <w:bidi w:val="0"/>
        <w:jc w:val="left"/>
        <w:rPr>
          <w:rFonts w:ascii="Times New Roman" w:hAnsi="Times New Roman"/>
          <w:sz w:val="20"/>
        </w:rPr>
      </w:pPr>
      <w:bookmarkStart w:id="12" w:name="selected_financial_data"/>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i/>
          <w:color w:val="000000"/>
          <w:sz w:val="20"/>
        </w:rPr>
        <w:t>Reserved</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managements_discussion"/>
      <w:bookmarkEnd w:id="13"/>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i/>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and analysis of our financial condition and results of operations for fiscal 2023 as compared to fiscal 2022. Our Annual Report on Form 10-K for the year ended January 28, 2023 (fiscal 2022) includes a discussion and analysis of our financial condition and results of operations comparing fiscal 2022 to fiscal 2021 in Item 7 of Part II,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in Part 1, this section also contains forward-looking statements that reflect the Company’s plans, estimates and beliefs. The Company's actual results could materially differ from those discussed in these forward-looking statements. Factors that could cause or contribute to those differences include, but are not limited to, those discussed below and elsewhere in this report, particularly in “Risk Factors” and “Forward-Looking Statements.” The following discussion and analysis of our financial condition and results of operations should be read in light of those risks and uncertainties and in conjunction with our accompanying Consolidated Financial Statements and Notes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figures discussed below may not foot due to rounding.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integrated commerce approach. The Company’s wholesale business was a third operating segment until the first quarter of fiscal 2022, when the Company ended its relationship with its primary wholesale customer. Due to the immateriality of the wholesale segment’s revenues, profits and assets, its operating results were aggregated with the retail segment in fiscal 2022.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Comparable Sales and E-Commerce (Direct) Sales Definition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2023 fiscal year included 53 weeks compared with 52 weeks in fiscal 2022. Accordingly, year-over-year comparisons of total sales for the fourth quarter and full year are affected by an extra week of sales in fiscal 2023. However, for comparable sales, the Company is reporting on a comparable weeks basis (i.e. the 14 and 53 weeks ended February 3, 2024 compared with the 14 and 53 weeks ended February 4,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shopping experience continues to evolve across multiple channels and we are continually adapting to meet the customer's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or at curbside. We define store sales as sales that originate and are fulfilled directly at the store level. E-commerce sales, which we also refer to as direct sales, are defined as sales that originate online, whether through our website, at the store level, our Guest Engagement Center, or through a third-party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The method of calculating comparable sales varies across the retail industry and, as a result, our calculation of comparable sales is not necessarily comparable to similarly titled measures reported by other retailers.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certain non-GAAP financial measures on a regular basis in order to track the progress of our business. These measures include free cash flow, adjusted net income, adjusted net income per share, adjusted EBITDA and adjusted EBITDA margin. We believe these measures provide helpful information with respect to the Company’s operating performance and that the inclusion of these non-GAAP measures is important to assist investors in comparing our performance in fiscal 2023 to fiscal 2022.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on these non-GAAP financial measures and reconciliations to comparable GAAP measures.</w:t>
      </w:r>
    </w:p>
    <w:p>
      <w:pPr>
        <w:pStyle w:val="TextBody"/>
        <w:bidi w:val="0"/>
        <w:spacing w:before="12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fiscal year is a 52- or 53-week period ending on the Saturday closest to January 31. Fiscal 2023 was a 53-week period and fiscal 2022 was a 52-week period.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i/>
          <w:color w:val="000000"/>
          <w:sz w:val="20"/>
        </w:rPr>
        <w:t>EXECUTIVE OVERVIEW</w:t>
      </w:r>
      <w:r>
        <w:rPr>
          <w:rFonts w:ascii="Times New Roman" w:hAnsi="Times New Roman"/>
          <w:color w:val="000000"/>
          <w:sz w:val="20"/>
        </w:rPr>
        <w:t xml:space="preserve"> </w:t>
      </w:r>
    </w:p>
    <w:tbl>
      <w:tblPr>
        <w:tblW w:w="7928" w:type="dxa"/>
        <w:jc w:val="left"/>
        <w:tblInd w:w="0" w:type="dxa"/>
        <w:tblLayout w:type="fixed"/>
        <w:tblCellMar>
          <w:top w:w="28" w:type="dxa"/>
          <w:left w:w="28" w:type="dxa"/>
          <w:bottom w:w="28" w:type="dxa"/>
          <w:right w:w="28" w:type="dxa"/>
        </w:tblCellMar>
      </w:tblPr>
      <w:tblGrid>
        <w:gridCol w:w="3301"/>
        <w:gridCol w:w="146"/>
        <w:gridCol w:w="406"/>
        <w:gridCol w:w="1100"/>
        <w:gridCol w:w="453"/>
        <w:gridCol w:w="244"/>
        <w:gridCol w:w="406"/>
        <w:gridCol w:w="1100"/>
        <w:gridCol w:w="453"/>
        <w:gridCol w:w="319"/>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81" w:type="dxa"/>
            <w:gridSpan w:val="8"/>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millions, except for percentage of sales and per share data)</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w:t>
            </w:r>
          </w:p>
        </w:tc>
        <w:tc>
          <w:tcPr>
            <w:tcW w:w="453"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53"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453"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(Non-GAAP)</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453"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 diluted share:</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453"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53"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453"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righ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a percentage of sales:</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453"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expenses</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 (Non-GAAP)</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Liquidity:</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453"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453"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(Non-GAAP)</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45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53"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Fiscal 2023 proved to be a challenging year and our results fell short of our expectations. Our comparable sales for fiscal year 2023 decreased 4.6%, with comparable sales from our stores down 4.5% and our direct business down 4.8%. Despite the year-over-year decline in sales, fiscal 2023 proved to be the second highest year of sales in the history of our Company, only behind fiscal 2022. We were pleased with our operational discipline which allowed us to maintain a solid gross margin, manage our operating expenses, and generate net income of $0.43 per diluted share and an adjusted EBITDA margin (a non-GAAP measure) of 10.7%.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income for fiscal 2023 of $0.43 per diluted share included a non-recurring pretax charge of $5.7 million recognized in connection with our decision to terminate our frozen retirement plans during fiscal 2023. Given the high interest rates, we saw this as an opportunistic use of excess cash to eliminate these variable liabilities. Net income for fiscal 2022 included a tax benefit of $31.6 million, or $0.47 per diluted shares, attributable to the release of substantially all of the valuation allowance against our deferred tax assets. Assuming a normalized tax rate of 27% for both fiscal years and adjusting for the loss from the retirement plan terminations, asset impairments (gains) and tax benefits or gains, if any, adjusted net income for fiscal 2023, was $0.50 per diluted share as compared to adjusted net income of $0.63 per diluted share for fiscal 2022.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continued to strengthen our financial position in fiscal 2023, as we generated cash flow from operations of $49.6 million and free cash flow of $32.2 million. We used $24.5 million of that free cash flow to repurchase 5.4 million shares of our common stock. We successfully managed our inventory levels, which were down 12.9% as compared to the end of fiscal 2022. We ended fiscal 2023 with cash and investments totaling $60.0 million as compared to $52.1 million at January 28, 2023. We had no borrowings under our credit facility during fiscal 2023 and at February 3, 2024 our availability under our credit facility was $69.8 million. As we transition into fiscal 2024, we are focused on our long-term growth initiatives that we announced earlier in the year and are discussed above in Part I, Item 1, </w:t>
      </w:r>
      <w:r>
        <w:rPr>
          <w:rFonts w:ascii="Times New Roman" w:hAnsi="Times New Roman"/>
          <w:i/>
          <w:color w:val="000000"/>
          <w:sz w:val="20"/>
        </w:rPr>
        <w:t>Business Strategy</w:t>
      </w:r>
      <w:r>
        <w:rPr>
          <w:rFonts w:ascii="Times New Roman" w:hAnsi="Times New Roman"/>
          <w:color w:val="000000"/>
          <w:sz w:val="20"/>
        </w:rPr>
        <w:t xml:space="preserve">. Fiscal 2024 will be a year of investment and learning, but we feel strongly that the investments we are making in marketing, store expansion and digital are necessary to change the growth trajectory of our company and gain greater market share. We have selected creative and media agencies to help us curate and execute our vision and are planning a multi-channel campaign, with a multi-market test launch expected in early summer of 2024. We have also identified lease locations for another 8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DXL stores in addition to the three new stores we opened this year. Building stronger brand awareness is our overarching goal and we believe we need to invest in these initiatives to achieve that goal. </w:t>
      </w:r>
    </w:p>
    <w:p>
      <w:pPr>
        <w:pStyle w:val="TextBody"/>
        <w:bidi w:val="0"/>
        <w:spacing w:before="240" w:after="240"/>
        <w:jc w:val="left"/>
        <w:rPr>
          <w:rFonts w:ascii="Times New Roman" w:hAnsi="Times New Roman"/>
          <w:sz w:val="20"/>
        </w:rPr>
      </w:pPr>
      <w:r>
        <w:rPr>
          <w:rFonts w:ascii="Times New Roman" w:hAnsi="Times New Roman"/>
          <w:i/>
          <w:color w:val="000000"/>
          <w:sz w:val="20"/>
        </w:rPr>
        <w:t>SALES</w:t>
      </w:r>
      <w:r>
        <w:rPr>
          <w:rFonts w:ascii="Times New Roman" w:hAnsi="Times New Roman"/>
          <w:color w:val="000000"/>
          <w:sz w:val="20"/>
        </w:rPr>
        <w:t xml:space="preserve"> </w:t>
      </w:r>
    </w:p>
    <w:tbl>
      <w:tblPr>
        <w:tblW w:w="5717" w:type="dxa"/>
        <w:jc w:val="left"/>
        <w:tblInd w:w="0" w:type="dxa"/>
        <w:tblLayout w:type="fixed"/>
        <w:tblCellMar>
          <w:top w:w="28" w:type="dxa"/>
          <w:left w:w="28" w:type="dxa"/>
          <w:bottom w:w="28" w:type="dxa"/>
          <w:right w:w="28" w:type="dxa"/>
        </w:tblCellMar>
      </w:tblPr>
      <w:tblGrid>
        <w:gridCol w:w="1696"/>
        <w:gridCol w:w="146"/>
        <w:gridCol w:w="223"/>
        <w:gridCol w:w="827"/>
        <w:gridCol w:w="146"/>
        <w:gridCol w:w="646"/>
        <w:gridCol w:w="146"/>
        <w:gridCol w:w="223"/>
        <w:gridCol w:w="827"/>
        <w:gridCol w:w="146"/>
        <w:gridCol w:w="6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Store sales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358,710</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68.7%</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375,618</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68.9%</w:t>
            </w:r>
          </w:p>
        </w:tc>
      </w:tr>
      <w:tr>
        <w:trPr/>
        <w:tc>
          <w:tcPr>
            <w:tcW w:w="16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 sales</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31.3%</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31.1%</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segment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521,815</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100.0%</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545,439</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100.0%</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 segment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fiscal 2023, total sales decreased 4.4% to $521.8 million from $545.8 million for fiscal 2022. Comparable sales decreased 4.6%, with stores down 4.5% and the direct business down 4.8%. During fiscal 2023, we saw a gradual slowdown in store traffic across all regions of the country as consumer spending continued to be negatively impacted by the economic uncertainty and inflationary pressures. The decrease in comparable sales was partially offset by sales for the 53rd week of $7.1 million. </w:t>
      </w:r>
    </w:p>
    <w:p>
      <w:pPr>
        <w:pStyle w:val="TextBody"/>
        <w:bidi w:val="0"/>
        <w:spacing w:before="24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For fiscal 2023, gross margin, inclusive of occupancy costs, was 48.4% compared to 49.9% for fiscal 2022. The decrease of 150 basis points was due to a decrease in merchandise margins of 70 basis points and an 80 basis point increase in occupancy costs. The decrease in merchandise margin was due to cost pressures on certain private-label merchandise, increased direct-to-consumer shipping costs and costs related to our loyalty program. The 80 basis point increase in occupancy costs was due to a combination of the deleveraging of sales and increased rents as a result of lease extensions. For 2024, we expect our gross margin rate to experience some occupancy deleverage in the first half due to lower sales expectations and for the year we expect gross margin rates to be approximately 30 to 40-basis points lower than fiscal 2023.</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SG&amp;A expenses as a percentage of sales were 37.7% for fiscal 2023, as compared to 36.4% in fiscal 2022.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a dollar basis, SG&amp;A expenses decreased by $2.3 million for fiscal 2023 as compared to fiscal 2022. The decrease was primarily due to a decrease in marketing costs and a decrease in performance-based incentive accruals, partially offset by an increase in payroll-related costs from new positions added in the past year to support our long-range growth initiatives and costs for the 53rd week of approximately $2.7 million.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Management views SG&amp;A expenses through two primary cost centers: Customer Facing Costs and Corporate Support Costs. Customer Facing Costs, which include store payroll, marketing and other store operating costs, represented 21.3% of sales for fiscal 2023 as compared to 20.8% of sales for fiscal 2022. Corporate Support Costs, which include the distribution center and corporate overhead costs, represented 16.4% of sales for fiscal 2023 as compared to 15.6% of sales for fiscal 2022. Marketing costs for fiscal 2023 were 5.9% of sales.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IMPAIRMENT (GAIN) OF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impairment charges primarily represent the write-down of operating lease right-of-use assets and the write-down of store property and equipment, where the carrying value exceeds fair value.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fiscal 2023, the Company recorded a total asset impairment charge of $0.1 million, which included a write-down for certain store property and equipment and operating lease right-of-use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fiscal 2022, the Company recorded a non-cash gain of $0.6 million on the reduction of its operating lease liability in connection with its decision to close certain retail stores, which resulted in a revaluation of the lease liability. Of the total non-cash gain of $0.6 million, $0.4 million related to leases where the right-of-use assets had previously been impaired, and therefore was recorded as a reduction of the previously recorded impairment charge with the remaining $0.2 million recorded as a reduction to occupancy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fiscal 2022 impairment gain of $0.4 million was partially offset by a $0.2 million impairment charge for the write-down of store property and equipment. The net gain of $0.2 million is included as Impairment (Gain) of Assets on the Consolidated Statement of Operations for fiscal 2022.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fiscal 2023 was $13.8 million, as compared to $15.4 million in fiscal 2022. Our depreciation expense decreased over the past few years, as many of our assets have become fully depreciated and we have had modest capital spending over the past several years.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FROM TERMINATION OF RETIREMENT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2023, we identified an opportunity to eliminate a variable liability by taking advantage of the high-interest rate environment and terminate the frozen pension plan and SERP. Through the purchase of nonparticipating annuities, we completed a final settlement of the SERP in the third quarter and a final settlement of the pension plan in the fourth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2023, we recognized a charge of $5.7 million representing the recognition of the unrealized loss that was part of Accumulated Other Comprehensive Loss on the Consolidated Balance Sheet.</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interest income for fiscal 2023 was $2.1 million, as compared to net interest expense of $0.3 million for fiscal 2022. We started investing excess cash in short-term, US government-backed investments in the fourth quarter of fiscal 2022, which generated a net interest income position in fiscal 2023. Interest costs for both fiscal years were immaterial because we had no outstanding debt and no borrowings under our credit facility during any period.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releasing substantially all of the valuation allowance against our deferred tax assets during fiscal 2022, we have returned to a normal tax provision for fiscal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end of fiscal 2013, we had maintained a full valuation allowance against our deferred tax assets. During the second quarter of fiscal 2022, we determined that it was more likely than not that we would be able to realize the benefit of substantially all of our deferred tax assets in the United States. In reaching this determination, we considered the cumulative three years of profitability, our expectations regarding the generation of future taxable income as well as the overall improvement in our business and our current market position. As a result, in fiscal 2022, the valuation allowance against the Company's deferred tax assets decreased by $47.6 million, of which $31.6 million was recorded as a non-recurring tax benefit related to the release of the valuation allowance on deferred tax assets expected to be realized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February 3, 2024, we continued to provide a valuation allowance of $2.2 million, primarily against certain state and foreign net operating losses ("NOLs").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Realization of our deferred tax assets, which relate principally to federal net operating loss carryforwards, of which approximately $3.6 million will expire in fiscal 2037, is dependent on generating sufficient taxable income. In addition, there are $39.9 million of federal net operating loss carryforwards that do not expire. For state income tax purposes, we have $51.8 million of net operating losses that are available to offset future taxable income, the majority of which will expire from fiscal 2024 through fiscal 2045. The utilization of our NOLs reduces our taxable income and, as a result, we have minimal cash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fiscal year 2023, the Company’s effective tax rate was 27.4%. For fiscal 2022, we recorded an income tax benefit of $30.8 million, which included a current income tax provision of $0.8 million, primarily related to income tax in states with statutory limitations on the usage of NOLs, and a non-recurring tax benefit of $31.6 million related to the release of the valuation allowance against the deferred tax assets. See Note F to the Consolidated Financial Statements. </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for fiscal 2023 was $27.9 million, or $0.43 per diluted share, as compared to a net income for fiscal 2022 of $89.1 million, or $1.33 per diluted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for fiscal year 2023 included net income for the 53rd week, which was approximately $1.2 million, and also included a loss from the termination of retirement plans of $5.7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for fiscal 2022 included the reversal of $31.6 million, or $0.47 per diluted share, of our deferred tax asset valuation allowance.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non-GAAP basis, assuming a normalized tax rate of 27% and adjusting for the loss from the termination of the retirement plans, actual income tax provision (benefit) and asset impairment (gain), if any, adjusted net income for fiscal year 2023 was $32.3 million, or $0.50 per diluted share, as compared to adjusted net income of $42.5 million, or $0.63 per diluted share for fiscal 2022.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comparison of sales in each quarter of the past two fiscal years is presented below. The amounts shown are also not necessarily indicative of actual trends, because such amounts also reflect the addition of new stores and the remodeling and closing of other stores during these periods. Consistent with the retail apparel industry, our business is seasonal. (Certain columns may not foot due to rounding.)</w:t>
      </w:r>
    </w:p>
    <w:p>
      <w:pPr>
        <w:pStyle w:val="TextBody"/>
        <w:bidi w:val="0"/>
        <w:spacing w:before="120" w:after="283"/>
        <w:jc w:val="left"/>
        <w:rPr/>
      </w:pPr>
      <w:r>
        <w:rPr/>
        <w:t> </w:t>
      </w:r>
    </w:p>
    <w:tbl>
      <w:tblPr>
        <w:tblW w:w="6917" w:type="dxa"/>
        <w:jc w:val="left"/>
        <w:tblInd w:w="0" w:type="dxa"/>
        <w:tblLayout w:type="fixed"/>
        <w:tblCellMar>
          <w:top w:w="28" w:type="dxa"/>
          <w:left w:w="28" w:type="dxa"/>
          <w:bottom w:w="28" w:type="dxa"/>
          <w:right w:w="28" w:type="dxa"/>
        </w:tblCellMar>
      </w:tblPr>
      <w:tblGrid>
        <w:gridCol w:w="2356"/>
        <w:gridCol w:w="246"/>
        <w:gridCol w:w="211"/>
        <w:gridCol w:w="571"/>
        <w:gridCol w:w="146"/>
        <w:gridCol w:w="146"/>
        <w:gridCol w:w="146"/>
        <w:gridCol w:w="571"/>
        <w:gridCol w:w="271"/>
        <w:gridCol w:w="146"/>
        <w:gridCol w:w="211"/>
        <w:gridCol w:w="571"/>
        <w:gridCol w:w="146"/>
        <w:gridCol w:w="146"/>
        <w:gridCol w:w="146"/>
        <w:gridCol w:w="571"/>
        <w:gridCol w:w="316"/>
      </w:tblGrid>
      <w:tr>
        <w:trPr/>
        <w:tc>
          <w:tcPr>
            <w:tcW w:w="2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millions, except percentages)</w:t>
            </w:r>
          </w:p>
        </w:tc>
        <w:tc>
          <w:tcPr>
            <w:tcW w:w="2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quarter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Second quarter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Third quarter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Fourth quarter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EFFECTS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2023, we continued to see the effect of inflationary pressures on raw materials, services and labor. While there seems to be improvement, we cannot be certain of the effect inflation (or deflation) may have on our results of operations in the future.</w:t>
      </w:r>
    </w:p>
    <w:p>
      <w:pPr>
        <w:pStyle w:val="TextBody"/>
        <w:bidi w:val="0"/>
        <w:spacing w:before="240" w:after="283"/>
        <w:jc w:val="left"/>
        <w:rPr>
          <w:rFonts w:ascii="Times New Roman" w:hAnsi="Times New Roman"/>
          <w:sz w:val="20"/>
        </w:rPr>
      </w:pPr>
      <w:r>
        <w:rPr>
          <w:rFonts w:ascii="Times New Roman" w:hAnsi="Times New Roman"/>
          <w:i/>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are our cash and cash equivalents, cash generated from operations and availability under our credit facility, which is discussed below. We believe these sources of liquidity will be sufficient to fund our working capital requirements, commitments, capital expenditures and our stock repurchase program. Cash that is in excess of our forecasted needs may be invested in money market accounts and U.S. government-backed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investments, cash generated from operations, and borrowings available to us under our credit facility will be adequate to meet our liquidity needs and capital expenditure requirements for at least the next 12 months. We also believe that cash flows from operating activities and cash on hand will be sufficient to satisfy our capital requirements in the longer-term, however, to the extent future capital requirements exceed cash on hand plus cash flows from operating activities, we anticipate that working capital will be financed by our credit facility.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At February 3, 2024 our material contractual obligations primarily consisted of our operating lease obligations, as disclosed in Note E, </w:t>
      </w:r>
      <w:r>
        <w:rPr>
          <w:rFonts w:ascii="Times New Roman" w:hAnsi="Times New Roman"/>
          <w:i/>
          <w:color w:val="000000"/>
          <w:sz w:val="20"/>
        </w:rPr>
        <w:t>Leases</w:t>
      </w:r>
      <w:r>
        <w:rPr>
          <w:rFonts w:ascii="Times New Roman" w:hAnsi="Times New Roman"/>
          <w:color w:val="000000"/>
          <w:sz w:val="20"/>
        </w:rPr>
        <w:t xml:space="preserve">, to the Consolidated Financial Statements. In addition to our lease obligations, at February 3, 2024, we were also contractually committed pursuant to a merchandise purchase obligation to meet minimum purchases of $10.0 million annually through fiscal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financial data regarding our liquidity position at the end of the past two fiscal years:</w:t>
      </w:r>
    </w:p>
    <w:p>
      <w:pPr>
        <w:pStyle w:val="TextBody"/>
        <w:bidi w:val="0"/>
        <w:jc w:val="left"/>
        <w:rPr/>
      </w:pPr>
      <w:r>
        <w:rPr/>
        <w:t> </w:t>
      </w:r>
    </w:p>
    <w:tbl>
      <w:tblPr>
        <w:tblW w:w="7791" w:type="dxa"/>
        <w:jc w:val="left"/>
        <w:tblInd w:w="0" w:type="dxa"/>
        <w:tblLayout w:type="fixed"/>
        <w:tblCellMar>
          <w:top w:w="28" w:type="dxa"/>
          <w:left w:w="28" w:type="dxa"/>
          <w:bottom w:w="28" w:type="dxa"/>
          <w:right w:w="28" w:type="dxa"/>
        </w:tblCellMar>
      </w:tblPr>
      <w:tblGrid>
        <w:gridCol w:w="5176"/>
        <w:gridCol w:w="146"/>
        <w:gridCol w:w="257"/>
        <w:gridCol w:w="643"/>
        <w:gridCol w:w="166"/>
        <w:gridCol w:w="146"/>
        <w:gridCol w:w="280"/>
        <w:gridCol w:w="620"/>
        <w:gridCol w:w="166"/>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from operating activities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(Non-GAAP)</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short-term investments, at year end</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 of unamortized debt issuance costs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excess availability under Credit Facility</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fiscal 2023, cash flow from operations decreased to $49.6 million as compared to $59.9 million for fiscal 2022. Free cash flow, a non-GAAP measure, decreased to $32.2 million for fiscal 2023 as compared to $50.3 million for fiscal 2022. The decrease in free cash flow was due primarily to a decrease in operating income and an increase in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used for investing activities increased by $39.5 million for fiscal 2023 as compared fiscal 2022, primarily due to the purchase of short-term investments, net of maturities, of $31.9 million and an increase in capital expenditures of $7.8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Cash flow used for financing activities for fiscal 2023 and fiscal 2022 of $24.9 million and $13.7 million, respectively, was primarily for the repurchase of our common stock.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u w:val="single"/>
        </w:rPr>
        <w:t>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28, 2021, we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Facility"). The Credit Facility includes a sublimit of $20.0 million for commercial and standby letters of credit and a sublimit of up to $15.0 million for swingline loans. 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no outstanding borrowings under the Credit Facility at February 3, 2024. At February 3, 2024, outstanding standby letters of credit were $4.3 million and outstanding documentary letters were credit of $1.0 million. The Credit Facility was not utilized during the year, resulting in average unused excess availability during fiscal 2022 of $84.5 million. Unused excess availability at February 3, 2024 was $69.8 million. Our obligations under the Credit Facility are secured by a lien on substantially all of our assets. The Company was subject to an unused line fee of 0.25% of the total commitment less average outstanding letters of credit.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Credit Facility is described in more detail in Note D to the Consolidated Financial Statements.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our Board of Directors approved a stock repurchase program. Under the stock repurchase program, we were initially authorized to repurchase up to $15.0 million of its common stock through open market and privately negotiated transactions. In November 2023, the Board of Directors approved an amendment to the stock repurchase program to increase the amount authorized for repurchase from $15.0 million to $25.0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2023, we repurchased 5.4 million shares at a total cost, including fees, of $24.5 million. Shares of repurchased common stock are held as treasury stock. The stock repurchase program was completed subsequent to the end of the fiscal year. </w:t>
      </w:r>
    </w:p>
    <w:p>
      <w:pPr>
        <w:pStyle w:val="TextBody"/>
        <w:bidi w:val="0"/>
        <w:spacing w:before="36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February 3, 2024, total inventories decreased to $81.0 million from $93.0 million at January 28, 2023. Inventory at February 3, 2024 was approximately 12.9% lower than the prior year. Managing our inventory remains a primary focus for us as we strive to be efficient with our working capital. Based on the unfavorable sales trends we started to see in March 2023, we began taking proactive measures to manage our inventory and adjust our receipt plan. At February 3, 2024, our clearance inventory was 9.5% of our inventory, as compared to 7.9% at January 28, 2023, and below our historical benchmark of approximately 10.0%. Since 2019, we have reduced our inventory by 21% and improved our inventory turnover rate by over 30%. Given the ongoing macro-economic concerns around inflation and consumer spending, managing our inventory will remain a primary focus for us in fiscal 2024. </w:t>
      </w:r>
    </w:p>
    <w:p>
      <w:pPr>
        <w:pStyle w:val="TextBody"/>
        <w:bidi w:val="0"/>
        <w:spacing w:before="360" w:after="283"/>
        <w:jc w:val="left"/>
        <w:rPr>
          <w:rFonts w:ascii="Times New Roman" w:hAnsi="Times New Roman"/>
          <w:sz w:val="20"/>
        </w:rPr>
      </w:pPr>
      <w:r>
        <w:rPr>
          <w:rFonts w:ascii="Times New Roman" w:hAnsi="Times New Roman"/>
          <w:i/>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off-balance sheet arrangements as defined by 303(a)(4) of Regulation S-K. </w:t>
      </w:r>
    </w:p>
    <w:p>
      <w:pPr>
        <w:pStyle w:val="TextBody"/>
        <w:bidi w:val="0"/>
        <w:spacing w:before="360" w:after="283"/>
        <w:jc w:val="left"/>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open stores and related square footage at February 3, 2024 and January 28, 2023 respectively:</w:t>
      </w:r>
    </w:p>
    <w:p>
      <w:pPr>
        <w:pStyle w:val="TextBody"/>
        <w:bidi w:val="0"/>
        <w:jc w:val="left"/>
        <w:rPr/>
      </w:pPr>
      <w:r>
        <w:rPr/>
        <w:t> </w:t>
      </w:r>
    </w:p>
    <w:tbl>
      <w:tblPr>
        <w:tblW w:w="6593" w:type="dxa"/>
        <w:jc w:val="left"/>
        <w:tblInd w:w="0" w:type="dxa"/>
        <w:tblLayout w:type="fixed"/>
        <w:tblCellMar>
          <w:top w:w="28" w:type="dxa"/>
          <w:left w:w="28" w:type="dxa"/>
          <w:bottom w:w="28" w:type="dxa"/>
          <w:right w:w="28" w:type="dxa"/>
        </w:tblCellMar>
      </w:tblPr>
      <w:tblGrid>
        <w:gridCol w:w="2206"/>
        <w:gridCol w:w="146"/>
        <w:gridCol w:w="224"/>
        <w:gridCol w:w="646"/>
        <w:gridCol w:w="146"/>
        <w:gridCol w:w="146"/>
        <w:gridCol w:w="146"/>
        <w:gridCol w:w="571"/>
        <w:gridCol w:w="146"/>
        <w:gridCol w:w="146"/>
        <w:gridCol w:w="224"/>
        <w:gridCol w:w="646"/>
        <w:gridCol w:w="146"/>
        <w:gridCol w:w="146"/>
        <w:gridCol w:w="146"/>
        <w:gridCol w:w="57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At February 3,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At January 28,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Store Concept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Square</w:t>
              <w:br/>
              <w:t>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Square</w:t>
              <w:br/>
              <w:t>Footage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(square footage in thousands)</w:t>
            </w:r>
          </w:p>
        </w:tc>
        <w:tc>
          <w:tcPr>
            <w:tcW w:w="146" w:type="dxa"/>
            <w:tcBorders/>
            <w:shd w:fill="FFFFFF" w:val="clear"/>
            <w:vAlign w:val="center"/>
          </w:tcPr>
          <w:p>
            <w:pPr>
              <w:pStyle w:val="TableContents"/>
              <w:bidi w:val="0"/>
              <w:spacing w:before="0" w:after="283"/>
              <w:jc w:val="both"/>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DXL Retail</w:t>
            </w:r>
          </w:p>
        </w:tc>
        <w:tc>
          <w:tcPr>
            <w:tcW w:w="146" w:type="dxa"/>
            <w:tcBorders/>
            <w:shd w:fill="CFF0FC" w:val="clear"/>
            <w:vAlign w:val="center"/>
          </w:tcPr>
          <w:p>
            <w:pPr>
              <w:pStyle w:val="TableContents"/>
              <w:bidi w:val="0"/>
              <w:spacing w:before="0" w:after="283"/>
              <w:jc w:val="both"/>
              <w:rPr/>
            </w:pPr>
            <w:r>
              <w:rPr/>
              <w:t> </w:t>
            </w:r>
          </w:p>
        </w:tc>
        <w:tc>
          <w:tcPr>
            <w:tcW w:w="2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DXL Outlet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Casual Male XL Retail</w:t>
            </w:r>
          </w:p>
        </w:tc>
        <w:tc>
          <w:tcPr>
            <w:tcW w:w="146" w:type="dxa"/>
            <w:tcBorders/>
            <w:shd w:fill="CFF0FC" w:val="clear"/>
            <w:vAlign w:val="center"/>
          </w:tcPr>
          <w:p>
            <w:pPr>
              <w:pStyle w:val="TableContents"/>
              <w:bidi w:val="0"/>
              <w:spacing w:before="0" w:after="283"/>
              <w:jc w:val="both"/>
              <w:rPr/>
            </w:pPr>
            <w:r>
              <w:rPr/>
              <w:t> </w:t>
            </w:r>
          </w:p>
        </w:tc>
        <w:tc>
          <w:tcPr>
            <w:tcW w:w="2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Casual Male XL Outlet</w:t>
            </w:r>
          </w:p>
        </w:tc>
        <w:tc>
          <w:tcPr>
            <w:tcW w:w="146" w:type="dxa"/>
            <w:tcBorders/>
            <w:shd w:fill="FFFFFF" w:val="clear"/>
            <w:vAlign w:val="center"/>
          </w:tcPr>
          <w:p>
            <w:pPr>
              <w:pStyle w:val="TableContents"/>
              <w:bidi w:val="0"/>
              <w:spacing w:before="0" w:after="283"/>
              <w:jc w:val="both"/>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Stores</w:t>
            </w:r>
          </w:p>
        </w:tc>
        <w:tc>
          <w:tcPr>
            <w:tcW w:w="146" w:type="dxa"/>
            <w:tcBorders/>
            <w:shd w:fill="CFF0FC" w:val="clear"/>
            <w:vAlign w:val="center"/>
          </w:tcPr>
          <w:p>
            <w:pPr>
              <w:pStyle w:val="TableContents"/>
              <w:bidi w:val="0"/>
              <w:spacing w:before="0" w:after="283"/>
              <w:jc w:val="both"/>
              <w:rPr/>
            </w:pPr>
            <w:r>
              <w:rPr/>
              <w:t> </w:t>
            </w:r>
          </w:p>
        </w:tc>
        <w:tc>
          <w:tcPr>
            <w:tcW w:w="2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fiscal 2023, we opened three new DXL stores, we completed the conversion of 11 Casual Male stores to the DXL store format, completed the remodel of one existing DXL store and closed one DXL outlet. Below is a summary of the store activity from January 28, 2023 to February 3, 2024:</w:t>
      </w:r>
    </w:p>
    <w:p>
      <w:pPr>
        <w:pStyle w:val="TextBody"/>
        <w:bidi w:val="0"/>
        <w:spacing w:before="40" w:after="283"/>
        <w:jc w:val="left"/>
        <w:rPr/>
      </w:pPr>
      <w:r>
        <w:rPr/>
        <w:t> </w:t>
      </w:r>
    </w:p>
    <w:tbl>
      <w:tblPr>
        <w:tblW w:w="8321" w:type="dxa"/>
        <w:jc w:val="left"/>
        <w:tblInd w:w="0" w:type="dxa"/>
        <w:tblLayout w:type="fixed"/>
        <w:tblCellMar>
          <w:top w:w="28" w:type="dxa"/>
          <w:left w:w="28" w:type="dxa"/>
          <w:bottom w:w="28" w:type="dxa"/>
          <w:right w:w="28" w:type="dxa"/>
        </w:tblCellMar>
      </w:tblPr>
      <w:tblGrid>
        <w:gridCol w:w="1956"/>
        <w:gridCol w:w="146"/>
        <w:gridCol w:w="228"/>
        <w:gridCol w:w="657"/>
        <w:gridCol w:w="146"/>
        <w:gridCol w:w="146"/>
        <w:gridCol w:w="271"/>
        <w:gridCol w:w="644"/>
        <w:gridCol w:w="166"/>
        <w:gridCol w:w="146"/>
        <w:gridCol w:w="263"/>
        <w:gridCol w:w="682"/>
        <w:gridCol w:w="166"/>
        <w:gridCol w:w="146"/>
        <w:gridCol w:w="279"/>
        <w:gridCol w:w="666"/>
        <w:gridCol w:w="146"/>
        <w:gridCol w:w="146"/>
        <w:gridCol w:w="239"/>
        <w:gridCol w:w="691"/>
        <w:gridCol w:w="39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Number of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DXL 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DXL Outlet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Casual Male</w:t>
              <w:br/>
              <w:t>XL 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Casual Male</w:t>
              <w:br/>
              <w:t> XL Outlet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Stores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28, 2023</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New stores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Conversion in place</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Closed retail stores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February 3, 2024</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expenditures for fiscal 2023 were $17.4 million, as compared to $9.6 million in fiscal 2022. The capital expenditures for fiscal 2023 primarily related to stores, information technology projects, distribution center and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store portfolio is a vital asset to our business strategy and we expect to invest in stores over the next several years as we strengthen the store portfolio. Over the next three to five years, we believe we could potentially open approximately 50 net new DXL stores across the country, which could average 6,000 square feet or 300,000 sq. ft. in total, a 15% increase over our current square footage. For fiscal 2024, our plan is to open 8 new stores, convert 5 of our remaining Casual Male XL stores to DXL stores and remodel 5 of our existing DXL stores. We expect our capital expenditures to range from $22.0 million to $25.0 million in fiscal 2024. </w:t>
      </w:r>
    </w:p>
    <w:p>
      <w:pPr>
        <w:pStyle w:val="TextBody"/>
        <w:bidi w:val="0"/>
        <w:spacing w:before="240" w:after="283"/>
        <w:jc w:val="left"/>
        <w:rPr>
          <w:rFonts w:ascii="Times New Roman" w:hAnsi="Times New Roman"/>
          <w:sz w:val="20"/>
        </w:rPr>
      </w:pPr>
      <w:r>
        <w:rPr>
          <w:rFonts w:ascii="Times New Roman" w:hAnsi="Times New Roman"/>
          <w:b/>
          <w:i/>
          <w:color w:val="000000"/>
          <w:sz w:val="20"/>
        </w:rPr>
        <w:t>Non-GAAP Reconciliations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2023 to fiscal 2022,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is a metric that management uses to monitor liquidity. Management believes this metric is important to investors, because it demonstrates the Company’s ability to maintain liquidity while supporting its capital projects and new store growth. We calculate free cash flow as cash flow provided by operating activities less capital expenditures. Free cash flow excludes the mandatory and discretionary repayment of debt. The following table provides a reconciliation of free cash flow:</w:t>
      </w:r>
    </w:p>
    <w:p>
      <w:pPr>
        <w:pStyle w:val="TextBody"/>
        <w:bidi w:val="0"/>
        <w:jc w:val="left"/>
        <w:rPr/>
      </w:pPr>
      <w:r>
        <w:rPr/>
        <w:t> </w:t>
      </w:r>
    </w:p>
    <w:tbl>
      <w:tblPr>
        <w:tblW w:w="6247" w:type="dxa"/>
        <w:jc w:val="left"/>
        <w:tblInd w:w="0" w:type="dxa"/>
        <w:tblLayout w:type="fixed"/>
        <w:tblCellMar>
          <w:top w:w="28" w:type="dxa"/>
          <w:left w:w="28" w:type="dxa"/>
          <w:bottom w:w="28" w:type="dxa"/>
          <w:right w:w="28" w:type="dxa"/>
        </w:tblCellMar>
      </w:tblPr>
      <w:tblGrid>
        <w:gridCol w:w="3286"/>
        <w:gridCol w:w="146"/>
        <w:gridCol w:w="260"/>
        <w:gridCol w:w="640"/>
        <w:gridCol w:w="166"/>
        <w:gridCol w:w="146"/>
        <w:gridCol w:w="286"/>
        <w:gridCol w:w="614"/>
        <w:gridCol w:w="166"/>
        <w:gridCol w:w="146"/>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2"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operating activities (GAAP)</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Free cash flow (non-GAAP)</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i/>
          <w:color w:val="000000"/>
          <w:sz w:val="20"/>
          <w:u w:val="single"/>
        </w:rPr>
        <w:t>Adjusted Net Income and Adjusted Net Income Per Diluted Share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Adjusted net income and adjusted net income per diluted share is calculated by excluding any asset impairment charge (gain) and the loss from the termination of retirement plans, subtracting the actual income tax provision (benefit) and applying an effective tax rate of 27%. The Company believes that this comparability is useful in comparing the actual results period to period. Adjusted net income per diluted share is then calculated by dividing the adjusted net income by the weighted average shares outstanding for the respective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period, on a diluted basis. The following table is a reconciliation of net income on a GAAP basis to adjusted net income, on a non-GAAP basis, for each fiscal year: </w:t>
      </w:r>
    </w:p>
    <w:tbl>
      <w:tblPr>
        <w:tblW w:w="9028" w:type="dxa"/>
        <w:jc w:val="left"/>
        <w:tblInd w:w="0" w:type="dxa"/>
        <w:tblLayout w:type="fixed"/>
        <w:tblCellMar>
          <w:top w:w="28" w:type="dxa"/>
          <w:left w:w="28" w:type="dxa"/>
          <w:bottom w:w="28" w:type="dxa"/>
          <w:right w:w="28" w:type="dxa"/>
        </w:tblCellMar>
      </w:tblPr>
      <w:tblGrid>
        <w:gridCol w:w="4591"/>
        <w:gridCol w:w="146"/>
        <w:gridCol w:w="211"/>
        <w:gridCol w:w="526"/>
        <w:gridCol w:w="166"/>
        <w:gridCol w:w="146"/>
        <w:gridCol w:w="266"/>
        <w:gridCol w:w="589"/>
        <w:gridCol w:w="146"/>
        <w:gridCol w:w="146"/>
        <w:gridCol w:w="211"/>
        <w:gridCol w:w="526"/>
        <w:gridCol w:w="166"/>
        <w:gridCol w:w="146"/>
        <w:gridCol w:w="266"/>
        <w:gridCol w:w="589"/>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diluted</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diluted</w:t>
              <w:br/>
              <w:t>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(GAAP basis)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termination of retirement plans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(gain) of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actual 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assuming normal tax rate of 27%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 basis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w:t>
              <w:br/>
              <w:t>   outstanding on a diluted basis</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and the loss on termination of retirement plans. Adjusted EBITDA margin is calculated as adjusted EBITDA divided by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is a reconciliation of net income on a GAAP basis to adjusted EBITDA and adjusted EBITDA margin, on a non-GAAP basis, for each fiscal year:</w:t>
      </w:r>
    </w:p>
    <w:tbl>
      <w:tblPr>
        <w:tblW w:w="6921" w:type="dxa"/>
        <w:jc w:val="left"/>
        <w:tblInd w:w="0" w:type="dxa"/>
        <w:tblLayout w:type="fixed"/>
        <w:tblCellMar>
          <w:top w:w="28" w:type="dxa"/>
          <w:left w:w="28" w:type="dxa"/>
          <w:bottom w:w="28" w:type="dxa"/>
          <w:right w:w="28" w:type="dxa"/>
        </w:tblCellMar>
      </w:tblPr>
      <w:tblGrid>
        <w:gridCol w:w="4096"/>
        <w:gridCol w:w="146"/>
        <w:gridCol w:w="243"/>
        <w:gridCol w:w="657"/>
        <w:gridCol w:w="271"/>
        <w:gridCol w:w="146"/>
        <w:gridCol w:w="243"/>
        <w:gridCol w:w="657"/>
        <w:gridCol w:w="27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on a GAAP basis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(gain) of assets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termination of retirement plans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on a non-GAAP basis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w:t>
            </w:r>
          </w:p>
        </w:tc>
        <w:tc>
          <w:tcPr>
            <w:tcW w:w="27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 on a non-GAAP basis: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CRITICAL ACCOUNTING POLICIES;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are based on the application of significant accounting policies, many of which require our management to make significant estimates and assumptions (see Note A to the Consolidated Financial Statements). We believe that the following items involve some of the more critical judgments in the application of accounting policies that currently affect our financial condition and results of operations.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Long-Term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awards are primarily granted pursuant to our Long-Term Incentive Plans (“LTIPs”). During fiscal 2023, we had three active LTIPs: the 2021-2023 LTIP, the 2022-2024 LTIP and the 2023-2025 LTIP. See Note H to the Consolidated Financial Statements for additional discussion of our LTIPs. Awards under each LTIP consist of 50% time-based awards and 50% performance-based awards. All time-based awards are amortized over each LTIP’s respective vesting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performance-based component of each LTIP is a dollar-denominated award, settled in a variable number of equity awards and/or cash awards. Any award will only be granted if such performance targets are achieved. Accordingly, each quarter the Company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reviews its expected achievement against such performance targets to assess whether an accrual is necessary. The performance metric for each of these LTIPs is a three-year total shareholder return against peers. As such, the accruals are based on projections that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targets under the 2021-2023 LTIP were achieved at the end of fiscal 2023. Awards granted pursuant to this achievement will be subject to further vesting through August 31, 2024. Accordingly, at February 3, 2024, $2.5 million of the expected $3.0 million award was accrued. With respect to the performance-based component of the 2022-2024 LTIP and the 2023-2025 LTIP, which approximate $2.4 million and $2.5 million, respectively, at target, awards will be granted at the end of the respective performance period if the performance targets are achieved. Through the end of fiscal 2023, we accrued approximately $1.6 million for performance under the 2022-2024 LTIP, and there was no accrual for performance under the 2023-2025 LTIP.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us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We will recognize an impairment when the undiscounted cash flow estimated to be generated by those assets is less than the assets’ carrying amount. If actual market conditions are less favorable than management’s projections, future write-offs may be necessary.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 See Note A to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fiscal 2023 and fiscal 2022, we recorded an impairment charge (gain) of $0.1 million and $(0.2) million, respectively, within Impairment (Gain) of Assets on the Consolidated Statements of Operations. </w:t>
      </w:r>
    </w:p>
    <w:p>
      <w:pPr>
        <w:pStyle w:val="TextBody"/>
        <w:bidi w:val="0"/>
        <w:spacing w:before="360" w:after="283"/>
        <w:jc w:val="left"/>
        <w:rPr>
          <w:rFonts w:ascii="Times New Roman" w:hAnsi="Times New Roman"/>
          <w:sz w:val="20"/>
        </w:rPr>
      </w:pPr>
      <w:r>
        <w:rPr>
          <w:rFonts w:ascii="Times New Roman" w:hAnsi="Times New Roman"/>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reviewed accounting pronouncements and interpretations thereof that have effective dates during the periods reported and in future periods. See Note A to the Consolidated Financial Statements included in this report for information on recent accounting pronouncements and the impact of impending standards on our future filings.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4" w:name="quantitative_and_qualitative_disclosures"/>
      <w:bookmarkEnd w:id="14"/>
      <w:r>
        <w:rPr>
          <w:rFonts w:ascii="Times New Roman" w:hAnsi="Times New Roman"/>
          <w:b/>
          <w:color w:val="000000"/>
          <w:sz w:val="20"/>
        </w:rPr>
        <w:t>Item 7A.</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Interest Rates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12121"/>
          <w:sz w:val="20"/>
        </w:rPr>
      </w:pPr>
      <w:r>
        <w:rPr>
          <w:rFonts w:ascii="Times New Roman" w:hAnsi="Times New Roman"/>
          <w:color w:val="212121"/>
          <w:sz w:val="20"/>
        </w:rPr>
        <w:t>Our exposure to market risk for changes in interest rates relates primarily to our investments, which consists of cash equivalents and short-term investments at February 3, 2024. The primary objective of our investment activities is to preserve principal. This is accomplished by investing in money market accounts and U.S. treasury bills. We do not use derivative financial instruments. Due to the nature of our investments, we do not expect our operating results or cash flows to be affected to any significant degree by any change in market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February 3, 2024, approximately $6.0 million of our cash equivalents were invested in U.S. treasury bills and $17.2 million in money market accounts. At February 3, 2024, we also had $32.5 million in short-term investments, invested in U.S. treasury bills.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2023, we utilized cash from operations to fund our working capital needs. We have a Credit Facility that can also be used, if needed. The Credit Facility is not used for trading or speculative purposes. In addition, under our Credit Facility we have available letters of credit as sources of financing for our working capital requirements. Borrowings under the Credit Facility, which expires October 28, 2026, bear interest at variable rates based on the prime rate or Daily Simple SOFR rate, as defined in the Credit Agreement. At February 3, 2024, we had no outstanding borrowings under the Credit Facility.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financial_statements_and_supplementary"/>
      <w:bookmarkEnd w:id="15"/>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i/>
          <w:color w:val="000000"/>
          <w:sz w:val="20"/>
        </w:rPr>
        <w:t>Financial Statements and Supplementary Data</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aps/>
          <w:color w:val="000000"/>
          <w:sz w:val="20"/>
        </w:rPr>
        <w:t>Destination XL Group,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INDEX TO CONSOLIDATED FINANCIAL STATEMENTS</w:t>
      </w:r>
      <w:r>
        <w:rPr>
          <w:rFonts w:ascii="Times New Roman" w:hAnsi="Times New Roman"/>
          <w:caps/>
          <w:color w:val="000000"/>
          <w:sz w:val="20"/>
        </w:rPr>
        <w:t xml:space="preserve"> </w:t>
      </w:r>
    </w:p>
    <w:p>
      <w:pPr>
        <w:pStyle w:val="TextBody"/>
        <w:bidi w:val="0"/>
        <w:spacing w:before="240" w:after="283"/>
        <w:jc w:val="center"/>
        <w:rPr/>
      </w:pPr>
      <w:r>
        <w:rPr/>
        <w:t> </w:t>
      </w:r>
    </w:p>
    <w:tbl>
      <w:tblPr>
        <w:tblW w:w="10078" w:type="dxa"/>
        <w:jc w:val="left"/>
        <w:tblInd w:w="0" w:type="dxa"/>
        <w:tblLayout w:type="fixed"/>
        <w:tblCellMar>
          <w:top w:w="28" w:type="dxa"/>
          <w:left w:w="28" w:type="dxa"/>
          <w:bottom w:w="28" w:type="dxa"/>
          <w:right w:w="28" w:type="dxa"/>
        </w:tblCellMar>
      </w:tblPr>
      <w:tblGrid>
        <w:gridCol w:w="8851"/>
        <w:gridCol w:w="146"/>
        <w:gridCol w:w="1081"/>
      </w:tblGrid>
      <w:tr>
        <w:trPr/>
        <w:tc>
          <w:tcPr>
            <w:tcW w:w="8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8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8851" w:type="dxa"/>
            <w:tcBorders/>
            <w:vAlign w:val="center"/>
          </w:tcPr>
          <w:p>
            <w:pPr>
              <w:pStyle w:val="TableContents"/>
              <w:pBdr/>
              <w:bidi w:val="0"/>
              <w:spacing w:before="0" w:after="283"/>
              <w:ind w:left="0" w:right="0" w:hanging="240"/>
              <w:jc w:val="left"/>
              <w:rPr/>
            </w:pPr>
            <w:hyperlink w:anchor="report_independent_registered_public_">
              <w:r>
                <w:rPr>
                  <w:rStyle w:val="InternetLink"/>
                  <w:rFonts w:ascii="Times New Roman" w:hAnsi="Times New Roman"/>
                  <w:color w:val="000080"/>
                  <w:sz w:val="20"/>
                </w:rPr>
                <w:t>Report of Independent Registered Public Accounting Firm</w:t>
              </w:r>
            </w:hyperlink>
            <w:r>
              <w:rPr>
                <w:rFonts w:ascii="Times New Roman" w:hAnsi="Times New Roman"/>
                <w:color w:val="000000"/>
                <w:sz w:val="20"/>
              </w:rPr>
              <w:t> (KPMG LLP, Boston, MA, Auditor Firm ID: 185)</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8851"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240"/>
              <w:jc w:val="right"/>
              <w:rPr/>
            </w:pPr>
            <w:r>
              <w:rPr/>
              <w:t> </w:t>
            </w:r>
          </w:p>
        </w:tc>
      </w:tr>
      <w:tr>
        <w:trPr/>
        <w:tc>
          <w:tcPr>
            <w:tcW w:w="8851"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240"/>
              <w:jc w:val="left"/>
              <w:rPr/>
            </w:pPr>
            <w:r>
              <w:rPr/>
              <w:t> </w:t>
            </w:r>
          </w:p>
        </w:tc>
      </w:tr>
      <w:tr>
        <w:trPr/>
        <w:tc>
          <w:tcPr>
            <w:tcW w:w="885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Consolidated Financial Statements:</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left"/>
              <w:rPr/>
            </w:pPr>
            <w:r>
              <w:rPr/>
              <w:t> </w:t>
            </w:r>
          </w:p>
        </w:tc>
      </w:tr>
      <w:tr>
        <w:trPr/>
        <w:tc>
          <w:tcPr>
            <w:tcW w:w="8851"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pPr>
            <w:r>
              <w:rPr/>
              <w:t> </w:t>
            </w:r>
          </w:p>
        </w:tc>
      </w:tr>
      <w:tr>
        <w:trPr/>
        <w:tc>
          <w:tcPr>
            <w:tcW w:w="8851" w:type="dxa"/>
            <w:tcBorders/>
            <w:vAlign w:val="center"/>
          </w:tcPr>
          <w:p>
            <w:pPr>
              <w:pStyle w:val="TableContents"/>
              <w:pBdr/>
              <w:bidi w:val="0"/>
              <w:spacing w:before="0" w:after="283"/>
              <w:ind w:left="480" w:right="0" w:hanging="240"/>
              <w:jc w:val="left"/>
              <w:rPr/>
            </w:pPr>
            <w:hyperlink w:anchor="consolidated_balance_sheets_">
              <w:r>
                <w:rPr>
                  <w:rStyle w:val="InternetLink"/>
                  <w:rFonts w:ascii="Times New Roman" w:hAnsi="Times New Roman"/>
                  <w:color w:val="000000"/>
                  <w:sz w:val="20"/>
                </w:rPr>
                <w:t xml:space="preserve">Consolidated Balance Sheets at February 3, 2024 and January 28, 2023 </w:t>
              </w:r>
            </w:hyperlink>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39</w:t>
            </w:r>
          </w:p>
        </w:tc>
      </w:tr>
      <w:tr>
        <w:trPr/>
        <w:tc>
          <w:tcPr>
            <w:tcW w:w="8851"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pPr>
            <w:r>
              <w:rPr/>
              <w:t> </w:t>
            </w:r>
          </w:p>
        </w:tc>
      </w:tr>
      <w:tr>
        <w:trPr/>
        <w:tc>
          <w:tcPr>
            <w:tcW w:w="8851" w:type="dxa"/>
            <w:tcBorders/>
            <w:vAlign w:val="center"/>
          </w:tcPr>
          <w:p>
            <w:pPr>
              <w:pStyle w:val="TableContents"/>
              <w:pBdr/>
              <w:bidi w:val="0"/>
              <w:ind w:left="480" w:right="0" w:hanging="240"/>
              <w:jc w:val="left"/>
              <w:rPr/>
            </w:pPr>
            <w:hyperlink w:anchor="consolidated_stmt_of_operation_">
              <w:r>
                <w:rPr>
                  <w:rStyle w:val="InternetLink"/>
                  <w:rFonts w:ascii="Times New Roman" w:hAnsi="Times New Roman"/>
                  <w:color w:val="000000"/>
                  <w:sz w:val="20"/>
                </w:rPr>
                <w:t>Consolidated Statements of Operations for the Fiscal Years Ended February 3, 2024, January 28, 2023 and</w:t>
              </w:r>
            </w:hyperlink>
          </w:p>
          <w:p>
            <w:pPr>
              <w:pStyle w:val="TableContents"/>
              <w:pBdr/>
              <w:bidi w:val="0"/>
              <w:spacing w:before="0" w:after="283"/>
              <w:ind w:left="970" w:right="0" w:hanging="240"/>
              <w:jc w:val="left"/>
              <w:rPr/>
            </w:pPr>
            <w:hyperlink w:anchor="consolidated_stmt_of_operation_">
              <w:r>
                <w:rPr>
                  <w:rStyle w:val="InternetLink"/>
                  <w:rFonts w:ascii="Times New Roman" w:hAnsi="Times New Roman"/>
                  <w:color w:val="000000"/>
                  <w:sz w:val="20"/>
                </w:rPr>
                <w:t xml:space="preserve">January 29, 2022 </w:t>
              </w:r>
            </w:hyperlink>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851"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pPr>
            <w:r>
              <w:rPr/>
              <w:t> </w:t>
            </w:r>
          </w:p>
        </w:tc>
      </w:tr>
      <w:tr>
        <w:trPr/>
        <w:tc>
          <w:tcPr>
            <w:tcW w:w="8851" w:type="dxa"/>
            <w:tcBorders/>
            <w:vAlign w:val="center"/>
          </w:tcPr>
          <w:p>
            <w:pPr>
              <w:pStyle w:val="TableContents"/>
              <w:pBdr/>
              <w:bidi w:val="0"/>
              <w:ind w:left="480" w:right="0" w:hanging="240"/>
              <w:jc w:val="left"/>
              <w:rPr/>
            </w:pPr>
            <w:hyperlink w:anchor="consolidated_stmt_comprehensive_income_">
              <w:r>
                <w:rPr>
                  <w:rStyle w:val="InternetLink"/>
                  <w:rFonts w:ascii="Times New Roman" w:hAnsi="Times New Roman"/>
                  <w:color w:val="000000"/>
                  <w:sz w:val="20"/>
                </w:rPr>
                <w:t>Consolidated Statements of Comprehensive Income for the Fiscal Years Ended February 3, 2024,</w:t>
              </w:r>
            </w:hyperlink>
          </w:p>
          <w:p>
            <w:pPr>
              <w:pStyle w:val="TableContents"/>
              <w:pBdr/>
              <w:bidi w:val="0"/>
              <w:spacing w:before="0" w:after="283"/>
              <w:ind w:left="970" w:right="0" w:hanging="240"/>
              <w:jc w:val="left"/>
              <w:rPr/>
            </w:pPr>
            <w:hyperlink w:anchor="consolidated_stmt_comprehensive_income_">
              <w:r>
                <w:rPr>
                  <w:rStyle w:val="InternetLink"/>
                  <w:rFonts w:ascii="Times New Roman" w:hAnsi="Times New Roman"/>
                  <w:color w:val="000000"/>
                  <w:sz w:val="20"/>
                </w:rPr>
                <w:t xml:space="preserve">January 28, 2023 and January 29, 2022 </w:t>
              </w:r>
            </w:hyperlink>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41</w:t>
            </w:r>
          </w:p>
        </w:tc>
      </w:tr>
      <w:tr>
        <w:trPr/>
        <w:tc>
          <w:tcPr>
            <w:tcW w:w="8851"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pPr>
            <w:r>
              <w:rPr/>
              <w:t> </w:t>
            </w:r>
          </w:p>
        </w:tc>
      </w:tr>
      <w:tr>
        <w:trPr/>
        <w:tc>
          <w:tcPr>
            <w:tcW w:w="8851" w:type="dxa"/>
            <w:tcBorders/>
            <w:vAlign w:val="center"/>
          </w:tcPr>
          <w:p>
            <w:pPr>
              <w:pStyle w:val="TableContents"/>
              <w:pBdr/>
              <w:bidi w:val="0"/>
              <w:ind w:left="480" w:right="0" w:hanging="240"/>
              <w:jc w:val="left"/>
              <w:rPr/>
            </w:pPr>
            <w:hyperlink w:anchor="stmt_changes_stockholder_equity_">
              <w:r>
                <w:rPr>
                  <w:rStyle w:val="InternetLink"/>
                  <w:rFonts w:ascii="Times New Roman" w:hAnsi="Times New Roman"/>
                  <w:color w:val="000000"/>
                  <w:sz w:val="20"/>
                </w:rPr>
                <w:t>Consolidated Statements of Changes in Stockholders’ Equity (Deficit) for the Fiscal Years Ended</w:t>
              </w:r>
            </w:hyperlink>
          </w:p>
          <w:p>
            <w:pPr>
              <w:pStyle w:val="TableContents"/>
              <w:pBdr/>
              <w:bidi w:val="0"/>
              <w:spacing w:before="0" w:after="283"/>
              <w:ind w:left="970" w:right="0" w:hanging="240"/>
              <w:jc w:val="left"/>
              <w:rPr/>
            </w:pPr>
            <w:hyperlink w:anchor="stmt_changes_stockholder_equity_">
              <w:r>
                <w:rPr>
                  <w:rStyle w:val="InternetLink"/>
                  <w:rFonts w:ascii="Times New Roman" w:hAnsi="Times New Roman"/>
                  <w:color w:val="000000"/>
                  <w:sz w:val="20"/>
                </w:rPr>
                <w:t xml:space="preserve">February 3, 2024, January 28, 2023 and January 29, 2022 </w:t>
              </w:r>
            </w:hyperlink>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851"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720"/>
              <w:jc w:val="right"/>
              <w:rPr/>
            </w:pPr>
            <w:r>
              <w:rPr/>
              <w:t> </w:t>
            </w:r>
          </w:p>
        </w:tc>
      </w:tr>
      <w:tr>
        <w:trPr/>
        <w:tc>
          <w:tcPr>
            <w:tcW w:w="8851" w:type="dxa"/>
            <w:tcBorders/>
            <w:vAlign w:val="center"/>
          </w:tcPr>
          <w:p>
            <w:pPr>
              <w:pStyle w:val="TableContents"/>
              <w:pBdr/>
              <w:bidi w:val="0"/>
              <w:ind w:left="480" w:right="0" w:hanging="240"/>
              <w:jc w:val="left"/>
              <w:rPr/>
            </w:pPr>
            <w:hyperlink w:anchor="consolidated_stmt_cash_flow_">
              <w:r>
                <w:rPr>
                  <w:rStyle w:val="InternetLink"/>
                  <w:rFonts w:ascii="Times New Roman" w:hAnsi="Times New Roman"/>
                  <w:color w:val="000000"/>
                  <w:sz w:val="20"/>
                </w:rPr>
                <w:t xml:space="preserve">Consolidated Statements of Cash Flows for the Fiscal Years Ended February 3, 2024, January 28, 2023 </w:t>
              </w:r>
            </w:hyperlink>
          </w:p>
          <w:p>
            <w:pPr>
              <w:pStyle w:val="TableContents"/>
              <w:pBdr/>
              <w:bidi w:val="0"/>
              <w:spacing w:before="0" w:after="283"/>
              <w:ind w:left="970" w:right="0" w:hanging="240"/>
              <w:jc w:val="left"/>
              <w:rPr/>
            </w:pPr>
            <w:hyperlink w:anchor="consolidated_stmt_cash_flow_">
              <w:r>
                <w:rPr>
                  <w:rStyle w:val="InternetLink"/>
                  <w:rFonts w:ascii="Times New Roman" w:hAnsi="Times New Roman"/>
                  <w:color w:val="000000"/>
                  <w:sz w:val="20"/>
                </w:rPr>
                <w:t xml:space="preserve">and January 29, 2022 </w:t>
              </w:r>
            </w:hyperlink>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43</w:t>
            </w:r>
          </w:p>
        </w:tc>
      </w:tr>
      <w:tr>
        <w:trPr/>
        <w:tc>
          <w:tcPr>
            <w:tcW w:w="8851"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ind w:left="0" w:right="0" w:firstLine="240"/>
              <w:jc w:val="right"/>
              <w:rPr/>
            </w:pPr>
            <w:r>
              <w:rPr/>
              <w:t> </w:t>
            </w:r>
          </w:p>
        </w:tc>
      </w:tr>
      <w:tr>
        <w:trPr/>
        <w:tc>
          <w:tcPr>
            <w:tcW w:w="8851" w:type="dxa"/>
            <w:tcBorders/>
            <w:vAlign w:val="center"/>
          </w:tcPr>
          <w:p>
            <w:pPr>
              <w:pStyle w:val="TableContents"/>
              <w:pBdr/>
              <w:bidi w:val="0"/>
              <w:spacing w:before="0" w:after="283"/>
              <w:ind w:left="0" w:right="0" w:hanging="240"/>
              <w:jc w:val="left"/>
              <w:rPr/>
            </w:pPr>
            <w:hyperlink w:anchor="notes_consolidated_financial_stmt_">
              <w:r>
                <w:rPr>
                  <w:rStyle w:val="InternetLink"/>
                  <w:rFonts w:ascii="Times New Roman" w:hAnsi="Times New Roman"/>
                  <w:color w:val="000000"/>
                  <w:sz w:val="20"/>
                </w:rPr>
                <w:t>Notes to Consolidated Financial Statements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tx657704_26"/>
      <w:bookmarkEnd w:id="16"/>
      <w:r>
        <w:rPr>
          <w:rFonts w:ascii="Times New Roman" w:hAnsi="Times New Roman"/>
          <w:b/>
          <w:color w:val="000000"/>
          <w:sz w:val="20"/>
        </w:rPr>
        <w:t>R</w:t>
      </w:r>
      <w:bookmarkStart w:id="17" w:name="report_of_independent"/>
      <w:bookmarkEnd w:id="17"/>
      <w:r>
        <w:rPr>
          <w:rFonts w:ascii="Times New Roman" w:hAnsi="Times New Roman"/>
          <w:b/>
          <w:color w:val="000000"/>
          <w:sz w:val="20"/>
        </w:rPr>
        <w:t>EPORT OF INDEPENDENT REG</w:t>
      </w:r>
      <w:bookmarkStart w:id="18" w:name="report_independent_registered_public_"/>
      <w:bookmarkEnd w:id="18"/>
      <w:r>
        <w:rPr>
          <w:rFonts w:ascii="Times New Roman" w:hAnsi="Times New Roman"/>
          <w:b/>
          <w:color w:val="000000"/>
          <w:sz w:val="20"/>
        </w:rPr>
        <w:t>ISTERED PUBLIC ACCOUNTING FIRM</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br/>
        <w:t>Destination XL Group, Inc.: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Destination XL Group, Inc. and subsidiaries (the Company) as of February 3, 2024 and January 28, 2023, the related consolidated statements of operations, comprehensive income, changes in stockholders’ equity (deficit), and cash flows for each of the fiscal years in the three-year period ended February 3, 2024, and the related notes (collectively, the consolidated financial statements). In our opinion, the consolidated financial statements present fairly, in all material respects, the financial position of the Company as of February 3, 2024 and January 28, 2023, and the results of its operations and its cash flows for each of the fiscal years in the three-year period ended February 3, 2024, in conformity with U.S. generally accepted accounting principles.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February 3,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March 21, 2024 expressed an unqualified opinion on the effectiveness of the Company’s internal control over financial reporting.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long-lived store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A to the consolidated financial statements, 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February 3, 2024, the Company had property and equipment and operating lease right-of-use assets of $43.2 million and $138.1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the assessment of impairment triggering events related to long-lived store assets, specifically property and equipment and operating lease right-of-use assets, as a critical audit matter. A high degree of auditor judgment was required to evaluate the Company’s assessment of (1) stores with current period operating or cash flow losses, and (2) underperforming stores based on current period operating or cash flow results relative to their respective historical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the primary procedures we performed to address the critical audit matter. We evaluated the design and tested the operating effectiveness of certain internal controls related to the Company’s process of identifying and evaluating potential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triggering events. This included a control related to the Company’s assessment of (1) stores with current period operating or cash flow losses, and (2) underperforming stores relative to historical operating results. For certain stores, we evaluated the Company’s analysis of potential impairment triggering events by comparing actual operating and cash flow results to historical results and the remaining net book value of store assets. We also reviewed Board of Directors' meeting minutes and available analyst information to assess the Company’s identification and evaluation of potential triggering events.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KPMG LLP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2013.</w:t>
      </w:r>
    </w:p>
    <w:p>
      <w:pPr>
        <w:pStyle w:val="TextBody"/>
        <w:bidi w:val="0"/>
        <w:spacing w:before="0" w:after="2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Boston, Massachusetts </w:t>
      </w:r>
    </w:p>
    <w:p>
      <w:pPr>
        <w:pStyle w:val="TextBody"/>
        <w:bidi w:val="0"/>
        <w:jc w:val="left"/>
        <w:rPr>
          <w:rFonts w:ascii="Times New Roman" w:hAnsi="Times New Roman"/>
          <w:color w:val="000000"/>
          <w:sz w:val="20"/>
        </w:rPr>
      </w:pPr>
      <w:r>
        <w:rPr>
          <w:rFonts w:ascii="Times New Roman" w:hAnsi="Times New Roman"/>
          <w:color w:val="000000"/>
          <w:sz w:val="20"/>
        </w:rPr>
        <w:t>March 21, 2024</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9" w:name="consolidated_balance_sheets"/>
      <w:bookmarkEnd w:id="19"/>
      <w:r>
        <w:rPr>
          <w:rFonts w:ascii="Times New Roman" w:hAnsi="Times New Roman"/>
          <w:b/>
          <w:color w:val="000000"/>
          <w:sz w:val="20"/>
        </w:rPr>
        <w:t>CONSOLIDATED BA</w:t>
      </w:r>
      <w:bookmarkStart w:id="20" w:name="consolidated_balance_sheets_"/>
      <w:bookmarkEnd w:id="20"/>
      <w:r>
        <w:rPr>
          <w:rFonts w:ascii="Times New Roman" w:hAnsi="Times New Roman"/>
          <w:b/>
          <w:color w:val="000000"/>
          <w:sz w:val="20"/>
        </w:rPr>
        <w:t>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February 3, 2024 and January 28, 2023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28"/>
        <w:gridCol w:w="146"/>
        <w:gridCol w:w="233"/>
        <w:gridCol w:w="930"/>
        <w:gridCol w:w="166"/>
        <w:gridCol w:w="146"/>
        <w:gridCol w:w="233"/>
        <w:gridCol w:w="930"/>
        <w:gridCol w:w="793"/>
      </w:tblGrid>
      <w:tr>
        <w:trPr/>
        <w:tc>
          <w:tcPr>
            <w:tcW w:w="6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793" w:type="dxa"/>
            <w:tcBorders/>
            <w:shd w:fill="FFFFFF" w:val="clear"/>
            <w:vAlign w:val="center"/>
          </w:tcPr>
          <w:p>
            <w:pPr>
              <w:pStyle w:val="TableContents"/>
              <w:bidi w:val="0"/>
              <w:spacing w:before="0" w:after="283"/>
              <w:jc w:val="center"/>
              <w:rPr/>
            </w:pPr>
            <w:r>
              <w:rPr/>
              <w:t> </w:t>
            </w:r>
          </w:p>
        </w:tc>
      </w:tr>
      <w:tr>
        <w:trPr/>
        <w:tc>
          <w:tcPr>
            <w:tcW w:w="66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jc w:val="right"/>
              <w:rPr/>
            </w:pPr>
            <w:r>
              <w:rPr/>
              <w:t> </w:t>
            </w:r>
          </w:p>
        </w:tc>
      </w:tr>
      <w:tr>
        <w:trPr/>
        <w:tc>
          <w:tcPr>
            <w:tcW w:w="662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ind w:left="0" w:right="0" w:firstLine="200"/>
              <w:jc w:val="righ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52,074</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color w:val="000000"/>
              </w:rPr>
            </w:pPr>
            <w:r>
              <w:rPr>
                <w:color w:val="000000"/>
              </w:rPr>
              <w:t>—</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93,004</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154,012</w:t>
            </w:r>
          </w:p>
        </w:tc>
        <w:tc>
          <w:tcPr>
            <w:tcW w:w="793" w:type="dxa"/>
            <w:tcBorders/>
            <w:shd w:fill="FFFFFF" w:val="clear"/>
            <w:vAlign w:val="center"/>
          </w:tcPr>
          <w:p>
            <w:pPr>
              <w:pStyle w:val="TableContents"/>
              <w:bidi w:val="0"/>
              <w:spacing w:before="0" w:after="283"/>
              <w:ind w:left="0" w:right="0" w:firstLine="400"/>
              <w:jc w:val="left"/>
              <w:rPr/>
            </w:pPr>
            <w:r>
              <w:rPr/>
              <w:t> </w:t>
            </w:r>
          </w:p>
        </w:tc>
      </w:tr>
      <w:tr>
        <w:trPr/>
        <w:tc>
          <w:tcPr>
            <w:tcW w:w="6628"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jc w:val="right"/>
              <w:rPr/>
            </w:pPr>
            <w:r>
              <w:rPr/>
              <w:t> </w:t>
            </w:r>
          </w:p>
        </w:tc>
      </w:tr>
      <w:tr>
        <w:trPr/>
        <w:tc>
          <w:tcPr>
            <w:tcW w:w="662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ind w:left="0" w:right="0" w:firstLine="200"/>
              <w:jc w:val="righ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 of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39,062</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124,356</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 net of valuation allowance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31,455</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350,598</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jc w:val="right"/>
              <w:rPr/>
            </w:pPr>
            <w:r>
              <w:rPr/>
              <w:t> </w:t>
            </w:r>
          </w:p>
        </w:tc>
      </w:tr>
      <w:tr>
        <w:trPr/>
        <w:tc>
          <w:tcPr>
            <w:tcW w:w="66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662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ind w:left="0" w:right="0" w:firstLine="200"/>
              <w:jc w:val="righ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27,548</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36,875</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 current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662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liabilities:</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ind w:left="0" w:right="0" w:firstLine="200"/>
              <w:jc w:val="righ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 noncurrent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106,912</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jc w:val="right"/>
              <w:rPr/>
            </w:pPr>
            <w:r>
              <w:rPr/>
              <w:t> </w:t>
            </w:r>
          </w:p>
        </w:tc>
      </w:tr>
      <w:tr>
        <w:trPr/>
        <w:tc>
          <w:tcPr>
            <w:tcW w:w="66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66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3" w:type="dxa"/>
            <w:gridSpan w:val="2"/>
            <w:tcBorders/>
            <w:shd w:fill="CFF0FC" w:val="clear"/>
            <w:vAlign w:val="center"/>
          </w:tcPr>
          <w:p>
            <w:pPr>
              <w:pStyle w:val="TableContents"/>
              <w:bidi w:val="0"/>
              <w:spacing w:before="0" w:after="283"/>
              <w:jc w:val="right"/>
              <w:rPr/>
            </w:pPr>
            <w:r>
              <w:rPr/>
              <w:t> </w:t>
            </w:r>
          </w:p>
        </w:tc>
        <w:tc>
          <w:tcPr>
            <w:tcW w:w="793" w:type="dxa"/>
            <w:tcBorders/>
            <w:shd w:fill="CFF0FC" w:val="clear"/>
            <w:vAlign w:val="center"/>
          </w:tcPr>
          <w:p>
            <w:pPr>
              <w:pStyle w:val="TableContents"/>
              <w:bidi w:val="0"/>
              <w:spacing w:before="0" w:after="283"/>
              <w:jc w:val="right"/>
              <w:rPr/>
            </w:pPr>
            <w:r>
              <w:rPr/>
              <w:t> </w:t>
            </w:r>
          </w:p>
        </w:tc>
      </w:tr>
      <w:tr>
        <w:trPr/>
        <w:tc>
          <w:tcPr>
            <w:tcW w:w="662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ind w:left="0" w:right="0" w:firstLine="200"/>
              <w:jc w:val="righ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$0.01 par value, 1,000,000 shares authorized, none issued</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color w:val="000000"/>
              </w:rPr>
            </w:pPr>
            <w:r>
              <w:rPr>
                <w:color w:val="000000"/>
              </w:rPr>
              <w:t>—</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$0.01 par value, 125,000,000 shares authorized, 79,033,378 and 78,229,861 shares issued at February 3, 2024 and January 28, 2023, respectively</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793" w:type="dxa"/>
            <w:tcBorders/>
            <w:shd w:fill="FFFFFF" w:val="clear"/>
            <w:vAlign w:val="center"/>
          </w:tcPr>
          <w:p>
            <w:pPr>
              <w:pStyle w:val="TableContents"/>
              <w:bidi w:val="0"/>
              <w:spacing w:before="0" w:after="283"/>
              <w:ind w:left="0" w:right="0" w:firstLine="200"/>
              <w:jc w:val="left"/>
              <w:rPr/>
            </w:pPr>
            <w:r>
              <w:rPr/>
              <w:t> </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321,516</w:t>
            </w:r>
          </w:p>
        </w:tc>
        <w:tc>
          <w:tcPr>
            <w:tcW w:w="793" w:type="dxa"/>
            <w:tcBorders/>
            <w:shd w:fill="CFF0FC" w:val="clear"/>
            <w:vAlign w:val="center"/>
          </w:tcPr>
          <w:p>
            <w:pPr>
              <w:pStyle w:val="TableContents"/>
              <w:bidi w:val="0"/>
              <w:spacing w:before="0" w:after="283"/>
              <w:ind w:left="0" w:right="0" w:firstLine="200"/>
              <w:jc w:val="left"/>
              <w:rPr/>
            </w:pPr>
            <w:r>
              <w:rPr/>
              <w:t> </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21,041,661 shares and 15,625,172 shares at February 3, 2024 and January 28, 2023, respectively</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(105,386</w:t>
            </w:r>
          </w:p>
        </w:tc>
        <w:tc>
          <w:tcPr>
            <w:tcW w:w="7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(74,756</w:t>
            </w:r>
          </w:p>
        </w:tc>
        <w:tc>
          <w:tcPr>
            <w:tcW w:w="79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2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350,598</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_statements_of_operations"/>
      <w:bookmarkEnd w:id="21"/>
      <w:r>
        <w:rPr>
          <w:rFonts w:ascii="Times New Roman" w:hAnsi="Times New Roman"/>
          <w:b/>
          <w:color w:val="000000"/>
          <w:sz w:val="20"/>
        </w:rPr>
        <w:t>CONSOLIDATED STATEM</w:t>
      </w:r>
      <w:bookmarkStart w:id="22" w:name="consolidated_stmt_of_operation_"/>
      <w:bookmarkEnd w:id="22"/>
      <w:r>
        <w:rPr>
          <w:rFonts w:ascii="Times New Roman" w:hAnsi="Times New Roman"/>
          <w:b/>
          <w:color w:val="000000"/>
          <w:sz w:val="20"/>
        </w:rPr>
        <w:t>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years ended February 3, 2024, January 28, 2023 and January 29, 2022</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tbl>
      <w:tblPr>
        <w:tblW w:w="9987" w:type="dxa"/>
        <w:jc w:val="left"/>
        <w:tblInd w:w="0" w:type="dxa"/>
        <w:tblLayout w:type="fixed"/>
        <w:tblCellMar>
          <w:top w:w="28" w:type="dxa"/>
          <w:left w:w="28" w:type="dxa"/>
          <w:bottom w:w="28" w:type="dxa"/>
          <w:right w:w="28" w:type="dxa"/>
        </w:tblCellMar>
      </w:tblPr>
      <w:tblGrid>
        <w:gridCol w:w="4846"/>
        <w:gridCol w:w="146"/>
        <w:gridCol w:w="280"/>
        <w:gridCol w:w="1040"/>
        <w:gridCol w:w="166"/>
        <w:gridCol w:w="146"/>
        <w:gridCol w:w="280"/>
        <w:gridCol w:w="1040"/>
        <w:gridCol w:w="166"/>
        <w:gridCol w:w="146"/>
        <w:gridCol w:w="280"/>
        <w:gridCol w:w="1040"/>
        <w:gridCol w:w="4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411" w:type="dxa"/>
            <w:tcBorders/>
            <w:shd w:fill="FFFFFF" w:val="cle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505,021</w:t>
            </w:r>
          </w:p>
        </w:tc>
        <w:tc>
          <w:tcPr>
            <w:tcW w:w="4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including occupancy costs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249,824</w:t>
            </w:r>
          </w:p>
        </w:tc>
        <w:tc>
          <w:tcPr>
            <w:tcW w:w="4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(gain) of assets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61,980</w:t>
            </w:r>
          </w:p>
        </w:tc>
        <w:tc>
          <w:tcPr>
            <w:tcW w:w="4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termination of retirement plans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57,630</w:t>
            </w:r>
          </w:p>
        </w:tc>
        <w:tc>
          <w:tcPr>
            <w:tcW w:w="4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4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4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63,401</w:t>
            </w:r>
          </w:p>
        </w:tc>
        <w:tc>
          <w:tcPr>
            <w:tcW w:w="4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68,031</w:t>
            </w:r>
          </w:p>
        </w:tc>
        <w:tc>
          <w:tcPr>
            <w:tcW w:w="41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3" w:name="comprehensive_income"/>
      <w:bookmarkEnd w:id="23"/>
      <w:r>
        <w:rPr>
          <w:rFonts w:ascii="Times New Roman" w:hAnsi="Times New Roman"/>
          <w:b/>
          <w:color w:val="000000"/>
          <w:sz w:val="20"/>
        </w:rPr>
        <w:t>CONSOLIDATED STATEMENTS OF CO</w:t>
      </w:r>
      <w:bookmarkStart w:id="24" w:name="consolidated_stmt_comprehensive_income_"/>
      <w:bookmarkEnd w:id="24"/>
      <w:r>
        <w:rPr>
          <w:rFonts w:ascii="Times New Roman" w:hAnsi="Times New Roman"/>
          <w:b/>
          <w:color w:val="000000"/>
          <w:sz w:val="20"/>
        </w:rPr>
        <w:t>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years ended February 3, 2024, January 28, 2023 and January 29, 2022</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0"/>
        <w:gridCol w:w="146"/>
        <w:gridCol w:w="295"/>
        <w:gridCol w:w="945"/>
        <w:gridCol w:w="166"/>
        <w:gridCol w:w="146"/>
        <w:gridCol w:w="295"/>
        <w:gridCol w:w="945"/>
        <w:gridCol w:w="166"/>
        <w:gridCol w:w="146"/>
        <w:gridCol w:w="295"/>
        <w:gridCol w:w="945"/>
        <w:gridCol w:w="595"/>
      </w:tblGrid>
      <w:tr>
        <w:trPr/>
        <w:tc>
          <w:tcPr>
            <w:tcW w:w="5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5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595" w:type="dxa"/>
            <w:tcBorders/>
            <w:shd w:fill="FFFFFF" w:val="clear"/>
            <w:vAlign w:val="center"/>
          </w:tcPr>
          <w:p>
            <w:pPr>
              <w:pStyle w:val="TableContents"/>
              <w:bidi w:val="0"/>
              <w:spacing w:before="0" w:after="283"/>
              <w:jc w:val="center"/>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56,713</w:t>
            </w:r>
          </w:p>
        </w:tc>
        <w:tc>
          <w:tcPr>
            <w:tcW w:w="595" w:type="dxa"/>
            <w:tcBorders/>
            <w:shd w:fill="CFF0FC"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right"/>
              <w:rPr/>
            </w:pPr>
            <w:r>
              <w:rPr/>
              <w:t> </w:t>
            </w:r>
          </w:p>
        </w:tc>
      </w:tr>
      <w:tr>
        <w:trPr/>
        <w:tc>
          <w:tcPr>
            <w:tcW w:w="51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taxes:</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51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Recognition of accumulated 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color w:val="000000"/>
              </w:rPr>
            </w:pPr>
            <w:r>
              <w:rPr>
                <w:color w:val="000000"/>
              </w:rPr>
              <w:t>—</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51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Retirement plans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51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Recognized loss from termination of retirement plans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comprehensive income before taxes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595" w:type="dxa"/>
            <w:tcBorders/>
            <w:shd w:fill="FFFFFF" w:val="clear"/>
            <w:vAlign w:val="center"/>
          </w:tcPr>
          <w:p>
            <w:pPr>
              <w:pStyle w:val="TableContents"/>
              <w:bidi w:val="0"/>
              <w:spacing w:before="0" w:after="283"/>
              <w:jc w:val="left"/>
              <w:rPr/>
            </w:pPr>
            <w:r>
              <w:rPr/>
              <w:t> </w:t>
            </w:r>
          </w:p>
        </w:tc>
      </w:tr>
      <w:tr>
        <w:trPr/>
        <w:tc>
          <w:tcPr>
            <w:tcW w:w="51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related to items of other comprehensive income</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5" w:name="stockholders_equity"/>
      <w:bookmarkEnd w:id="25"/>
      <w:r>
        <w:rPr>
          <w:rFonts w:ascii="Times New Roman" w:hAnsi="Times New Roman"/>
          <w:b/>
          <w:color w:val="000000"/>
          <w:sz w:val="20"/>
        </w:rPr>
        <w:t>CONSOLIDATED STATEMENTS OF CHANGE</w:t>
      </w:r>
      <w:bookmarkStart w:id="26" w:name="stmt_changes_stockholder_equity_"/>
      <w:bookmarkEnd w:id="26"/>
      <w:r>
        <w:rPr>
          <w:rFonts w:ascii="Times New Roman" w:hAnsi="Times New Roman"/>
          <w:b/>
          <w:color w:val="000000"/>
          <w:sz w:val="20"/>
        </w:rPr>
        <w:t>S IN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years ended February 3, 2024, January 28, 2023 and January 29, 2022</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5"/>
        <w:gridCol w:w="146"/>
        <w:gridCol w:w="148"/>
        <w:gridCol w:w="519"/>
        <w:gridCol w:w="151"/>
        <w:gridCol w:w="146"/>
        <w:gridCol w:w="216"/>
        <w:gridCol w:w="415"/>
        <w:gridCol w:w="151"/>
        <w:gridCol w:w="146"/>
        <w:gridCol w:w="181"/>
        <w:gridCol w:w="586"/>
        <w:gridCol w:w="151"/>
        <w:gridCol w:w="146"/>
        <w:gridCol w:w="147"/>
        <w:gridCol w:w="562"/>
        <w:gridCol w:w="151"/>
        <w:gridCol w:w="146"/>
        <w:gridCol w:w="181"/>
        <w:gridCol w:w="631"/>
        <w:gridCol w:w="151"/>
        <w:gridCol w:w="146"/>
        <w:gridCol w:w="190"/>
        <w:gridCol w:w="666"/>
        <w:gridCol w:w="151"/>
        <w:gridCol w:w="146"/>
        <w:gridCol w:w="275"/>
        <w:gridCol w:w="731"/>
        <w:gridCol w:w="151"/>
        <w:gridCol w:w="146"/>
        <w:gridCol w:w="181"/>
        <w:gridCol w:w="586"/>
        <w:gridCol w:w="400"/>
      </w:tblGrid>
      <w:tr>
        <w:trPr/>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9"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center"/>
              <w:rPr/>
            </w:pPr>
            <w:r>
              <w:rPr/>
              <w:t> </w:t>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9"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center"/>
              <w:rPr/>
            </w:pPr>
            <w:r>
              <w:rPr/>
              <w:t> </w:t>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9"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Treasury Stock</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400" w:type="dxa"/>
            <w:tcBorders/>
            <w:shd w:fill="FFFFFF" w:val="clear"/>
            <w:vAlign w:val="center"/>
          </w:tcPr>
          <w:p>
            <w:pPr>
              <w:pStyle w:val="TableContents"/>
              <w:bidi w:val="0"/>
              <w:spacing w:before="0" w:after="283"/>
              <w:jc w:val="center"/>
              <w:rPr/>
            </w:pPr>
            <w:r>
              <w:rPr/>
              <w:t> </w:t>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January 30, 2021</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314,747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(220,592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(4,077</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400" w:type="dxa"/>
            <w:tcBorders/>
            <w:shd w:fill="FFFFFF" w:val="clear"/>
            <w:vAlign w:val="center"/>
          </w:tcPr>
          <w:p>
            <w:pPr>
              <w:pStyle w:val="TableContents"/>
              <w:bidi w:val="0"/>
              <w:spacing w:before="0" w:after="283"/>
              <w:jc w:val="righ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through private direct offering, net of offering costs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4,375</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compensation expense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1,229</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RSUs and PSUs release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withheld for taxes related to net share settlement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(1,867</w:t>
            </w:r>
          </w:p>
        </w:tc>
        <w:tc>
          <w:tcPr>
            <w:tcW w:w="4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Board of directors' compensation</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6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00" w:type="dxa"/>
            <w:tcBorders/>
            <w:shd w:fill="CFF0FC" w:val="clear"/>
            <w:vAlign w:val="center"/>
          </w:tcPr>
          <w:p>
            <w:pPr>
              <w:pStyle w:val="TableContents"/>
              <w:bidi w:val="0"/>
              <w:spacing w:before="0" w:after="283"/>
              <w:ind w:left="0" w:right="0" w:firstLine="200"/>
              <w:jc w:val="right"/>
              <w:rPr/>
            </w:pPr>
            <w:r>
              <w:rPr/>
              <w:t> </w:t>
            </w:r>
          </w:p>
        </w:tc>
      </w:tr>
      <w:tr>
        <w:trPr/>
        <w:tc>
          <w:tcPr>
            <w:tcW w:w="13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Unrecognized gain associated with Pension Plan</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13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Foreign currency</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4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56,713</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January 29, 2022</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77,025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319,511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58,219</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400" w:type="dxa"/>
            <w:tcBorders/>
            <w:shd w:fill="FFFFFF" w:val="clear"/>
            <w:vAlign w:val="center"/>
          </w:tcPr>
          <w:p>
            <w:pPr>
              <w:pStyle w:val="TableContents"/>
              <w:bidi w:val="0"/>
              <w:spacing w:before="0" w:after="283"/>
              <w:jc w:val="righ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compensation expense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RSUs granted for achievement of performance-based compensation, reclassified from liability to equity</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1,138</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RSUs release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withheld for taxes related to net share settlement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(1,845</w:t>
            </w:r>
          </w:p>
        </w:tc>
        <w:tc>
          <w:tcPr>
            <w:tcW w:w="4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(12,728</w:t>
            </w:r>
          </w:p>
        </w:tc>
        <w:tc>
          <w:tcPr>
            <w:tcW w:w="4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Board of directors' compensation</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400" w:type="dxa"/>
            <w:tcBorders/>
            <w:shd w:fill="FFFFFF" w:val="clear"/>
            <w:vAlign w:val="center"/>
          </w:tcPr>
          <w:p>
            <w:pPr>
              <w:pStyle w:val="TableContents"/>
              <w:bidi w:val="0"/>
              <w:spacing w:before="0" w:after="283"/>
              <w:ind w:left="0" w:right="0" w:firstLine="200"/>
              <w:jc w:val="right"/>
              <w:rPr/>
            </w:pPr>
            <w:r>
              <w:rPr/>
              <w:t> </w:t>
            </w:r>
          </w:p>
        </w:tc>
      </w:tr>
      <w:tr>
        <w:trPr/>
        <w:tc>
          <w:tcPr>
            <w:tcW w:w="13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Unrecognized gain associated with Pension Plan, net of taxes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13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Foreign currency, net of taxes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400"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Recognition of accumulated foreign currency translation adjustment (Note A)</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89,123</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January 28, 2023</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321,516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137,228</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400" w:type="dxa"/>
            <w:tcBorders/>
            <w:shd w:fill="FFFFFF" w:val="clear"/>
            <w:vAlign w:val="center"/>
          </w:tcPr>
          <w:p>
            <w:pPr>
              <w:pStyle w:val="TableContents"/>
              <w:bidi w:val="0"/>
              <w:spacing w:before="0" w:after="283"/>
              <w:jc w:val="righ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compensation expense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2,496</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RSUs granted for achievement of performance-based compensation, reclassified from liability to equity</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RSUs release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withheld for taxes related to net share settlement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w:t>
            </w:r>
          </w:p>
        </w:tc>
        <w:tc>
          <w:tcPr>
            <w:tcW w:w="4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(24,751</w:t>
            </w:r>
          </w:p>
        </w:tc>
        <w:tc>
          <w:tcPr>
            <w:tcW w:w="4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Board of directors' compensation</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400" w:type="dxa"/>
            <w:tcBorders/>
            <w:shd w:fill="CFF0FC" w:val="cle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4,928</w:t>
            </w:r>
          </w:p>
        </w:tc>
        <w:tc>
          <w:tcPr>
            <w:tcW w:w="400" w:type="dxa"/>
            <w:tcBorders/>
            <w:shd w:fill="FFFFFF" w:val="clear"/>
            <w:vAlign w:val="center"/>
          </w:tcPr>
          <w:p>
            <w:pPr>
              <w:pStyle w:val="TableContents"/>
              <w:bidi w:val="0"/>
              <w:spacing w:before="0" w:after="283"/>
              <w:jc w:val="left"/>
              <w:rPr/>
            </w:pPr>
            <w:r>
              <w:rPr/>
              <w:t> </w:t>
            </w:r>
          </w:p>
        </w:tc>
      </w:tr>
      <w:tr>
        <w:trPr/>
        <w:tc>
          <w:tcPr>
            <w:tcW w:w="136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27,854</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February 3, 2024</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(130,137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148,953</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7" w:name="cash_flows"/>
      <w:bookmarkEnd w:id="27"/>
      <w:r>
        <w:rPr>
          <w:rFonts w:ascii="Times New Roman" w:hAnsi="Times New Roman"/>
          <w:b/>
          <w:color w:val="000000"/>
          <w:sz w:val="20"/>
        </w:rPr>
        <w:t>CONSOLIDATED STATEMEN</w:t>
      </w:r>
      <w:bookmarkStart w:id="28" w:name="consolidated_stmt_cash_flow_"/>
      <w:bookmarkEnd w:id="28"/>
      <w:r>
        <w:rPr>
          <w:rFonts w:ascii="Times New Roman" w:hAnsi="Times New Roman"/>
          <w:b/>
          <w:color w:val="000000"/>
          <w:sz w:val="20"/>
        </w:rPr>
        <w:t>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years ended February 3, 2024, January 28, 2023 and January 29, 2022</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285"/>
        <w:gridCol w:w="146"/>
        <w:gridCol w:w="259"/>
        <w:gridCol w:w="905"/>
        <w:gridCol w:w="166"/>
        <w:gridCol w:w="146"/>
        <w:gridCol w:w="259"/>
        <w:gridCol w:w="905"/>
        <w:gridCol w:w="166"/>
        <w:gridCol w:w="146"/>
        <w:gridCol w:w="241"/>
        <w:gridCol w:w="966"/>
        <w:gridCol w:w="615"/>
      </w:tblGrid>
      <w:tr>
        <w:trPr/>
        <w:tc>
          <w:tcPr>
            <w:tcW w:w="5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2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615" w:type="dxa"/>
            <w:tcBorders/>
            <w:shd w:fill="FFFFFF" w:val="clear"/>
            <w:vAlign w:val="center"/>
          </w:tcPr>
          <w:p>
            <w:pPr>
              <w:pStyle w:val="TableContents"/>
              <w:bidi w:val="0"/>
              <w:spacing w:before="0" w:after="283"/>
              <w:jc w:val="center"/>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2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52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2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from retirement plan terminations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Recognition of accumulated 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and write-off of deferred debt issuance costs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(gain) of assets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Gain on sale of equipment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taxes, net of valuation allowance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Board of directors' stock compensation</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5" w:type="dxa"/>
            <w:tcBorders/>
            <w:shd w:fill="FFFFFF" w:val="clear"/>
            <w:vAlign w:val="center"/>
          </w:tcPr>
          <w:p>
            <w:pPr>
              <w:pStyle w:val="TableContents"/>
              <w:bidi w:val="0"/>
              <w:spacing w:before="0" w:after="283"/>
              <w:jc w:val="left"/>
              <w:rPr/>
            </w:pPr>
            <w:r>
              <w:rPr/>
              <w:t> </w:t>
            </w:r>
          </w:p>
        </w:tc>
      </w:tr>
      <w:tr>
        <w:trPr/>
        <w:tc>
          <w:tcPr>
            <w:tcW w:w="52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52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leases,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(14,959</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52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Additions to property and equipment, net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sale of equipment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Maturity of short-term investments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for investing activities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52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common stock from private direct offering, net of offering costs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new FILO loan</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Repayment of FILO loans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Borrowings under credit facility</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40,297</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Repayments under credit facility</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Debt extinguishment costs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528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 withholdings paid related to net share settlements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for financing activities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52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9" w:name="notes_to_consolidated_financial_statemen"/>
      <w:bookmarkEnd w:id="29"/>
      <w:r>
        <w:rPr>
          <w:rFonts w:ascii="Times New Roman" w:hAnsi="Times New Roman"/>
          <w:b/>
          <w:color w:val="000000"/>
          <w:sz w:val="20"/>
        </w:rPr>
        <w:t>NOTES TO CONSOLIDATED</w:t>
      </w:r>
      <w:bookmarkStart w:id="30" w:name="notes_consolidated_financial_stmt_"/>
      <w:bookmarkEnd w:id="30"/>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FEBRUARY 3,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Destination XL Group, Inc. (collectively with its subsidiaries referred to as the “Company”) is the largest specialty retailer in the United States of big &amp; tall men’s clothing and shoes. The Company operates under the trade names of Destination XL</w:t>
      </w:r>
      <w:r>
        <w:rPr>
          <w:rFonts w:ascii="Times New Roman" w:hAnsi="Times New Roman"/>
          <w:color w:val="000000"/>
          <w:sz w:val="13"/>
        </w:rPr>
        <w:t>®</w:t>
      </w:r>
      <w:r>
        <w:rPr>
          <w:rFonts w:ascii="Times New Roman" w:hAnsi="Times New Roman"/>
          <w:color w:val="000000"/>
          <w:sz w:val="20"/>
        </w:rPr>
        <w:t>, DXL</w:t>
      </w:r>
      <w:r>
        <w:rPr>
          <w:rFonts w:ascii="Times New Roman" w:hAnsi="Times New Roman"/>
          <w:color w:val="000000"/>
          <w:sz w:val="13"/>
        </w:rPr>
        <w:t>®</w:t>
      </w:r>
      <w:r>
        <w:rPr>
          <w:rFonts w:ascii="Times New Roman" w:hAnsi="Times New Roman"/>
          <w:color w:val="000000"/>
          <w:sz w:val="20"/>
        </w:rPr>
        <w:t>, DXL Men’s Apparel, DXL Outlets</w:t>
      </w:r>
      <w:r>
        <w:rPr>
          <w:rFonts w:ascii="Times New Roman" w:hAnsi="Times New Roman"/>
          <w:color w:val="000000"/>
          <w:sz w:val="13"/>
        </w:rPr>
        <w:t>®</w:t>
      </w:r>
      <w:r>
        <w:rPr>
          <w:rFonts w:ascii="Times New Roman" w:hAnsi="Times New Roman"/>
          <w:color w:val="000000"/>
          <w:sz w:val="20"/>
        </w:rPr>
        <w:t>, Casual Male XL</w:t>
      </w:r>
      <w:r>
        <w:rPr>
          <w:rFonts w:ascii="Times New Roman" w:hAnsi="Times New Roman"/>
          <w:color w:val="000000"/>
          <w:sz w:val="13"/>
        </w:rPr>
        <w:t>®</w:t>
      </w:r>
      <w:r>
        <w:rPr>
          <w:rFonts w:ascii="Times New Roman" w:hAnsi="Times New Roman"/>
          <w:color w:val="000000"/>
          <w:sz w:val="20"/>
        </w:rPr>
        <w:t xml:space="preserve"> and Casual Male XL Outlets. At February 3, 2024, the Company operated 232 DXL stores, 17 Casual Male XL stores, 19 Casual Male XL outlets and 15 DXL outlets located throughout the United States, including an e-commerce site, </w:t>
      </w:r>
      <w:r>
        <w:rPr>
          <w:rFonts w:ascii="Times New Roman" w:hAnsi="Times New Roman"/>
          <w:sz w:val="20"/>
        </w:rPr>
        <w:t>www.dxl.com,</w:t>
      </w:r>
      <w:r>
        <w:rPr>
          <w:rFonts w:ascii="Times New Roman" w:hAnsi="Times New Roman"/>
          <w:color w:val="000000"/>
          <w:sz w:val="20"/>
        </w:rPr>
        <w:t xml:space="preserve"> and a mobile app. </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subsidiaries. All significant intercompany accounts, transactions and profits are eliminated.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pStyle w:val="TextBody"/>
        <w:bidi w:val="0"/>
        <w:spacing w:before="360" w:after="283"/>
        <w:jc w:val="both"/>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integrated commerce business approach.</w:t>
      </w:r>
    </w:p>
    <w:p>
      <w:pPr>
        <w:pStyle w:val="TextBody"/>
        <w:bidi w:val="0"/>
        <w:spacing w:before="360" w:after="283"/>
        <w:jc w:val="both"/>
        <w:rPr>
          <w:rFonts w:ascii="Times New Roman" w:hAnsi="Times New Roman"/>
          <w:sz w:val="20"/>
        </w:rPr>
      </w:pPr>
      <w:r>
        <w:rPr>
          <w:rFonts w:ascii="Times New Roman" w:hAnsi="Times New Roman"/>
          <w:b/>
          <w:i/>
          <w:color w:val="000000"/>
          <w:sz w:val="20"/>
        </w:rPr>
        <w:t>Fiscal Year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fiscal year is a 52-week or 53-week period ending on the Saturday closest to January 31. Fiscal 2023 was a 53-week period which ended on February 3, 2024. Fiscal 2022 and fiscal 2021 were each 52-week periods, which ended on January 28, 2023, January 29, 2022, respectively. </w:t>
      </w:r>
    </w:p>
    <w:p>
      <w:pPr>
        <w:pStyle w:val="TextBody"/>
        <w:bidi w:val="0"/>
        <w:spacing w:before="36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consist of cash in banks and short-term investments, which have a maturity of ninety days or less when acquired. Included in cash equivalents are credit card and debit card receivables from banks, which generally settle within two to four business days.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Short-term investments consist of those investments that have a maturity date, when acquired, that is greater than three months and twelve months or less. </w:t>
      </w:r>
      <w:r>
        <w:rPr>
          <w:rFonts w:ascii="Times New Roman" w:hAnsi="Times New Roman"/>
          <w:color w:val="212121"/>
          <w:sz w:val="20"/>
        </w:rPr>
        <w:t xml:space="preserve">These investments are classified as held-to-maturity and are carried at amortized cost, which approximates fair value due to the short period between purchase and maturity.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our cash and cash equivalents balances. In addition, its cash and cash equivalents and short-term investments include money market accounts with Citizens Bank, N.A. and investments in U.S. government-backed securities.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receivable primarily include amounts due for rebates from certain vendors. For fiscal 2023, fiscal 2022 and fiscal 2021, the Company did not incur any losses on its accounts receivable.</w:t>
      </w:r>
    </w:p>
    <w:p>
      <w:pPr>
        <w:pStyle w:val="TextBody"/>
        <w:bidi w:val="0"/>
        <w:spacing w:before="36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Accounting Standards Codification (“ASC”) Topic 825, </w:t>
      </w:r>
      <w:r>
        <w:rPr>
          <w:rFonts w:ascii="Times New Roman" w:hAnsi="Times New Roman"/>
          <w:i/>
          <w:color w:val="000000"/>
          <w:sz w:val="20"/>
        </w:rPr>
        <w:t xml:space="preserve">Financial Instruments, </w:t>
      </w:r>
      <w:r>
        <w:rPr>
          <w:rFonts w:ascii="Times New Roman" w:hAnsi="Times New Roman"/>
          <w:color w:val="000000"/>
          <w:sz w:val="20"/>
        </w:rPr>
        <w:t xml:space="preserve">requires disclosure of the fair value of certain financial instruments. The carrying amounts of cash and cash equivalents, short-term investments, accounts receivable, accounts payable and accrued expenses approximate fair value because of the short maturity of these instruments. See Note K - </w:t>
      </w:r>
      <w:r>
        <w:rPr>
          <w:rFonts w:ascii="Times New Roman" w:hAnsi="Times New Roman"/>
          <w:i/>
          <w:color w:val="000000"/>
          <w:sz w:val="20"/>
        </w:rPr>
        <w:t xml:space="preserve">Fair Value Measurement </w:t>
      </w:r>
      <w:r>
        <w:rPr>
          <w:rFonts w:ascii="Times New Roman" w:hAnsi="Times New Roman"/>
          <w:color w:val="000000"/>
          <w:sz w:val="20"/>
        </w:rPr>
        <w:t xml:space="preserve">for information regarding the fair value of certain financial assets.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Measurements and Disclosures</w:t>
      </w:r>
      <w:r>
        <w:rPr>
          <w:rFonts w:ascii="Times New Roman" w:hAnsi="Times New Roman"/>
          <w:color w:val="000000"/>
          <w:sz w:val="20"/>
        </w:rPr>
        <w:t xml:space="preserve">, defines fair value, establishes a framework for measuring fair value and enhances disclosures about fair value measurements.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Quoted prices in active markets for identical assets or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assets or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utilizes observable market inputs (quoted market prices) when measuring fair value whenever possible.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Times New Roman" w:hAnsi="Times New Roman"/>
          <w:i/>
          <w:color w:val="000000"/>
          <w:sz w:val="20"/>
        </w:rPr>
        <w:t>Impairment of Long-Lived Assets</w:t>
      </w:r>
      <w:r>
        <w:rPr>
          <w:rFonts w:ascii="Times New Roman" w:hAnsi="Times New Roman"/>
          <w:color w:val="000000"/>
          <w:sz w:val="20"/>
        </w:rPr>
        <w:t xml:space="preserve">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inventories are valued at the lower of cost or market, using a weighted-average cost method.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 </w:t>
      </w:r>
    </w:p>
    <w:p>
      <w:pPr>
        <w:pStyle w:val="TextBody"/>
        <w:bidi w:val="0"/>
        <w:jc w:val="left"/>
        <w:rPr/>
      </w:pPr>
      <w:r>
        <w:rPr/>
        <w:t> </w:t>
      </w:r>
    </w:p>
    <w:tbl>
      <w:tblPr>
        <w:tblW w:w="5781" w:type="dxa"/>
        <w:jc w:val="left"/>
        <w:tblInd w:w="0" w:type="dxa"/>
        <w:tblLayout w:type="fixed"/>
        <w:tblCellMar>
          <w:top w:w="28" w:type="dxa"/>
          <w:left w:w="28" w:type="dxa"/>
          <w:bottom w:w="28" w:type="dxa"/>
          <w:right w:w="28" w:type="dxa"/>
        </w:tblCellMar>
      </w:tblPr>
      <w:tblGrid>
        <w:gridCol w:w="2161"/>
        <w:gridCol w:w="109"/>
        <w:gridCol w:w="3511"/>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Five to ten years</w:t>
            </w:r>
          </w:p>
        </w:tc>
      </w:tr>
      <w:tr>
        <w:trPr/>
        <w:tc>
          <w:tcPr>
            <w:tcW w:w="21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Five to ten years</w:t>
            </w:r>
          </w:p>
        </w:tc>
      </w:tr>
      <w:tr>
        <w:trPr/>
        <w:tc>
          <w:tcPr>
            <w:tcW w:w="21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useful lives or related lease term</w:t>
            </w:r>
          </w:p>
        </w:tc>
      </w:tr>
      <w:tr>
        <w:trPr/>
        <w:tc>
          <w:tcPr>
            <w:tcW w:w="21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Hardware and software</w:t>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to seven years</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Intangibles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Domain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There were no deferred direct response costs at February 3, 2024 and January 28, 2023. Advertising expense, which is included in selling, general and administrative expenses, was $30.9 million, $32.5 million and $24.0 million for fiscal 2023, fiscal 2022 and fiscal 2021,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accounting policies with respect to revenue recognition are discussed in Note B, “</w:t>
      </w: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Translation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During fiscal 2022, the Company closed its store located in Toronto, Canada. Assets and liabilities for this store were translated into U.S. dollars at the exchange rates in effect at each balance sheet date. Stockholders’ equity was translated at applicable historical exchange rates. Income, expense and cash flow items were translated at average exchange rates during the period. Resulting translation adjustments were reported as a separate component of stockholders’ equity. Accordingly, in the fourth quarter of fiscal 2022, the Company recognized $66,000 related to the accumulated foreign currency transaction adjustment. See “</w:t>
      </w:r>
      <w:r>
        <w:rPr>
          <w:rFonts w:ascii="Times New Roman" w:hAnsi="Times New Roman"/>
          <w:i/>
          <w:color w:val="000000"/>
          <w:sz w:val="20"/>
        </w:rPr>
        <w:t>Accumulated Other Comprehensive Income (Loss) – (“AOCI”)</w:t>
      </w:r>
      <w:r>
        <w:rPr>
          <w:rFonts w:ascii="Times New Roman" w:hAnsi="Times New Roman"/>
          <w:color w:val="000000"/>
          <w:sz w:val="20"/>
        </w:rPr>
        <w:t xml:space="preserve">”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Accumulated Other Comprehensive Income (Loss) – (“AOCI”)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comprehensive income (loss) includes amounts related to foreign currency and pension plans and is reported in the Consolidated Statements of Comprehensive Income (Loss). Other comprehensive income (loss) and reclassifications from AOCI for fiscal 2023, fiscal 2022 and fiscal 2021 are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86"/>
        <w:gridCol w:w="251"/>
        <w:gridCol w:w="699"/>
        <w:gridCol w:w="166"/>
        <w:gridCol w:w="146"/>
        <w:gridCol w:w="242"/>
        <w:gridCol w:w="709"/>
        <w:gridCol w:w="166"/>
        <w:gridCol w:w="146"/>
        <w:gridCol w:w="287"/>
        <w:gridCol w:w="509"/>
        <w:gridCol w:w="166"/>
        <w:gridCol w:w="146"/>
        <w:gridCol w:w="196"/>
        <w:gridCol w:w="571"/>
        <w:gridCol w:w="166"/>
        <w:gridCol w:w="146"/>
        <w:gridCol w:w="242"/>
        <w:gridCol w:w="709"/>
        <w:gridCol w:w="166"/>
        <w:gridCol w:w="146"/>
        <w:gridCol w:w="271"/>
        <w:gridCol w:w="480"/>
        <w:gridCol w:w="166"/>
        <w:gridCol w:w="146"/>
        <w:gridCol w:w="196"/>
        <w:gridCol w:w="571"/>
        <w:gridCol w:w="214"/>
      </w:tblGrid>
      <w:tr>
        <w:trPr/>
        <w:tc>
          <w:tcPr>
            <w:tcW w:w="21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5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43" w:type="dxa"/>
            <w:gridSpan w:val="2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w:t>
              <w:br/>
              <w:t> Currency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Foreign </w:t>
              <w:br/>
              <w:t>Currency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fiscal year</w:t>
            </w:r>
          </w:p>
        </w:tc>
        <w:tc>
          <w:tcPr>
            <w:tcW w:w="2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(6,221</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br/>
              <w:t>   before reclassifications, net of taxes</w:t>
            </w:r>
          </w:p>
        </w:tc>
        <w:tc>
          <w:tcPr>
            <w:tcW w:w="25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w:t>
            </w:r>
          </w:p>
        </w:tc>
        <w:tc>
          <w:tcPr>
            <w:tcW w:w="214" w:type="dxa"/>
            <w:tcBorders/>
            <w:shd w:fill="CFF0FC" w:val="clear"/>
            <w:vAlign w:val="center"/>
          </w:tcPr>
          <w:p>
            <w:pPr>
              <w:pStyle w:val="TableContents"/>
              <w:bidi w:val="0"/>
              <w:spacing w:before="0" w:after="283"/>
              <w:jc w:val="left"/>
              <w:rPr/>
            </w:pPr>
            <w:r>
              <w:rPr/>
              <w:t> </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Recognition of loss on retirement plan terminations, net of taxes </w:t>
            </w:r>
            <w:r>
              <w:rPr>
                <w:rFonts w:ascii="Times New Roman" w:hAnsi="Times New Roman"/>
                <w:color w:val="000000"/>
                <w:sz w:val="12"/>
              </w:rPr>
              <w:t>(1)</w:t>
            </w:r>
          </w:p>
        </w:tc>
        <w:tc>
          <w:tcPr>
            <w:tcW w:w="25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Recognition of accumulated foreign currency translation adjustment </w:t>
            </w:r>
            <w:r>
              <w:rPr>
                <w:rFonts w:ascii="Times New Roman" w:hAnsi="Times New Roman"/>
                <w:color w:val="000000"/>
                <w:sz w:val="12"/>
              </w:rPr>
              <w:t>(2)</w:t>
            </w:r>
          </w:p>
        </w:tc>
        <w:tc>
          <w:tcPr>
            <w:tcW w:w="25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Amounts reclassified from accumulated</w:t>
              <w:br/>
              <w:t>   other comprehensive income (loss),</w:t>
              <w:br/>
              <w:t xml:space="preserve">   net of taxes </w:t>
            </w:r>
            <w:r>
              <w:rPr>
                <w:rFonts w:ascii="Times New Roman" w:hAnsi="Times New Roman"/>
                <w:color w:val="000000"/>
                <w:sz w:val="12"/>
              </w:rPr>
              <w:t>(3)</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br/>
              <w:t>   (loss) for the period</w:t>
            </w:r>
          </w:p>
        </w:tc>
        <w:tc>
          <w:tcPr>
            <w:tcW w:w="25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214" w:type="dxa"/>
            <w:tcBorders/>
            <w:shd w:fill="CFF0FC" w:val="clear"/>
            <w:vAlign w:val="center"/>
          </w:tcPr>
          <w:p>
            <w:pPr>
              <w:pStyle w:val="TableContents"/>
              <w:bidi w:val="0"/>
              <w:spacing w:before="0" w:after="283"/>
              <w:jc w:val="left"/>
              <w:rPr/>
            </w:pPr>
            <w:r>
              <w:rPr/>
              <w:t> </w:t>
            </w:r>
          </w:p>
        </w:tc>
      </w:tr>
      <w:tr>
        <w:trPr/>
        <w:tc>
          <w:tcPr>
            <w:tcW w:w="218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fiscal year</w:t>
            </w:r>
          </w:p>
        </w:tc>
        <w:tc>
          <w:tcPr>
            <w:tcW w:w="2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(5,525</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4"/>
        </w:rPr>
      </w:pPr>
      <w:r>
        <w:rPr>
          <w:rFonts w:ascii="Times New Roman" w:hAnsi="Times New Roman"/>
          <w:color w:val="000000"/>
          <w:sz w:val="20"/>
        </w:rPr>
        <w:t>In fiscal 2023, the Company terminated its pension plan and SERP and all obligations were settled through the purchase of nonparticipating annuities. Accordingly, the Company recognized the unrealized loss of its pension plans of $5.7</w:t>
      </w:r>
      <w:r>
        <w:rPr>
          <w:rFonts w:ascii="Times New Roman" w:hAnsi="Times New Roman"/>
          <w:color w:val="000000"/>
          <w:sz w:val="24"/>
        </w:rPr>
        <w:t xml:space="preserve"> </w:t>
      </w:r>
      <w:r>
        <w:rPr>
          <w:rFonts w:ascii="Times New Roman" w:hAnsi="Times New Roman"/>
          <w:color w:val="000000"/>
          <w:sz w:val="20"/>
        </w:rPr>
        <w:t>million, which is reflected in the "Loss from Termination of Retirement Plans" on the Consolidated Statement of Operations. The corresponding tax effect of $0.6</w:t>
      </w:r>
      <w:r>
        <w:rPr>
          <w:rFonts w:ascii="Times New Roman" w:hAnsi="Times New Roman"/>
          <w:color w:val="000000"/>
          <w:sz w:val="24"/>
        </w:rPr>
        <w:t xml:space="preserve"> </w:t>
      </w:r>
      <w:r>
        <w:rPr>
          <w:rFonts w:ascii="Times New Roman" w:hAnsi="Times New Roman"/>
          <w:color w:val="000000"/>
          <w:sz w:val="20"/>
        </w:rPr>
        <w:t>million, was recognized and is reflected as part of the income tax provision.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Company’s closing of its remaining store in Toronto, Canada, in fiscal 2022, the Company recognized the accumulated foreign currency translation adjustment as an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sz w:val="24"/>
        </w:rPr>
      </w:pPr>
      <w:r>
        <w:rPr>
          <w:rFonts w:ascii="Times New Roman" w:hAnsi="Times New Roman"/>
          <w:color w:val="000000"/>
          <w:sz w:val="20"/>
        </w:rPr>
        <w:t>Includes the amortization through the date of settlement of the unrecognized (gain)/loss on retirement plans, which was charged to selling, general and administrative expense on the Consolidated Statements of Operations for all periods presented. The amortization of the unrecognized loss was $102,000, with a corresponding tax benefit of 27,000</w:t>
      </w:r>
      <w:r>
        <w:rPr>
          <w:rFonts w:ascii="Times New Roman" w:hAnsi="Times New Roman"/>
          <w:color w:val="000000"/>
          <w:sz w:val="24"/>
        </w:rPr>
        <w:t xml:space="preserve"> </w:t>
      </w:r>
      <w:r>
        <w:rPr>
          <w:rFonts w:ascii="Times New Roman" w:hAnsi="Times New Roman"/>
          <w:color w:val="000000"/>
          <w:sz w:val="20"/>
        </w:rPr>
        <w:t xml:space="preserve">for fiscal 2023. For fiscal 2022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4"/>
        </w:rPr>
      </w:pPr>
      <w:r>
        <w:rPr>
          <w:rFonts w:ascii="Times New Roman" w:hAnsi="Times New Roman"/>
          <w:color w:val="000000"/>
          <w:sz w:val="20"/>
        </w:rPr>
        <w:t>and fiscal 2021, the Company recognized income of $39,000</w:t>
      </w:r>
      <w:r>
        <w:rPr>
          <w:rFonts w:ascii="Times New Roman" w:hAnsi="Times New Roman"/>
          <w:color w:val="000000"/>
          <w:sz w:val="24"/>
        </w:rPr>
        <w:t xml:space="preserve"> </w:t>
      </w:r>
      <w:r>
        <w:rPr>
          <w:rFonts w:ascii="Times New Roman" w:hAnsi="Times New Roman"/>
          <w:color w:val="000000"/>
          <w:sz w:val="20"/>
        </w:rPr>
        <w:t>and $41,000, respectively, as a result of a change in amortization from average remaining future service to average remaining lifetime. The corresponding tax provision for fiscal 2022 was $9,000. There was no</w:t>
      </w:r>
      <w:r>
        <w:rPr>
          <w:rFonts w:ascii="Times New Roman" w:hAnsi="Times New Roman"/>
          <w:color w:val="000000"/>
          <w:sz w:val="24"/>
        </w:rPr>
        <w:t xml:space="preserve"> </w:t>
      </w:r>
      <w:r>
        <w:rPr>
          <w:rFonts w:ascii="Times New Roman" w:hAnsi="Times New Roman"/>
          <w:color w:val="000000"/>
          <w:sz w:val="20"/>
        </w:rPr>
        <w:t>related tax effect for fiscal 2021.</w:t>
      </w:r>
      <w:r>
        <w:rPr>
          <w:rFonts w:ascii="Times New Roman" w:hAnsi="Times New Roman"/>
          <w:color w:val="000000"/>
          <w:sz w:val="24"/>
        </w:rPr>
        <w:t xml:space="preserve"> </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 See Note F, </w:t>
      </w: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ASC Topic 740, </w:t>
      </w:r>
      <w:r>
        <w:rPr>
          <w:rFonts w:ascii="Times New Roman" w:hAnsi="Times New Roman"/>
          <w:i/>
          <w:color w:val="000000"/>
          <w:sz w:val="20"/>
        </w:rPr>
        <w:t>Income Taxes</w:t>
      </w:r>
      <w:r>
        <w:rPr>
          <w:rFonts w:ascii="Times New Roman" w:hAnsi="Times New Roman"/>
          <w:color w:val="000000"/>
          <w:sz w:val="20"/>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2023, fiscal 2022 and fiscal 2021.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Net Income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earnings per share are computed by dividing net income by the weighted average number of shares of common stock outstanding during the respective period. Diluted earnings per share is determined by giving effect to unvested shares of deferred stock and restricted stock units (RSUs) and the exercise of stock options using the treasury stock method. The following table provides a reconciliation of the number of shares outstanding for basic and diluted earnings per share:</w:t>
      </w:r>
    </w:p>
    <w:tbl>
      <w:tblPr>
        <w:tblW w:w="8602" w:type="dxa"/>
        <w:jc w:val="left"/>
        <w:tblInd w:w="0" w:type="dxa"/>
        <w:tblLayout w:type="fixed"/>
        <w:tblCellMar>
          <w:top w:w="28" w:type="dxa"/>
          <w:left w:w="28" w:type="dxa"/>
          <w:bottom w:w="28" w:type="dxa"/>
          <w:right w:w="28" w:type="dxa"/>
        </w:tblCellMar>
      </w:tblPr>
      <w:tblGrid>
        <w:gridCol w:w="3721"/>
        <w:gridCol w:w="146"/>
        <w:gridCol w:w="234"/>
        <w:gridCol w:w="1086"/>
        <w:gridCol w:w="146"/>
        <w:gridCol w:w="146"/>
        <w:gridCol w:w="234"/>
        <w:gridCol w:w="1086"/>
        <w:gridCol w:w="146"/>
        <w:gridCol w:w="146"/>
        <w:gridCol w:w="234"/>
        <w:gridCol w:w="1086"/>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4"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YEARS ENDED</w:t>
            </w:r>
          </w:p>
        </w:tc>
        <w:tc>
          <w:tcPr>
            <w:tcW w:w="191" w:type="dxa"/>
            <w:tcBorders/>
            <w:shd w:fill="FFFFFF" w:val="cle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w:t>
              <w:br/>
              <w:t>   outstanding</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63,401</w:t>
            </w:r>
          </w:p>
        </w:tc>
        <w:tc>
          <w:tcPr>
            <w:tcW w:w="19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equivalents – stock options, </w:t>
              <w:br/>
              <w:t>   deferred stock and RSUs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w:t>
              <w:br/>
              <w:t>   outstanding</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68,031</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or deferred stock had an anti-dilutive effect. </w:t>
      </w:r>
    </w:p>
    <w:tbl>
      <w:tblPr>
        <w:tblW w:w="8257" w:type="dxa"/>
        <w:jc w:val="left"/>
        <w:tblInd w:w="0" w:type="dxa"/>
        <w:tblLayout w:type="fixed"/>
        <w:tblCellMar>
          <w:top w:w="28" w:type="dxa"/>
          <w:left w:w="28" w:type="dxa"/>
          <w:bottom w:w="28" w:type="dxa"/>
          <w:right w:w="28" w:type="dxa"/>
        </w:tblCellMar>
      </w:tblPr>
      <w:tblGrid>
        <w:gridCol w:w="3376"/>
        <w:gridCol w:w="146"/>
        <w:gridCol w:w="416"/>
        <w:gridCol w:w="904"/>
        <w:gridCol w:w="146"/>
        <w:gridCol w:w="146"/>
        <w:gridCol w:w="339"/>
        <w:gridCol w:w="981"/>
        <w:gridCol w:w="146"/>
        <w:gridCol w:w="146"/>
        <w:gridCol w:w="339"/>
        <w:gridCol w:w="98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544"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YEARS ENDED</w:t>
            </w:r>
          </w:p>
        </w:tc>
        <w:tc>
          <w:tcPr>
            <w:tcW w:w="191" w:type="dxa"/>
            <w:tcBorders/>
            <w:shd w:fill="FFFFFF" w:val="cle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exercise prices)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(time-vested)</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1"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(time-vested)</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of exercise prices of such options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$4.48 - $6.59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$4.48 - $7.43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$4.19 -$5.50</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Excluded from the computation of basic and diluted earnings per share were 573,000 shares for fiscal 2023 and 240,000 shares in fiscal 2022 and fiscal 2021 of unvested performance stock units. These performance-based awards will be included in the computation of basic and diluted earnings per share if, and when, the respective performance targets are achieved. In addition, deferred stock of 435,568 shares for all three fiscal periods were excluded from basic earnings per share. Outstanding shares of deferred stock are not considered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issued and outstanding until the vesting date of the deferral period and are excluded from basic earnings per share until such shares are issued.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Topic 718, </w:t>
      </w:r>
      <w:r>
        <w:rPr>
          <w:rFonts w:ascii="Times New Roman" w:hAnsi="Times New Roman"/>
          <w:i/>
          <w:color w:val="000000"/>
          <w:sz w:val="20"/>
        </w:rPr>
        <w:t>Compensation – Stock Compensation</w:t>
      </w:r>
      <w:r>
        <w:rPr>
          <w:rFonts w:ascii="Times New Roman" w:hAnsi="Times New Roman"/>
          <w:color w:val="000000"/>
          <w:sz w:val="20"/>
        </w:rPr>
        <w:t xml:space="preserve">, requires measurement of compensation cost for all stock awards at fair value on the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 derived from using the Black-Scholes model is recognized as expense over the vesting period, net of estimated forfeitures. The estimation of stock awards that will ultimately vest requires judgment. Actual results, and future changes in estimates, may differ from the Company’s current estimates. </w:t>
      </w:r>
    </w:p>
    <w:p>
      <w:pPr>
        <w:pStyle w:val="TextBody"/>
        <w:bidi w:val="0"/>
        <w:spacing w:before="240" w:after="283"/>
        <w:jc w:val="both"/>
        <w:rPr>
          <w:rFonts w:ascii="Times New Roman" w:hAnsi="Times New Roman"/>
          <w:sz w:val="20"/>
        </w:rPr>
      </w:pPr>
      <w:r>
        <w:rPr>
          <w:rFonts w:ascii="Times New Roman" w:hAnsi="Times New Roman"/>
          <w:color w:val="000000"/>
          <w:sz w:val="20"/>
        </w:rPr>
        <w:t>During fiscal 2023, the Company granted performance stock units. The fair value and derived service periods of the award were calculated using the Monte Carlo model. See Note I "</w:t>
      </w:r>
      <w:r>
        <w:rPr>
          <w:rFonts w:ascii="Times New Roman" w:hAnsi="Times New Roman"/>
          <w:i/>
          <w:color w:val="000000"/>
          <w:sz w:val="20"/>
        </w:rPr>
        <w:t>Stock Compensation Plans</w:t>
      </w:r>
      <w:r>
        <w:rPr>
          <w:rFonts w:ascii="Times New Roman" w:hAnsi="Times New Roman"/>
          <w:color w:val="000000"/>
          <w:sz w:val="20"/>
        </w:rPr>
        <w:t xml:space="preserve">" for more discussion regarding the performance metrics and the valuation assumptions used to calculate the fair value and derived service periods.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recognized total stock-based compensation expense of $2.5 million, $1.4 million and $1.2 million for fiscal 2023, fiscal 2022 and fiscal 2021, respectively. The increase in stock-based compensation in fiscal 2023 was primarily due to the grant of performance stock units in August 2023 that are being expensed over the derived service period, which was determined to be an average of 12.5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stock-based compensation cost related to time-vested awards not yet recognized as of February 3, 2024 was approximately $3.4 million and will be expensed over a weighted average remaining life of approximately 22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grant-date fair value of awards vested was $1.2 million, $2.5 million and $1.7 million for fiscal 2023, fiscal 2022 and fiscal 2021,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excess tax benefits resulting from the exercise of stock options or the release of restricted shares were recognized as a component of income tax expense in the period in which they occurred.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Valuation Assumptions - Stock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each option grant is estimated on the date of grant using the Black-Scholes option-pricing model based on the following assumptions in the table. The fair value of each non-vested share is equal to the closing price of the Company’s stock on the date of grant. The weighted-average fair value of options granted and non-vested shares granted shown below does not include shares granted to directors in lieu of compensation. </w:t>
      </w:r>
    </w:p>
    <w:p>
      <w:pPr>
        <w:pStyle w:val="TextBody"/>
        <w:bidi w:val="0"/>
        <w:spacing w:before="120" w:after="283"/>
        <w:jc w:val="left"/>
        <w:rPr/>
      </w:pPr>
      <w:r>
        <w:rPr/>
        <w:t> </w:t>
      </w:r>
    </w:p>
    <w:tbl>
      <w:tblPr>
        <w:tblW w:w="9382" w:type="dxa"/>
        <w:jc w:val="left"/>
        <w:tblInd w:w="0" w:type="dxa"/>
        <w:tblLayout w:type="fixed"/>
        <w:tblCellMar>
          <w:top w:w="28" w:type="dxa"/>
          <w:left w:w="28" w:type="dxa"/>
          <w:bottom w:w="28" w:type="dxa"/>
          <w:right w:w="28" w:type="dxa"/>
        </w:tblCellMar>
      </w:tblPr>
      <w:tblGrid>
        <w:gridCol w:w="4756"/>
        <w:gridCol w:w="146"/>
        <w:gridCol w:w="1321"/>
        <w:gridCol w:w="146"/>
        <w:gridCol w:w="1411"/>
        <w:gridCol w:w="146"/>
        <w:gridCol w:w="1456"/>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Fiscal years ended:</w:t>
            </w:r>
          </w:p>
        </w:tc>
        <w:tc>
          <w:tcPr>
            <w:tcW w:w="146" w:type="dxa"/>
            <w:tcBorders/>
            <w:shd w:fill="FFFFFF" w:val="cle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86.3% - 92.1%</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87.9% - 123.7%</w:t>
            </w:r>
          </w:p>
        </w:tc>
        <w:tc>
          <w:tcPr>
            <w:tcW w:w="146" w:type="dxa"/>
            <w:tcBorders/>
            <w:shd w:fill="CFF0FC" w:val="clear"/>
            <w:vAlign w:val="center"/>
          </w:tcPr>
          <w:p>
            <w:pPr>
              <w:pStyle w:val="TableContents"/>
              <w:bidi w:val="0"/>
              <w:spacing w:before="0" w:after="283"/>
              <w:jc w:val="center"/>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97.4% - 104.9%</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3.71%-4.42%</w:t>
            </w:r>
          </w:p>
        </w:tc>
        <w:tc>
          <w:tcPr>
            <w:tcW w:w="146" w:type="dxa"/>
            <w:tcBorders/>
            <w:shd w:fill="FFFFFF" w:val="clear"/>
            <w:vAlign w:val="center"/>
          </w:tcPr>
          <w:p>
            <w:pPr>
              <w:pStyle w:val="TableContents"/>
              <w:bidi w:val="0"/>
              <w:spacing w:before="0" w:after="283"/>
              <w:jc w:val="center"/>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 - 4.41%</w:t>
            </w:r>
          </w:p>
        </w:tc>
        <w:tc>
          <w:tcPr>
            <w:tcW w:w="14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 - 0.60%</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2.0 - 3.5</w:t>
            </w:r>
          </w:p>
        </w:tc>
        <w:tc>
          <w:tcPr>
            <w:tcW w:w="146" w:type="dxa"/>
            <w:tcBorders/>
            <w:shd w:fill="CFF0FC" w:val="clear"/>
            <w:vAlign w:val="center"/>
          </w:tcPr>
          <w:p>
            <w:pPr>
              <w:pStyle w:val="TableContents"/>
              <w:bidi w:val="0"/>
              <w:spacing w:before="0" w:after="283"/>
              <w:jc w:val="center"/>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3.0 - 4.0</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options granted</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$3.24</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$3.58</w:t>
            </w:r>
          </w:p>
        </w:tc>
        <w:tc>
          <w:tcPr>
            <w:tcW w:w="146" w:type="dxa"/>
            <w:tcBorders/>
            <w:shd w:fill="CFF0FC" w:val="clear"/>
            <w:vAlign w:val="center"/>
          </w:tcPr>
          <w:p>
            <w:pPr>
              <w:pStyle w:val="TableContents"/>
              <w:bidi w:val="0"/>
              <w:spacing w:before="0" w:after="283"/>
              <w:jc w:val="center"/>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$0.47</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non-vested shares granted</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$4.47</w:t>
            </w:r>
          </w:p>
        </w:tc>
        <w:tc>
          <w:tcPr>
            <w:tcW w:w="146" w:type="dxa"/>
            <w:tcBorders/>
            <w:shd w:fill="FFFFFF" w:val="clear"/>
            <w:vAlign w:val="center"/>
          </w:tcPr>
          <w:p>
            <w:pPr>
              <w:pStyle w:val="TableContents"/>
              <w:bidi w:val="0"/>
              <w:spacing w:before="0" w:after="283"/>
              <w:jc w:val="center"/>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w:t>
            </w:r>
          </w:p>
        </w:tc>
        <w:tc>
          <w:tcPr>
            <w:tcW w:w="14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$0.66</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Company recorded an impairment charge of $0.1 million in fiscal 2023 and recorded a net gain of $0.2 million and $2.3 million in fiscal 2022 and fiscal 2021, respectively.</w:t>
      </w:r>
      <w:r>
        <w:rPr>
          <w:rFonts w:ascii="Times New Roman" w:hAnsi="Times New Roman"/>
          <w:color w:val="FF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With respect to the impairment charges taken on operating lease right-of-use assets, if the Company subsequently makes a decision to close previously impaired stores and a gain is realized as a result of the reevaluation of the existing lease liabilities, to the extent the gain related to previously recorded impairment charges against the right-of-use assets, the gain will be included as an offset to asset impairment charges with the remainder included as a reduction in store occupancy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fiscal 2023, the Company recorded a total asset impairment charge of $0.1 million, which included a write-down for certain store and operating lease right-of-use assets. For fiscal 2022 and fiscal 2021, the Company recognized non-cash gains of $0.6 million and $2.7 million, respectively, related to the Company's decision to close certain retail stores, with $0.4 million and $2.3 million, respectively, of the gains included as an offset to asset impairment charges and the remaining $0.2 million and $0.4 million, respectively, of the gains included as a reduction of store occupancy costs. Partially offsetting the gain of $0.4 million for fiscal 2022, was an impairment charge of $0.2 million related to the write-down of store assets.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February 3, 2024, the Company had no short-term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right-of-use asset and amortized as reductions to rent expense over the associated lease term. </w:t>
      </w:r>
    </w:p>
    <w:p>
      <w:pPr>
        <w:pStyle w:val="TextBody"/>
        <w:bidi w:val="0"/>
        <w:spacing w:before="120" w:after="283"/>
        <w:jc w:val="both"/>
        <w:rPr>
          <w:rFonts w:ascii="Times New Roman" w:hAnsi="Times New Roman"/>
          <w:sz w:val="20"/>
        </w:rPr>
      </w:pPr>
      <w:r>
        <w:rPr>
          <w:rFonts w:ascii="Times New Roman" w:hAnsi="Times New Roman"/>
          <w:color w:val="000000"/>
          <w:sz w:val="20"/>
        </w:rPr>
        <w:t>See Note E "</w:t>
      </w:r>
      <w:r>
        <w:rPr>
          <w:rFonts w:ascii="Times New Roman" w:hAnsi="Times New Roman"/>
          <w:i/>
          <w:color w:val="000000"/>
          <w:sz w:val="20"/>
        </w:rPr>
        <w:t>Leases"</w:t>
      </w:r>
      <w:r>
        <w:rPr>
          <w:rFonts w:ascii="Times New Roman" w:hAnsi="Times New Roman"/>
          <w:color w:val="000000"/>
          <w:sz w:val="20"/>
        </w:rPr>
        <w:t xml:space="preserve"> for additional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Recently Issued Accounting Pronouncements -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2022, the FASB issued Accounting Standards Update ("ASU") </w:t>
      </w:r>
      <w:r>
        <w:rPr>
          <w:rFonts w:ascii="Times New Roman" w:hAnsi="Times New Roman"/>
          <w:color w:val="252525"/>
          <w:sz w:val="20"/>
        </w:rPr>
        <w:t>2022</w:t>
      </w:r>
      <w:r>
        <w:rPr>
          <w:rFonts w:ascii="Times New Roman" w:hAnsi="Times New Roman"/>
          <w:color w:val="000000"/>
          <w:sz w:val="20"/>
        </w:rPr>
        <w:t>-</w:t>
      </w:r>
      <w:r>
        <w:rPr>
          <w:rFonts w:ascii="Times New Roman" w:hAnsi="Times New Roman"/>
          <w:color w:val="252525"/>
          <w:sz w:val="20"/>
        </w:rPr>
        <w:t xml:space="preserve">04, </w:t>
      </w:r>
      <w:r>
        <w:rPr>
          <w:rFonts w:ascii="Times New Roman" w:hAnsi="Times New Roman"/>
          <w:i/>
          <w:color w:val="252525"/>
          <w:sz w:val="20"/>
        </w:rPr>
        <w:t>Liabilities – Supplier Finance Programs,</w:t>
      </w:r>
      <w:r>
        <w:rPr>
          <w:rFonts w:ascii="Times New Roman" w:hAnsi="Times New Roman"/>
          <w:color w:val="000000"/>
          <w:sz w:val="20"/>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was adopted in the first quarter of fiscal 2023, with the exception of the rollforward information, which is not effective until fiscal 2024. The adoption of ASU 2022-04 did not have a material effect on the Company's Consolidated Financial Statements as the Company does not participate in supplier finance programs.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Recently Issued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2023, the FASB issued ASU 2023-03, </w:t>
      </w:r>
      <w:r>
        <w:rPr>
          <w:rFonts w:ascii="Times New Roman" w:hAnsi="Times New Roman"/>
          <w:i/>
          <w:color w:val="000000"/>
          <w:sz w:val="20"/>
        </w:rPr>
        <w:t xml:space="preserve">Presentation of Financial Statements (Topic 205), Income Statement - Reporting Comprehensive Income (Topic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t>
      </w:r>
      <w:r>
        <w:rPr>
          <w:rFonts w:ascii="Times New Roman" w:hAnsi="Times New Roman"/>
          <w:color w:val="000000"/>
          <w:sz w:val="20"/>
        </w:rPr>
        <w:t xml:space="preserve">which amends or supersedes various SEC paragraphs within the Accounting Standards Codification to conform to past SEC announcements and guidance issued by the SEC. The ASU does not provide any new guidance, and as such, there is no transition effective date. ASU </w:t>
      </w:r>
      <w:r>
        <w:rPr>
          <w:rFonts w:ascii="Times New Roman" w:hAnsi="Times New Roman"/>
          <w:i/>
          <w:color w:val="000000"/>
          <w:sz w:val="20"/>
        </w:rPr>
        <w:t>2023</w:t>
      </w:r>
      <w:r>
        <w:rPr>
          <w:rFonts w:ascii="Times New Roman" w:hAnsi="Times New Roman"/>
          <w:color w:val="000000"/>
          <w:sz w:val="20"/>
        </w:rPr>
        <w:t>-</w:t>
      </w:r>
      <w:r>
        <w:rPr>
          <w:rFonts w:ascii="Times New Roman" w:hAnsi="Times New Roman"/>
          <w:i/>
          <w:color w:val="000000"/>
          <w:sz w:val="20"/>
        </w:rPr>
        <w:t>03</w:t>
      </w:r>
      <w:r>
        <w:rPr>
          <w:rFonts w:ascii="Times New Roman" w:hAnsi="Times New Roman"/>
          <w:color w:val="000000"/>
          <w:sz w:val="20"/>
        </w:rPr>
        <w:t xml:space="preserve"> is not expected to have a material impact on the Company's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 Codification Amendment in Response to the SEC</w:t>
      </w:r>
      <w:r>
        <w:rPr>
          <w:rFonts w:ascii="Times New Roman" w:hAnsi="Times New Roman"/>
          <w:color w:val="212121"/>
          <w:sz w:val="20"/>
        </w:rPr>
        <w:t>’</w:t>
      </w:r>
      <w:r>
        <w:rPr>
          <w:rFonts w:ascii="Times New Roman" w:hAnsi="Times New Roman"/>
          <w:i/>
          <w:color w:val="000000"/>
          <w:sz w:val="20"/>
        </w:rPr>
        <w:t>s Disclosure Update and Simplification Initiative</w:t>
      </w:r>
      <w:r>
        <w:rPr>
          <w:rFonts w:ascii="Times New Roman" w:hAnsi="Times New Roman"/>
          <w:color w:val="212121"/>
          <w:sz w:val="20"/>
        </w:rPr>
        <w:t xml:space="preserve">. </w:t>
      </w:r>
      <w:r>
        <w:rPr>
          <w:rFonts w:ascii="Times New Roman" w:hAnsi="Times New Roman"/>
          <w:color w:val="252525"/>
          <w:sz w:val="20"/>
        </w:rPr>
        <w:t xml:space="preserve">ASU-2023-06 </w:t>
      </w:r>
      <w:r>
        <w:rPr>
          <w:rFonts w:ascii="Times New Roman" w:hAnsi="Times New Roman"/>
          <w:color w:val="212121"/>
          <w:sz w:val="20"/>
        </w:rPr>
        <w:t xml:space="preserve">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The </w:t>
      </w:r>
      <w:r>
        <w:rPr>
          <w:rFonts w:ascii="Times New Roman" w:hAnsi="Times New Roman"/>
          <w:color w:val="252525"/>
          <w:sz w:val="20"/>
        </w:rPr>
        <w:t xml:space="preserve">ASU </w:t>
      </w:r>
      <w:r>
        <w:rPr>
          <w:rFonts w:ascii="Times New Roman" w:hAnsi="Times New Roman"/>
          <w:color w:val="212121"/>
          <w:sz w:val="20"/>
        </w:rPr>
        <w:t>is not expected to have a material impact on our consolidated financial statements or related disclosures because the Company is currently subjected to the reporting requirements of Regulations S-X and 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w:t>
      </w:r>
      <w:r>
        <w:rPr>
          <w:rFonts w:ascii="Times New Roman" w:hAnsi="Times New Roman"/>
          <w:color w:val="000000"/>
          <w:sz w:val="20"/>
        </w:rPr>
        <w:t xml:space="preserve">, </w:t>
      </w:r>
      <w:r>
        <w:rPr>
          <w:rFonts w:ascii="Times New Roman" w:hAnsi="Times New Roman"/>
          <w:color w:val="212121"/>
          <w:sz w:val="20"/>
        </w:rPr>
        <w:t xml:space="preserve">which requires all public entities to provide enhanced disclosures about significant segment expenses. The amendments in this </w:t>
      </w:r>
      <w:r>
        <w:rPr>
          <w:rFonts w:ascii="Times New Roman" w:hAnsi="Times New Roman"/>
          <w:color w:val="252525"/>
          <w:sz w:val="20"/>
        </w:rPr>
        <w:t xml:space="preserve">ASU </w:t>
      </w:r>
      <w:r>
        <w:rPr>
          <w:rFonts w:ascii="Times New Roman" w:hAnsi="Times New Roman"/>
          <w:color w:val="212121"/>
          <w:sz w:val="20"/>
        </w:rPr>
        <w:t>are to be applied retrospectively and are effective for our annual financial statements starting in fiscal 2025 and interim periods starting in fiscal 2026, with early adoption permitted. We are currently evaluating the impact of this accounting standard.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w:t>
      </w:r>
      <w:r>
        <w:rPr>
          <w:rFonts w:ascii="Times New Roman" w:hAnsi="Times New Roman"/>
          <w:color w:val="000000"/>
          <w:sz w:val="20"/>
        </w:rPr>
        <w:t xml:space="preserve">, </w:t>
      </w:r>
      <w:r>
        <w:rPr>
          <w:rFonts w:ascii="Times New Roman" w:hAnsi="Times New Roman"/>
          <w:color w:val="212121"/>
          <w:sz w:val="20"/>
        </w:rPr>
        <w:t>which enhances transparency about income tax information through improvements to income tax disclosures primarily related to the rate reconciliation and income taxes paid and to improve the effectiveness of income tax disclosures. This ASU will be effective for fiscal year 2025, and allows for adoption on a prospective basis, with a retrospective option. Early adoption is permitted. We are</w:t>
      </w:r>
      <w:r>
        <w:rPr>
          <w:rFonts w:ascii="Times New Roman" w:hAnsi="Times New Roman"/>
          <w:color w:val="000000"/>
          <w:sz w:val="20"/>
        </w:rPr>
        <w:t xml:space="preserve"> currently evaluating the effect of adopting this new accounting standard.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other new accounting pronouncements, issued or effective during fiscal 2023, have had or are expected to have a significant impact on the Company’s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REVENUE RECOGNITION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Revenue is recognized in accordance with ASC 606, </w:t>
      </w:r>
      <w:r>
        <w:rPr>
          <w:rFonts w:ascii="Times New Roman" w:hAnsi="Times New Roman"/>
          <w:i/>
          <w:color w:val="000000"/>
          <w:sz w:val="20"/>
        </w:rPr>
        <w:t>Revenue from Contracts with Customers</w:t>
      </w:r>
      <w:r>
        <w:rPr>
          <w:rFonts w:ascii="Times New Roman" w:hAnsi="Times New Roman"/>
          <w:color w:val="000000"/>
          <w:sz w:val="20"/>
        </w:rPr>
        <w:t>. The Company operates as a retailer of big and tall men’s clothing, which includes sales through its stores and direct channels.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Sales from the wholesale business, which the Company operated until the first quarter of fiscal 2022, were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Unredeemed Loyalty Coupons. </w:t>
      </w:r>
      <w:r>
        <w:rPr>
          <w:rFonts w:ascii="Times New Roman" w:hAnsi="Times New Roman"/>
          <w:color w:val="000000"/>
          <w:sz w:val="20"/>
        </w:rPr>
        <w:t>The Company offers a free loyalty program to its customers for which points accumulate based on the purchase of merchandise. Under ASC 606, these loyalty points provide the customer with a material right and a distinct performance obligation with revenue deferred and recognized when the points are redeemed. The cycle of earning and redeeming loyalty points is generally under one year in duration. The loyalty accrual, net of breakage, was $1.7 million and $1.6 million at February 3, 2024 and January 28, 2023,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Unredeemed Gift Cards, Gift Certificates, and Credit Vouchers. </w:t>
      </w:r>
      <w:r>
        <w:rPr>
          <w:rFonts w:ascii="Times New Roman" w:hAnsi="Times New Roman"/>
          <w:color w:val="000000"/>
          <w:sz w:val="20"/>
        </w:rPr>
        <w:t>Upon issuance of a gift card, gift certificate, or credit voucher, a liability is established for 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$3.2 million and $3.4 million at February 3, 2024 and January 28, 2023, respectively.</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Shipping. </w:t>
      </w:r>
      <w:r>
        <w:rPr>
          <w:rFonts w:ascii="Times New Roman" w:hAnsi="Times New Roman"/>
          <w:color w:val="000000"/>
          <w:sz w:val="20"/>
        </w:rPr>
        <w:t>Shipping and handling costs are accounted for as fulfillment costs and are included in cost of sales for all periods presented. Amounts related to shipping and handling that are billed to customers are recorded in sales, and the related costs are recorded in cost of goods sold including occupancy costs, in the Consolidated Statements of Operations.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Disaggregation of Revenue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noted above under </w:t>
      </w:r>
      <w:r>
        <w:rPr>
          <w:rFonts w:ascii="Times New Roman" w:hAnsi="Times New Roman"/>
          <w:i/>
          <w:color w:val="000000"/>
          <w:sz w:val="20"/>
        </w:rPr>
        <w:t xml:space="preserve">Segment Information </w:t>
      </w:r>
      <w:r>
        <w:rPr>
          <w:rFonts w:ascii="Times New Roman" w:hAnsi="Times New Roman"/>
          <w:color w:val="000000"/>
          <w:sz w:val="20"/>
        </w:rPr>
        <w:t>in Note A, the Company’s business at February 3, 2024 consists of one reportable segment, its retail segment. Substantially all of the Company’s revenue is generated from its stores and direct businesses. In the first quarter of fiscal 2022, the Company ended its relationship with its primary wholesale customer. Accordingly, the Company has determined that the following sales channels depict the nature, amount, timing, and uncertainty of how revenue and cash flows are affected by economic factors for each of the following fiscal years:</w:t>
      </w:r>
    </w:p>
    <w:p>
      <w:pPr>
        <w:pStyle w:val="TextBody"/>
        <w:bidi w:val="0"/>
        <w:jc w:val="left"/>
        <w:rPr/>
      </w:pPr>
      <w:r>
        <w:rPr/>
        <w:t> </w:t>
      </w:r>
    </w:p>
    <w:tbl>
      <w:tblPr>
        <w:tblW w:w="7851" w:type="dxa"/>
        <w:jc w:val="left"/>
        <w:tblInd w:w="0" w:type="dxa"/>
        <w:tblLayout w:type="fixed"/>
        <w:tblCellMar>
          <w:top w:w="28" w:type="dxa"/>
          <w:left w:w="28" w:type="dxa"/>
          <w:bottom w:w="28" w:type="dxa"/>
          <w:right w:w="28" w:type="dxa"/>
        </w:tblCellMar>
      </w:tblPr>
      <w:tblGrid>
        <w:gridCol w:w="1696"/>
        <w:gridCol w:w="146"/>
        <w:gridCol w:w="223"/>
        <w:gridCol w:w="827"/>
        <w:gridCol w:w="146"/>
        <w:gridCol w:w="646"/>
        <w:gridCol w:w="146"/>
        <w:gridCol w:w="223"/>
        <w:gridCol w:w="827"/>
        <w:gridCol w:w="146"/>
        <w:gridCol w:w="646"/>
        <w:gridCol w:w="146"/>
        <w:gridCol w:w="223"/>
        <w:gridCol w:w="827"/>
        <w:gridCol w:w="146"/>
        <w:gridCol w:w="64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Store sales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358,710</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68.7%</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375,618</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68.9%</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344,761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69.0%</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 sales</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31.3%</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31.1%</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31.0%</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segment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521,815</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100.0%</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545,439</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100.0%</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499,652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100.0%</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 segment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consisted of the following at the dates indicated: </w:t>
      </w:r>
    </w:p>
    <w:tbl>
      <w:tblPr>
        <w:tblW w:w="6165" w:type="dxa"/>
        <w:jc w:val="left"/>
        <w:tblInd w:w="0" w:type="dxa"/>
        <w:tblLayout w:type="fixed"/>
        <w:tblCellMar>
          <w:top w:w="28" w:type="dxa"/>
          <w:left w:w="28" w:type="dxa"/>
          <w:bottom w:w="28" w:type="dxa"/>
          <w:right w:w="28" w:type="dxa"/>
        </w:tblCellMar>
      </w:tblPr>
      <w:tblGrid>
        <w:gridCol w:w="2896"/>
        <w:gridCol w:w="146"/>
        <w:gridCol w:w="280"/>
        <w:gridCol w:w="1040"/>
        <w:gridCol w:w="146"/>
        <w:gridCol w:w="146"/>
        <w:gridCol w:w="280"/>
        <w:gridCol w:w="1040"/>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74,784</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24,035</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115,258</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Hardware and software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106,643</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326,379</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was $13.8 million, $15.4 million and $17.2 million for fiscal 2023, fiscal 2022, and fiscal 2021,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Additions to property and equipment that were included in accounts payable and accrued expenses at February 3, 2024, January 28, 2023 and January 29, 2022 were $2.3 million, $1.7 million, and $1.1 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 DEBT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Credit Agreement with Citizens Bank, N.A.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Facility provides for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February 3, 2024, the Company had no borrowings outstanding and availability of $69.8 million under the Credit Facility. There were no borrowings under the Credit Facility during fiscal 2023, resulting in an average unused excess availability of approximately $84.5 million. Outstanding standby letters of credit were $4.3 million and outstanding documentary letters were $1.0 million at February 3, 2024. At February 3, 2024, the Company's prime interest rate was 8.75%.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and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paid interest and fees totaling $0.3 million, $0.4 million and $3.2 million for fiscal 2023, fiscal 2022 and fiscal 2021, respectively. Included in the $3.2 million for fiscal 2021 was a prepayment penalty of $1.1 million associated with the prepayment of its long-term FILO loan.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leases all of its store locations and its corporate headquarters, which also includes its distribution center, under operating leases. The store leases typically have initial terms of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February 3, 2024, the Company’s operating leases liabilities represent the present value of the remaining future minimum lease payments updated based on concessions and lease modifications,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is a summary of the Company’s components of lease costs for fiscal 2023, fiscal 2022 and fiscal 2021:</w:t>
      </w:r>
    </w:p>
    <w:p>
      <w:pPr>
        <w:pStyle w:val="TextBody"/>
        <w:bidi w:val="0"/>
        <w:spacing w:before="120" w:after="283"/>
        <w:jc w:val="left"/>
        <w:rPr/>
      </w:pPr>
      <w:r>
        <w:rPr/>
        <w:t> </w:t>
      </w:r>
    </w:p>
    <w:tbl>
      <w:tblPr>
        <w:tblW w:w="5801" w:type="dxa"/>
        <w:jc w:val="left"/>
        <w:tblInd w:w="0" w:type="dxa"/>
        <w:tblLayout w:type="fixed"/>
        <w:tblCellMar>
          <w:top w:w="28" w:type="dxa"/>
          <w:left w:w="28" w:type="dxa"/>
          <w:bottom w:w="28" w:type="dxa"/>
          <w:right w:w="28" w:type="dxa"/>
        </w:tblCellMar>
      </w:tblPr>
      <w:tblGrid>
        <w:gridCol w:w="1876"/>
        <w:gridCol w:w="250"/>
        <w:gridCol w:w="800"/>
        <w:gridCol w:w="146"/>
        <w:gridCol w:w="146"/>
        <w:gridCol w:w="250"/>
        <w:gridCol w:w="800"/>
        <w:gridCol w:w="146"/>
        <w:gridCol w:w="146"/>
        <w:gridCol w:w="250"/>
        <w:gridCol w:w="800"/>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CFF0FC" w:val="clear"/>
            <w:vAlign w:val="center"/>
          </w:tcPr>
          <w:p>
            <w:pPr>
              <w:pStyle w:val="TableContents"/>
              <w:bidi w:val="0"/>
              <w:spacing w:before="0" w:after="283"/>
              <w:jc w:val="left"/>
              <w:rPr/>
            </w:pPr>
            <w:r>
              <w:rPr/>
              <w:t> </w:t>
            </w:r>
          </w:p>
        </w:tc>
        <w:tc>
          <w:tcPr>
            <w:tcW w:w="1050" w:type="dxa"/>
            <w:gridSpan w:val="2"/>
            <w:tcBorders/>
            <w:shd w:fill="CFF0FC"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Fiscal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Fiscal 2022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Fiscal 2021</w:t>
            </w:r>
          </w:p>
        </w:tc>
        <w:tc>
          <w:tcPr>
            <w:tcW w:w="191" w:type="dxa"/>
            <w:tcBorders/>
            <w:shd w:fill="CFF0FC" w:val="cle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43,921</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Variable lease costs</w:t>
            </w:r>
            <w:r>
              <w:rPr>
                <w:rFonts w:ascii="Times New Roman" w:hAnsi="Times New Roman"/>
                <w:color w:val="000000"/>
                <w:sz w:val="13"/>
              </w:rPr>
              <w:t>(1)</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Variable lease costs include the cost of property taxes, insurance and common area maintenance fees related to its leases.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and balance sheet information related to leases for fiscal 2023, fiscal 2022 and fiscal 2021 is as follows: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02"/>
        <w:gridCol w:w="246"/>
        <w:gridCol w:w="246"/>
        <w:gridCol w:w="788"/>
        <w:gridCol w:w="271"/>
        <w:gridCol w:w="246"/>
        <w:gridCol w:w="246"/>
        <w:gridCol w:w="788"/>
        <w:gridCol w:w="271"/>
        <w:gridCol w:w="246"/>
        <w:gridCol w:w="246"/>
        <w:gridCol w:w="788"/>
        <w:gridCol w:w="321"/>
      </w:tblGrid>
      <w:tr>
        <w:trPr/>
        <w:tc>
          <w:tcPr>
            <w:tcW w:w="55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502"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246" w:type="dxa"/>
            <w:tcBorders/>
            <w:shd w:fill="FFFFFF" w:val="clear"/>
            <w:vAlign w:val="center"/>
          </w:tcPr>
          <w:p>
            <w:pPr>
              <w:pStyle w:val="TableContents"/>
              <w:bidi w:val="0"/>
              <w:spacing w:before="0" w:after="283"/>
              <w:jc w:val="left"/>
              <w:rPr/>
            </w:pPr>
            <w:r>
              <w:rPr/>
              <w:t> </w:t>
            </w:r>
          </w:p>
        </w:tc>
        <w:tc>
          <w:tcPr>
            <w:tcW w:w="1034" w:type="dxa"/>
            <w:gridSpan w:val="2"/>
            <w:tcBorders/>
            <w:shd w:fill="FFFFFF"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Fiscal 2023</w:t>
            </w:r>
          </w:p>
        </w:tc>
        <w:tc>
          <w:tcPr>
            <w:tcW w:w="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34" w:type="dxa"/>
            <w:gridSpan w:val="2"/>
            <w:tcBorders/>
            <w:shd w:fill="FFFFFF"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Fiscal 2022</w:t>
            </w:r>
          </w:p>
        </w:tc>
        <w:tc>
          <w:tcPr>
            <w:tcW w:w="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34" w:type="dxa"/>
            <w:gridSpan w:val="2"/>
            <w:tcBorders/>
            <w:shd w:fill="FFFFFF"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Fiscal 2021</w:t>
            </w:r>
          </w:p>
        </w:tc>
        <w:tc>
          <w:tcPr>
            <w:tcW w:w="321" w:type="dxa"/>
            <w:tcBorders/>
            <w:shd w:fill="FFFFFF" w:val="clear"/>
            <w:vAlign w:val="center"/>
          </w:tcPr>
          <w:p>
            <w:pPr>
              <w:pStyle w:val="TableContents"/>
              <w:bidi w:val="0"/>
              <w:spacing w:before="0" w:after="283"/>
              <w:jc w:val="center"/>
              <w:rPr/>
            </w:pPr>
            <w:r>
              <w:rPr/>
              <w:t> </w:t>
            </w:r>
          </w:p>
        </w:tc>
      </w:tr>
      <w:tr>
        <w:trPr/>
        <w:tc>
          <w:tcPr>
            <w:tcW w:w="55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2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ind w:left="0" w:right="0" w:firstLine="100"/>
              <w:jc w:val="left"/>
              <w:rPr/>
            </w:pPr>
            <w:r>
              <w:rPr/>
              <w:t> </w:t>
            </w:r>
          </w:p>
        </w:tc>
      </w:tr>
      <w:tr>
        <w:trPr/>
        <w:tc>
          <w:tcPr>
            <w:tcW w:w="550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cash flows for operating leases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51,411</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55,068</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57,816</w:t>
            </w:r>
          </w:p>
        </w:tc>
        <w:tc>
          <w:tcPr>
            <w:tcW w:w="321" w:type="dxa"/>
            <w:tcBorders/>
            <w:shd w:fill="FFFFFF" w:val="clear"/>
            <w:vAlign w:val="center"/>
          </w:tcPr>
          <w:p>
            <w:pPr>
              <w:pStyle w:val="TableContents"/>
              <w:bidi w:val="0"/>
              <w:spacing w:before="0" w:after="283"/>
              <w:jc w:val="left"/>
              <w:rPr/>
            </w:pPr>
            <w:r>
              <w:rPr/>
              <w:t> </w:t>
            </w:r>
          </w:p>
        </w:tc>
      </w:tr>
      <w:tr>
        <w:trPr/>
        <w:tc>
          <w:tcPr>
            <w:tcW w:w="55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operating activities:</w:t>
            </w:r>
          </w:p>
        </w:tc>
        <w:tc>
          <w:tcPr>
            <w:tcW w:w="2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ind w:left="0" w:right="0" w:firstLine="100"/>
              <w:jc w:val="left"/>
              <w:rPr/>
            </w:pPr>
            <w:r>
              <w:rPr/>
              <w:t> </w:t>
            </w:r>
          </w:p>
        </w:tc>
      </w:tr>
      <w:tr>
        <w:trPr/>
        <w:tc>
          <w:tcPr>
            <w:tcW w:w="550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46,960</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26,239</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30,777</w:t>
            </w:r>
          </w:p>
        </w:tc>
        <w:tc>
          <w:tcPr>
            <w:tcW w:w="321" w:type="dxa"/>
            <w:tcBorders/>
            <w:shd w:fill="FFFFFF" w:val="clear"/>
            <w:vAlign w:val="center"/>
          </w:tcPr>
          <w:p>
            <w:pPr>
              <w:pStyle w:val="TableContents"/>
              <w:bidi w:val="0"/>
              <w:spacing w:before="0" w:after="283"/>
              <w:ind w:left="0" w:right="0" w:firstLine="100"/>
              <w:jc w:val="left"/>
              <w:rPr/>
            </w:pPr>
            <w:r>
              <w:rPr/>
              <w:t> </w:t>
            </w:r>
          </w:p>
        </w:tc>
      </w:tr>
      <w:tr>
        <w:trPr/>
        <w:tc>
          <w:tcPr>
            <w:tcW w:w="5502"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34" w:type="dxa"/>
            <w:gridSpan w:val="2"/>
            <w:tcBorders/>
            <w:shd w:fill="CFF0FC" w:val="clear"/>
            <w:vAlign w:val="center"/>
          </w:tcPr>
          <w:p>
            <w:pPr>
              <w:pStyle w:val="TableContents"/>
              <w:bidi w:val="0"/>
              <w:spacing w:before="0" w:after="283"/>
              <w:ind w:left="100" w:right="0" w:firstLine="100"/>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34" w:type="dxa"/>
            <w:gridSpan w:val="2"/>
            <w:tcBorders/>
            <w:shd w:fill="CFF0FC" w:val="clear"/>
            <w:vAlign w:val="center"/>
          </w:tcPr>
          <w:p>
            <w:pPr>
              <w:pStyle w:val="TableContents"/>
              <w:bidi w:val="0"/>
              <w:spacing w:before="0" w:after="283"/>
              <w:ind w:left="100" w:right="0" w:firstLine="100"/>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34" w:type="dxa"/>
            <w:gridSpan w:val="2"/>
            <w:tcBorders/>
            <w:shd w:fill="CFF0FC" w:val="clear"/>
            <w:vAlign w:val="center"/>
          </w:tcPr>
          <w:p>
            <w:pPr>
              <w:pStyle w:val="TableContents"/>
              <w:bidi w:val="0"/>
              <w:spacing w:before="0" w:after="283"/>
              <w:ind w:left="100" w:right="0" w:firstLine="100"/>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55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246" w:type="dxa"/>
            <w:tcBorders/>
            <w:shd w:fill="FFFFFF" w:val="clear"/>
            <w:vAlign w:val="center"/>
          </w:tcPr>
          <w:p>
            <w:pPr>
              <w:pStyle w:val="TableContents"/>
              <w:bidi w:val="0"/>
              <w:spacing w:before="0" w:after="283"/>
              <w:jc w:val="left"/>
              <w:rPr/>
            </w:pPr>
            <w:r>
              <w:rPr/>
              <w:t> </w:t>
            </w:r>
          </w:p>
        </w:tc>
        <w:tc>
          <w:tcPr>
            <w:tcW w:w="103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 yrs.</w:t>
            </w:r>
          </w:p>
        </w:tc>
        <w:tc>
          <w:tcPr>
            <w:tcW w:w="27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center"/>
              <w:rPr/>
            </w:pPr>
            <w:r>
              <w:rPr/>
              <w:t> </w:t>
            </w:r>
          </w:p>
        </w:tc>
        <w:tc>
          <w:tcPr>
            <w:tcW w:w="103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yrs.</w:t>
            </w:r>
          </w:p>
        </w:tc>
        <w:tc>
          <w:tcPr>
            <w:tcW w:w="27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center"/>
              <w:rPr/>
            </w:pPr>
            <w:r>
              <w:rPr/>
              <w:t> </w:t>
            </w:r>
          </w:p>
        </w:tc>
        <w:tc>
          <w:tcPr>
            <w:tcW w:w="103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yrs.</w:t>
            </w:r>
          </w:p>
        </w:tc>
        <w:tc>
          <w:tcPr>
            <w:tcW w:w="321" w:type="dxa"/>
            <w:tcBorders/>
            <w:shd w:fill="FFFFFF" w:val="clear"/>
            <w:vAlign w:val="center"/>
          </w:tcPr>
          <w:p>
            <w:pPr>
              <w:pStyle w:val="TableContents"/>
              <w:bidi w:val="0"/>
              <w:spacing w:before="0" w:after="283"/>
              <w:jc w:val="right"/>
              <w:rPr/>
            </w:pPr>
            <w:r>
              <w:rPr/>
              <w:t> </w:t>
            </w:r>
          </w:p>
        </w:tc>
      </w:tr>
      <w:tr>
        <w:trPr/>
        <w:tc>
          <w:tcPr>
            <w:tcW w:w="55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reconciles the undiscounted cash flows for each of the next five years and thereafter to the operating lease liabilities recorded on the Consolidated Balance Sheet as of February 3, 2024: </w:t>
      </w:r>
    </w:p>
    <w:p>
      <w:pPr>
        <w:pStyle w:val="TextBody"/>
        <w:bidi w:val="0"/>
        <w:jc w:val="left"/>
        <w:rPr/>
      </w:pPr>
      <w:r>
        <w:rPr/>
        <w:t> </w:t>
      </w:r>
    </w:p>
    <w:tbl>
      <w:tblPr>
        <w:tblW w:w="5710" w:type="dxa"/>
        <w:jc w:val="left"/>
        <w:tblInd w:w="0" w:type="dxa"/>
        <w:tblLayout w:type="fixed"/>
        <w:tblCellMar>
          <w:top w:w="28" w:type="dxa"/>
          <w:left w:w="28" w:type="dxa"/>
          <w:bottom w:w="28" w:type="dxa"/>
          <w:right w:w="28" w:type="dxa"/>
        </w:tblCellMar>
      </w:tblPr>
      <w:tblGrid>
        <w:gridCol w:w="4381"/>
        <w:gridCol w:w="146"/>
        <w:gridCol w:w="211"/>
        <w:gridCol w:w="781"/>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45,945</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30,181</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14,696</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181,287</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of lease payments representing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154,537</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February 3, 2024, the Company had entered into a ten-year store lease that has not yet commenced with aggregated estimated future lease payments of approximately $1.2 million, which are not included in the above table. The lease is expected to commence in the first quarter of fiscal 2024.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 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the second quarter of fiscal 2022, the Company had maintained a full valuation allowance against its deferred tax assets since fiscal 2013.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six consecutive quarters of sales growth and profitability at the time of the assessment, its expectations regarding the generation of future taxable income and the ability to utilize the Company’s net operating loss (“NOLs”) carryforwards as well as the overall improvement in the Company's business, brand repositioning and current market position. As a result, for fiscal 2022, the valuation allowance against the Company's deferred tax assets decreased by $47.6 million, of which $31.6 million was recorded as a non-recurring tax benefit in fiscal 2022 related to the release of the valuation allowance on deferred tax assets expected to be realized in future periods. As a result of releasing substantially all of the valuation allowance against its deferred tax assets during fiscal 2022, the Company returned to a normal tax provision for fiscal 2023. At February 3, 2024 and January 28, 2023, the Company continued to provide a valuation allowance of $2.2 million and $2.4 million, respectively, primarily against certain state and foreign NOLs.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3, 2024, for federal income tax purposes, the Company had net operating loss carryforwards of $3.6 million, which will expire in fiscal 2037 and net operating loss carryforwards of $39.9 million that are not subject to expiration. For state income tax purposes, the Company had $51.8 million of net operating losses that are available to offset future taxable income, the majority of which will expire from fiscal 2024 through fiscal 2045. Additionally, the Company has $5.3 million of net operating loss carryforwards related to the Company’s operations in Canada, which will expire from fiscal 2025 through fiscal 2041.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February 3, 2024, there has been no such ownership change.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components of the net deferred tax assets as of February 3, 2024 and January 28, 2023 were as follows (in thousands): </w:t>
      </w:r>
    </w:p>
    <w:p>
      <w:pPr>
        <w:pStyle w:val="TextBody"/>
        <w:bidi w:val="0"/>
        <w:jc w:val="both"/>
        <w:rPr/>
      </w:pPr>
      <w:r>
        <w:rPr/>
        <w:t> </w:t>
      </w:r>
    </w:p>
    <w:tbl>
      <w:tblPr>
        <w:tblW w:w="8115" w:type="dxa"/>
        <w:jc w:val="left"/>
        <w:tblInd w:w="0" w:type="dxa"/>
        <w:tblLayout w:type="fixed"/>
        <w:tblCellMar>
          <w:top w:w="28" w:type="dxa"/>
          <w:left w:w="28" w:type="dxa"/>
          <w:bottom w:w="28" w:type="dxa"/>
          <w:right w:w="28" w:type="dxa"/>
        </w:tblCellMar>
      </w:tblPr>
      <w:tblGrid>
        <w:gridCol w:w="4506"/>
        <w:gridCol w:w="146"/>
        <w:gridCol w:w="294"/>
        <w:gridCol w:w="1026"/>
        <w:gridCol w:w="166"/>
        <w:gridCol w:w="146"/>
        <w:gridCol w:w="294"/>
        <w:gridCol w:w="1026"/>
        <w:gridCol w:w="51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37,793</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and intangibles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Unrecognized loss on pension and pension expense</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reserves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tax credit carryforward</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wage tax credit carryforward</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tax credits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(32,583</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vAlign w:val="center"/>
          </w:tcPr>
          <w:p>
            <w:pPr>
              <w:pStyle w:val="TableContents"/>
              <w:bidi w:val="0"/>
              <w:spacing w:before="0" w:after="283"/>
              <w:ind w:left="300" w:right="0" w:firstLine="300"/>
              <w:jc w:val="left"/>
              <w:rPr>
                <w:color w:val="000000"/>
              </w:rPr>
            </w:pPr>
            <w:r>
              <w:rPr>
                <w:color w:val="000000"/>
              </w:rPr>
              <w:t> </w:t>
            </w: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33,880</w:t>
            </w:r>
          </w:p>
        </w:tc>
        <w:tc>
          <w:tcPr>
            <w:tcW w:w="511" w:type="dxa"/>
            <w:tcBorders/>
            <w:shd w:fill="CFF0FC" w:val="clear"/>
            <w:vAlign w:val="center"/>
          </w:tcPr>
          <w:p>
            <w:pPr>
              <w:pStyle w:val="TableContents"/>
              <w:bidi w:val="0"/>
              <w:spacing w:before="0" w:after="283"/>
              <w:jc w:val="left"/>
              <w:rPr/>
            </w:pPr>
            <w:r>
              <w:rPr/>
              <w:t> </w:t>
            </w:r>
          </w:p>
        </w:tc>
      </w:tr>
      <w:tr>
        <w:trPr/>
        <w:tc>
          <w:tcPr>
            <w:tcW w:w="4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fiscal 2023, the Company had total deferred tax assets of $60.8 million, total deferred tax liabilities of $37.0 million and a valuation allowance of $2.2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 (benefit) for income taxes consisted of the following: </w:t>
      </w:r>
    </w:p>
    <w:tbl>
      <w:tblPr>
        <w:tblW w:w="7117" w:type="dxa"/>
        <w:jc w:val="left"/>
        <w:tblInd w:w="0" w:type="dxa"/>
        <w:tblLayout w:type="fixed"/>
        <w:tblCellMar>
          <w:top w:w="28" w:type="dxa"/>
          <w:left w:w="28" w:type="dxa"/>
          <w:bottom w:w="28" w:type="dxa"/>
          <w:right w:w="28" w:type="dxa"/>
        </w:tblCellMar>
      </w:tblPr>
      <w:tblGrid>
        <w:gridCol w:w="2116"/>
        <w:gridCol w:w="146"/>
        <w:gridCol w:w="314"/>
        <w:gridCol w:w="1006"/>
        <w:gridCol w:w="146"/>
        <w:gridCol w:w="146"/>
        <w:gridCol w:w="294"/>
        <w:gridCol w:w="1026"/>
        <w:gridCol w:w="166"/>
        <w:gridCol w:w="146"/>
        <w:gridCol w:w="439"/>
        <w:gridCol w:w="881"/>
        <w:gridCol w:w="2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4"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YEARS ENDED</w:t>
            </w:r>
          </w:p>
        </w:tc>
        <w:tc>
          <w:tcPr>
            <w:tcW w:w="291" w:type="dxa"/>
            <w:tcBorders/>
            <w:shd w:fill="FFFFFF" w:val="cle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91" w:type="dxa"/>
            <w:tcBorders/>
            <w:shd w:fill="CFF0FC"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(benefit)</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is a reconciliation between the statutory and effective income tax rates in dollars for the provision (benefit) for income tax: </w:t>
      </w:r>
    </w:p>
    <w:tbl>
      <w:tblPr>
        <w:tblW w:w="10205" w:type="dxa"/>
        <w:jc w:val="left"/>
        <w:tblInd w:w="0" w:type="dxa"/>
        <w:tblLayout w:type="fixed"/>
        <w:tblCellMar>
          <w:top w:w="28" w:type="dxa"/>
          <w:left w:w="28" w:type="dxa"/>
          <w:bottom w:w="28" w:type="dxa"/>
          <w:right w:w="28" w:type="dxa"/>
        </w:tblCellMar>
      </w:tblPr>
      <w:tblGrid>
        <w:gridCol w:w="5329"/>
        <w:gridCol w:w="146"/>
        <w:gridCol w:w="308"/>
        <w:gridCol w:w="987"/>
        <w:gridCol w:w="166"/>
        <w:gridCol w:w="146"/>
        <w:gridCol w:w="289"/>
        <w:gridCol w:w="1009"/>
        <w:gridCol w:w="166"/>
        <w:gridCol w:w="146"/>
        <w:gridCol w:w="289"/>
        <w:gridCol w:w="1009"/>
        <w:gridCol w:w="215"/>
      </w:tblGrid>
      <w:tr>
        <w:trPr/>
        <w:tc>
          <w:tcPr>
            <w:tcW w:w="5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3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5"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YEARS ENDED</w:t>
            </w:r>
          </w:p>
        </w:tc>
        <w:tc>
          <w:tcPr>
            <w:tcW w:w="215" w:type="dxa"/>
            <w:tcBorders/>
            <w:shd w:fill="FFFFFF" w:val="clear"/>
            <w:vAlign w:val="center"/>
          </w:tcPr>
          <w:p>
            <w:pPr>
              <w:pStyle w:val="TableContents"/>
              <w:bidi w:val="0"/>
              <w:spacing w:before="0" w:after="283"/>
              <w:jc w:val="center"/>
              <w:rPr/>
            </w:pPr>
            <w:r>
              <w:rPr/>
              <w:t> </w:t>
            </w:r>
          </w:p>
        </w:tc>
      </w:tr>
      <w:tr>
        <w:trPr/>
        <w:tc>
          <w:tcPr>
            <w:tcW w:w="53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5329"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vAlign w:val="center"/>
          </w:tcPr>
          <w:p>
            <w:pPr>
              <w:pStyle w:val="TableContents"/>
              <w:bidi w:val="0"/>
              <w:spacing w:before="0" w:after="283"/>
              <w:jc w:val="right"/>
              <w:rPr/>
            </w:pPr>
            <w:r>
              <w:rPr/>
              <w:t> </w:t>
            </w:r>
          </w:p>
        </w:tc>
        <w:tc>
          <w:tcPr>
            <w:tcW w:w="12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9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98"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5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 at the statutory rate</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215" w:type="dxa"/>
            <w:tcBorders/>
            <w:shd w:fill="FFFFFF" w:val="clear"/>
            <w:vAlign w:val="center"/>
          </w:tcPr>
          <w:p>
            <w:pPr>
              <w:pStyle w:val="TableContents"/>
              <w:bidi w:val="0"/>
              <w:spacing w:before="0" w:after="283"/>
              <w:jc w:val="left"/>
              <w:rPr/>
            </w:pPr>
            <w:r>
              <w:rPr/>
              <w:t> </w:t>
            </w:r>
          </w:p>
        </w:tc>
      </w:tr>
      <w:tr>
        <w:trPr/>
        <w:tc>
          <w:tcPr>
            <w:tcW w:w="5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tax benefit</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215" w:type="dxa"/>
            <w:tcBorders/>
            <w:shd w:fill="CFF0FC" w:val="clear"/>
            <w:vAlign w:val="center"/>
          </w:tcPr>
          <w:p>
            <w:pPr>
              <w:pStyle w:val="TableContents"/>
              <w:bidi w:val="0"/>
              <w:spacing w:before="0" w:after="283"/>
              <w:jc w:val="left"/>
              <w:rPr/>
            </w:pPr>
            <w:r>
              <w:rPr/>
              <w:t> </w:t>
            </w:r>
          </w:p>
        </w:tc>
      </w:tr>
      <w:tr>
        <w:trPr/>
        <w:tc>
          <w:tcPr>
            <w:tcW w:w="5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deferred taxes, net of federal benefit</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5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162(m) limitation</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15" w:type="dxa"/>
            <w:tcBorders/>
            <w:shd w:fill="CFF0FC" w:val="clear"/>
            <w:vAlign w:val="center"/>
          </w:tcPr>
          <w:p>
            <w:pPr>
              <w:pStyle w:val="TableContents"/>
              <w:bidi w:val="0"/>
              <w:spacing w:before="0" w:after="283"/>
              <w:jc w:val="left"/>
              <w:rPr/>
            </w:pPr>
            <w:r>
              <w:rPr/>
              <w:t> </w:t>
            </w:r>
          </w:p>
        </w:tc>
      </w:tr>
      <w:tr>
        <w:trPr/>
        <w:tc>
          <w:tcPr>
            <w:tcW w:w="5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items</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stranded in OCI released with termination of retirement plans</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53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Change in valuation allowance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§382 NOLs</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5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(benefit)</w:t>
            </w:r>
          </w:p>
        </w:tc>
        <w:tc>
          <w:tcPr>
            <w:tcW w:w="146" w:type="dxa"/>
            <w:tcBorders/>
            <w:shd w:fill="CFF0FC" w:val="cle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4"/>
        </w:rPr>
      </w:pPr>
      <w:r>
        <w:rPr>
          <w:rFonts w:ascii="Times New Roman" w:hAnsi="Times New Roman"/>
          <w:color w:val="000000"/>
          <w:sz w:val="20"/>
        </w:rPr>
        <w:t>The change in the valuation allowance at January 28, 2023 included a non-recurring income tax benefit of $31.6</w:t>
      </w:r>
      <w:r>
        <w:rPr>
          <w:rFonts w:ascii="Times New Roman" w:hAnsi="Times New Roman"/>
          <w:color w:val="000000"/>
          <w:sz w:val="24"/>
        </w:rPr>
        <w:t xml:space="preserve"> </w:t>
      </w:r>
      <w:r>
        <w:rPr>
          <w:rFonts w:ascii="Times New Roman" w:hAnsi="Times New Roman"/>
          <w:color w:val="000000"/>
          <w:sz w:val="20"/>
        </w:rPr>
        <w:t xml:space="preserve">million in connection with the Company’s substantial release of the valuation allowance in fiscal 2022 related to the deferred tax assets expected to be realized in future periods.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in Note A, the Company’s financial statements reflect the expected future tax consequences of uncertain tax positions that the Company has taken or expects to take on a tax return, based solely on the technical merits of the tax position.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liability for unrecognized tax benefits that were associated with a prior tax position related to exiting the Company’s direct business in Europe during fiscal 2013. The amount of unrecognized tax benefits was presented as a reduction in the reported amounts of the Company’s federal and state net operating losses carryforwards. No penalties or interest were accrued on this liability. In fiscal 2023, the Company changed this position in its tax return and determined that the liability was no longer necessary.</w:t>
      </w:r>
    </w:p>
    <w:tbl>
      <w:tblPr>
        <w:tblW w:w="9062" w:type="dxa"/>
        <w:jc w:val="left"/>
        <w:tblInd w:w="0" w:type="dxa"/>
        <w:tblLayout w:type="fixed"/>
        <w:tblCellMar>
          <w:top w:w="28" w:type="dxa"/>
          <w:left w:w="28" w:type="dxa"/>
          <w:bottom w:w="28" w:type="dxa"/>
          <w:right w:w="28" w:type="dxa"/>
        </w:tblCellMar>
      </w:tblPr>
      <w:tblGrid>
        <w:gridCol w:w="4061"/>
        <w:gridCol w:w="146"/>
        <w:gridCol w:w="331"/>
        <w:gridCol w:w="989"/>
        <w:gridCol w:w="166"/>
        <w:gridCol w:w="146"/>
        <w:gridCol w:w="356"/>
        <w:gridCol w:w="964"/>
        <w:gridCol w:w="146"/>
        <w:gridCol w:w="146"/>
        <w:gridCol w:w="356"/>
        <w:gridCol w:w="964"/>
        <w:gridCol w:w="291"/>
      </w:tblGrid>
      <w:tr>
        <w:trPr/>
        <w:tc>
          <w:tcPr>
            <w:tcW w:w="4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4"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YEARS ENDED</w:t>
            </w:r>
          </w:p>
        </w:tc>
        <w:tc>
          <w:tcPr>
            <w:tcW w:w="291" w:type="dxa"/>
            <w:tcBorders/>
            <w:shd w:fill="FFFFFF" w:val="clear"/>
            <w:vAlign w:val="center"/>
          </w:tcPr>
          <w:p>
            <w:pPr>
              <w:pStyle w:val="TableContents"/>
              <w:bidi w:val="0"/>
              <w:spacing w:before="0" w:after="283"/>
              <w:jc w:val="center"/>
              <w:rPr/>
            </w:pPr>
            <w:r>
              <w:rPr/>
              <w:t> </w:t>
            </w:r>
          </w:p>
        </w:tc>
      </w:tr>
      <w:tr>
        <w:trPr/>
        <w:tc>
          <w:tcPr>
            <w:tcW w:w="4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4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fiscal year</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due to tax positions from current year</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due to tax positions from prior years</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due to lapsing of statute of limitations</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fiscal year</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made tax payments of $1.6 million, $0.5 million, and $0.6 million for fiscal 2023, fiscal 2022, and fiscal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Inflation Reduction Act of 2022, which was signed into law in 2022, contains a provision that includes a 1% excise tax on certain stock buybacks after December 31, 2022. At February 3, 2024, the Company has accrued $0.2 million for excise taxes payable.</w:t>
      </w:r>
    </w:p>
    <w:p>
      <w:pPr>
        <w:pStyle w:val="TextBody"/>
        <w:bidi w:val="0"/>
        <w:spacing w:before="360" w:after="283"/>
        <w:jc w:val="left"/>
        <w:rPr>
          <w:rFonts w:ascii="Times New Roman" w:hAnsi="Times New Roman"/>
          <w:sz w:val="20"/>
        </w:rPr>
      </w:pPr>
      <w:r>
        <w:rPr>
          <w:rFonts w:ascii="Times New Roman" w:hAnsi="Times New Roman"/>
          <w:b/>
          <w:color w:val="000000"/>
          <w:sz w:val="20"/>
        </w:rPr>
        <w:t>G. COMMITMENTS AND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At February 3, 2024 the Company was obligated under operating leases covering store and office space, and certain equipment for future minimum rentals. See Note E, “</w:t>
      </w:r>
      <w:r>
        <w:rPr>
          <w:rFonts w:ascii="Times New Roman" w:hAnsi="Times New Roman"/>
          <w:i/>
          <w:color w:val="000000"/>
          <w:sz w:val="20"/>
        </w:rPr>
        <w:t>Leases</w:t>
      </w:r>
      <w:r>
        <w:rPr>
          <w:rFonts w:ascii="Times New Roman" w:hAnsi="Times New Roman"/>
          <w:color w:val="000000"/>
          <w:sz w:val="20"/>
        </w:rPr>
        <w:t xml:space="preserve">” for the schedule of future remaining lease obligations. In addition to its lease obligations, the Company is also contractually committed pursuant to a merchandise purchase obligation to meet minimum purchases of $10.0 million annually through fiscal 2028.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accruals at February 3, 2024 are adequate in light of the probable and estimable liabilities. The Company does not believe that any identified claims or litigation will be material to its results of operations, cash flows, or financial condition.</w:t>
      </w:r>
    </w:p>
    <w:p>
      <w:pPr>
        <w:pStyle w:val="TextBody"/>
        <w:bidi w:val="0"/>
        <w:spacing w:before="180" w:after="283"/>
        <w:jc w:val="left"/>
        <w:rPr>
          <w:rFonts w:ascii="Times New Roman" w:hAnsi="Times New Roman"/>
          <w:sz w:val="20"/>
        </w:rPr>
      </w:pPr>
      <w:r>
        <w:rPr>
          <w:rFonts w:ascii="Times New Roman" w:hAnsi="Times New Roman"/>
          <w:b/>
          <w:color w:val="000000"/>
          <w:sz w:val="20"/>
        </w:rPr>
        <w:t>H. LONG-TERM INCENTIVE PLANS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The following is a summary of the Company’s Long-Term Incentive Plan (“LTIP”). All equity awards granted under these long-term incentive plans were issued from the Company’s stockholder-approved 2016 Incentive Compensation Plan. See Note I, “</w:t>
      </w:r>
      <w:r>
        <w:rPr>
          <w:rFonts w:ascii="Times New Roman" w:hAnsi="Times New Roman"/>
          <w:i/>
          <w:color w:val="000000"/>
          <w:sz w:val="20"/>
        </w:rPr>
        <w:t>Stock Compensation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February 3, 2024, the Company has three active LTIPs: 2021-2023 LTIP, 2022-2024 LTIP and 2023-2025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the 2021-2023 LTIP were granted in a combination of 25% stock options and 75% cash, and the time-based awards under the 2022-2024 LTIP and the 2023-2025 LTIP were granted in a combination of 50% RSUs and 50% cash.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Performance targets for the 2021-2023 LTIP, 2022-2024 LTIP and the 2023-2025 LITP were established and approved by the Compensation Committee on March 8, 2021, April 9, 2022 and May 1, 2023, respectively. The performance period for each LTIP is three years. Awards for any achievement of performance targets will not be granted until the performance targets are achieved and then will be subject to additional vesting through August 31, 2024, August 31, 2025 and August, 31, 2026, respectively. The time-based awards under the 2021-2023 LTIP, 2022-2024 LTIP and 2023-2025 LTIP vest in four equal installments through April 1, 2025, April 1, 2026, and April 1, 2027,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Assuming that the Company achieves the performance targets at target levels and all time-based awards vest, the compensation expense associated with the 2021-2023 LTIP, 2022-2024 LTIP and 2023-2025 LTIP is estimated to be approximately $4.1 million, $4.8 million and $5.1 million, respectively. Approximately half of the compensation expense for each LTIP relates to the time-based awards, which are being expensed straight-line over 49 months, 48 months and 47 months,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targets under the 2021-2023 LTIP were achieved at the end of fiscal 2023. Awards granted pursuant to this achievement will be subject to further vesting through August 31, 2024. Accordingly, at February 3, 2024, $2.5 million of the expected $3.0 million for the performance award has been accrued.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February 3, 2024, the Company accrued $1.6 million for the performance awards under the 2022-2024 LTIP and no accrual for the performance-based awards under the 2023-2025 LTIP. </w:t>
      </w:r>
    </w:p>
    <w:p>
      <w:pPr>
        <w:pStyle w:val="TextBody"/>
        <w:bidi w:val="0"/>
        <w:spacing w:before="240" w:after="283"/>
        <w:jc w:val="both"/>
        <w:rPr>
          <w:rFonts w:ascii="Times New Roman" w:hAnsi="Times New Roman"/>
          <w:sz w:val="20"/>
        </w:rPr>
      </w:pPr>
      <w:r>
        <w:rPr>
          <w:rFonts w:ascii="Times New Roman" w:hAnsi="Times New Roman"/>
          <w:b/>
          <w:color w:val="000000"/>
          <w:sz w:val="20"/>
        </w:rPr>
        <w:t>I. STOCK COMPENSATION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one active stock-based compensation plan: the 2016 Incentive Compensation Plan (as amended,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February 3, 2024, 15,120,538 shares were authorized under the 2016 Plan, of which 2,177,876 shares remain available for grant.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February 3, 2024, there were 75,487 stock options that remain outstanding under the 2006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stock option activity under the Company’s 2006 Plan and 2016 Plan, on an aggregate basis, for fiscal 2023:</w:t>
      </w:r>
    </w:p>
    <w:tbl>
      <w:tblPr>
        <w:tblW w:w="9902" w:type="dxa"/>
        <w:jc w:val="left"/>
        <w:tblInd w:w="0" w:type="dxa"/>
        <w:tblLayout w:type="fixed"/>
        <w:tblCellMar>
          <w:top w:w="28" w:type="dxa"/>
          <w:left w:w="28" w:type="dxa"/>
          <w:bottom w:w="28" w:type="dxa"/>
          <w:right w:w="28" w:type="dxa"/>
        </w:tblCellMar>
      </w:tblPr>
      <w:tblGrid>
        <w:gridCol w:w="3726"/>
        <w:gridCol w:w="146"/>
        <w:gridCol w:w="146"/>
        <w:gridCol w:w="931"/>
        <w:gridCol w:w="166"/>
        <w:gridCol w:w="146"/>
        <w:gridCol w:w="425"/>
        <w:gridCol w:w="941"/>
        <w:gridCol w:w="146"/>
        <w:gridCol w:w="146"/>
        <w:gridCol w:w="1366"/>
        <w:gridCol w:w="146"/>
        <w:gridCol w:w="257"/>
        <w:gridCol w:w="823"/>
        <w:gridCol w:w="39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Weighted-average</w:t>
              <w:br/>
              <w:t>exercise price</w:t>
              <w:br/>
              <w:t>per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Aggregate</w:t>
              <w:br/>
              <w:t>intrinsic value</w:t>
              <w:br/>
              <w:t>(000's)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Outstanding options at beginning of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Outstanding options at end of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 yrs.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exercisable at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 yrs.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 and expected to vest at end of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 yrs.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Non-Vested Share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activity for non-vested shares under the Company’s 2006 Plan, 2016 Plan and Inducement Awards, on an aggregate basis, for fiscal 2023:</w:t>
      </w:r>
    </w:p>
    <w:tbl>
      <w:tblPr>
        <w:tblW w:w="10205" w:type="dxa"/>
        <w:jc w:val="left"/>
        <w:tblInd w:w="0" w:type="dxa"/>
        <w:tblLayout w:type="fixed"/>
        <w:tblCellMar>
          <w:top w:w="28" w:type="dxa"/>
          <w:left w:w="28" w:type="dxa"/>
          <w:bottom w:w="28" w:type="dxa"/>
          <w:right w:w="28" w:type="dxa"/>
        </w:tblCellMar>
      </w:tblPr>
      <w:tblGrid>
        <w:gridCol w:w="1733"/>
        <w:gridCol w:w="246"/>
        <w:gridCol w:w="146"/>
        <w:gridCol w:w="841"/>
        <w:gridCol w:w="166"/>
        <w:gridCol w:w="146"/>
        <w:gridCol w:w="146"/>
        <w:gridCol w:w="781"/>
        <w:gridCol w:w="146"/>
        <w:gridCol w:w="146"/>
        <w:gridCol w:w="155"/>
        <w:gridCol w:w="900"/>
        <w:gridCol w:w="166"/>
        <w:gridCol w:w="146"/>
        <w:gridCol w:w="146"/>
        <w:gridCol w:w="736"/>
        <w:gridCol w:w="166"/>
        <w:gridCol w:w="146"/>
        <w:gridCol w:w="146"/>
        <w:gridCol w:w="931"/>
        <w:gridCol w:w="166"/>
        <w:gridCol w:w="146"/>
        <w:gridCol w:w="425"/>
        <w:gridCol w:w="941"/>
        <w:gridCol w:w="392"/>
      </w:tblGrid>
      <w:tr>
        <w:trPr/>
        <w:tc>
          <w:tcPr>
            <w:tcW w:w="17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3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RSUs </w:t>
            </w:r>
            <w:r>
              <w:rPr>
                <w:rFonts w:ascii="Times New Roman" w:hAnsi="Times New Roman"/>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Deferred</w:t>
              <w:br/>
              <w:t xml:space="preserve">shares </w:t>
            </w:r>
            <w:r>
              <w:rPr>
                <w:rFonts w:ascii="Times New Roman" w:hAnsi="Times New Roman"/>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Performance share</w:t>
              <w:br/>
              <w:t xml:space="preserve"> units </w:t>
            </w:r>
            <w:r>
              <w:rPr>
                <w:rFonts w:ascii="Times New Roman" w:hAnsi="Times New Roman"/>
                <w:color w:val="000000"/>
                <w:sz w:val="11"/>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Fully-vest </w:t>
              <w:br/>
              <w:t xml:space="preserve">shares </w:t>
            </w:r>
            <w:r>
              <w:rPr>
                <w:rFonts w:ascii="Times New Roman" w:hAnsi="Times New Roman"/>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Weighted-average</w:t>
              <w:br/>
              <w:t>grant-date</w:t>
              <w:br/>
              <w:t>fair 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w:t>
            </w:r>
          </w:p>
        </w:tc>
        <w:tc>
          <w:tcPr>
            <w:tcW w:w="2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173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non-vested shares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73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granted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73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forfeited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2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73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expired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73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vested/issued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3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non-vested shares at end of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73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 and expected to vest at end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2"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fiscal 2023, the Company granted RSUs for the achievement of performance metrics under the 2020-2022 LTIP that were subject to additional vesting through August 31, 2023 and time-based RSUs under its LTIPs. See Note H, </w:t>
      </w:r>
      <w:r>
        <w:rPr>
          <w:rFonts w:ascii="Times New Roman" w:hAnsi="Times New Roman"/>
          <w:i/>
          <w:color w:val="000000"/>
          <w:sz w:val="20"/>
        </w:rPr>
        <w:t>Long-Term Incentive Plans</w:t>
      </w:r>
      <w:r>
        <w:rPr>
          <w:rFonts w:ascii="Times New Roman" w:hAnsi="Times New Roman"/>
          <w:color w:val="000000"/>
          <w:sz w:val="20"/>
        </w:rPr>
        <w:t>. As a result of net share settlements, of the 537,685 RSUs that vested, only 385,073 shares of common stock were issued.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compensation to certain directors, in lieu of cash, in accordance with their irrevocable elections. The outstanding deferred shares will be issued upon the director’s separation from service.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installments with the ninth tranche vesting when such price is equal to or greater than $8.50 per share. The PSUs are subject to a one-year minimum vesting period, and any unvested PSUs will expire on August 11, 2026. The respective fair value and derived service period assigned to each tranche of the PSUs were determined using a Monte Carlo model based on: a weighted historical volatility of 57.8%, a term of 3 years, stock price on the date of grant of $4.98 per share, a risk-free rate of 4.6% and a cost of equity of 11.0%. The $2.4 million fair value is being expensed over the respective derived service periods of each tranche which range from 12 to 13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Represents compensation, with a fair value of $141,742, to certain directors, who are required to receive shares, in lieu of cash, in order to satisfy their minimum equity ownership under the Non-Employee Director Plan. Voluntary shares received, in lieu of cash, are reported below under </w:t>
      </w:r>
      <w:r>
        <w:rPr>
          <w:rFonts w:ascii="Times New Roman" w:hAnsi="Times New Roman"/>
          <w:i/>
          <w:color w:val="000000"/>
          <w:sz w:val="20"/>
        </w:rPr>
        <w:t>Non-Employee Director Compensation Plan</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Non-Employee Director Compensation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Seventh Amended and Restated Non-Employee Director Compensation Plan, as amended, the "Non-Employee Director Compensation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plan requires a minimum equity ownership requirement which requires each director to receive at least 60% of their annual retainers in shares of common stock until the value of their equity ownership is equal to at least three times the annual retainer. Any shares issued to satisfy the minimum equity ownership were granted from the 2016 Plan. All other shares were granted under the Non-Employee Director Compensation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shares of common stock, with the respective fair value, were issued from the Non-Employee Director Compensation Plan to its non-employee directors as compensation for fiscal 2023, fiscal 2022 and fiscal 2021:</w:t>
      </w:r>
    </w:p>
    <w:tbl>
      <w:tblPr>
        <w:tblW w:w="4875" w:type="dxa"/>
        <w:jc w:val="left"/>
        <w:tblInd w:w="0" w:type="dxa"/>
        <w:tblLayout w:type="fixed"/>
        <w:tblCellMar>
          <w:top w:w="28" w:type="dxa"/>
          <w:left w:w="28" w:type="dxa"/>
          <w:bottom w:w="28" w:type="dxa"/>
          <w:right w:w="28" w:type="dxa"/>
        </w:tblCellMar>
      </w:tblPr>
      <w:tblGrid>
        <w:gridCol w:w="1066"/>
        <w:gridCol w:w="146"/>
        <w:gridCol w:w="250"/>
        <w:gridCol w:w="1340"/>
        <w:gridCol w:w="146"/>
        <w:gridCol w:w="146"/>
        <w:gridCol w:w="338"/>
        <w:gridCol w:w="1252"/>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 shares of</w:t>
              <w:br/>
              <w:t>common stock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 of</w:t>
              <w:br/>
              <w:t>common stock issued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2023</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3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301,578</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2022</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359,208</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2021</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3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374,227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February 3, 2024, 634,534 shares remained available for grant under the Non-Employee Director Compensation Plan. </w:t>
      </w:r>
    </w:p>
    <w:p>
      <w:pPr>
        <w:pStyle w:val="TextBody"/>
        <w:bidi w:val="0"/>
        <w:spacing w:before="360" w:after="283"/>
        <w:jc w:val="left"/>
        <w:rPr>
          <w:rFonts w:ascii="Times New Roman" w:hAnsi="Times New Roman"/>
          <w:sz w:val="20"/>
        </w:rPr>
      </w:pPr>
      <w:r>
        <w:rPr>
          <w:rFonts w:ascii="Times New Roman" w:hAnsi="Times New Roman"/>
          <w:b/>
          <w:color w:val="000000"/>
          <w:sz w:val="20"/>
        </w:rPr>
        <w:t>J. EMPLOYEE BENEFIT PLANS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accounted for its employee benefit plans in accordance with ASC Topic 715, </w:t>
      </w:r>
      <w:r>
        <w:rPr>
          <w:rFonts w:ascii="Times New Roman" w:hAnsi="Times New Roman"/>
          <w:i/>
          <w:color w:val="000000"/>
          <w:sz w:val="20"/>
        </w:rPr>
        <w:t>Compensation – Retirement Benefits</w:t>
      </w:r>
      <w:r>
        <w:rPr>
          <w:rFonts w:ascii="Times New Roman" w:hAnsi="Times New Roman"/>
          <w:color w:val="000000"/>
          <w:sz w:val="20"/>
        </w:rPr>
        <w:t xml:space="preserve">.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w:t>
      </w:r>
    </w:p>
    <w:p>
      <w:pPr>
        <w:pStyle w:val="TextBody"/>
        <w:bidi w:val="0"/>
        <w:spacing w:before="360" w:after="283"/>
        <w:jc w:val="both"/>
        <w:rPr>
          <w:rFonts w:ascii="Times New Roman" w:hAnsi="Times New Roman"/>
          <w:sz w:val="20"/>
        </w:rPr>
      </w:pPr>
      <w:r>
        <w:rPr>
          <w:rFonts w:ascii="Times New Roman" w:hAnsi="Times New Roman"/>
          <w:b/>
          <w:i/>
          <w:color w:val="000000"/>
          <w:sz w:val="20"/>
        </w:rPr>
        <w:t>Noncontributory Pension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3, 2023, the Audit Committee approved the termination of the Pension Plan, which was then approved and ratified by the Board of Directors on May 4, 2023 with a final termination approval on June 8, 2023. By the end of fiscal 2023, the Company completed the settlement of all plan assets. Results for fiscal 2023, included a charge of $5.6 million, representing recognition of the of the unrealized loss in "Accumulated Other Comprehensive Loss" on the Consolidated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Pension Plan’s funded status at February 3, 2024 and January 28, 2023: </w:t>
      </w:r>
    </w:p>
    <w:p>
      <w:pPr>
        <w:pStyle w:val="TextBody"/>
        <w:bidi w:val="0"/>
        <w:jc w:val="left"/>
        <w:rPr/>
      </w:pPr>
      <w:r>
        <w:rPr/>
        <w:t> </w:t>
      </w:r>
    </w:p>
    <w:tbl>
      <w:tblPr>
        <w:tblW w:w="6265" w:type="dxa"/>
        <w:jc w:val="left"/>
        <w:tblInd w:w="0" w:type="dxa"/>
        <w:tblLayout w:type="fixed"/>
        <w:tblCellMar>
          <w:top w:w="28" w:type="dxa"/>
          <w:left w:w="28" w:type="dxa"/>
          <w:bottom w:w="28" w:type="dxa"/>
          <w:right w:w="28" w:type="dxa"/>
        </w:tblCellMar>
      </w:tblPr>
      <w:tblGrid>
        <w:gridCol w:w="2956"/>
        <w:gridCol w:w="146"/>
        <w:gridCol w:w="294"/>
        <w:gridCol w:w="1026"/>
        <w:gridCol w:w="166"/>
        <w:gridCol w:w="146"/>
        <w:gridCol w:w="314"/>
        <w:gridCol w:w="1006"/>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2" w:type="dxa"/>
            <w:gridSpan w:val="6"/>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Change in benefit obligation: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and expenses paid</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Change in fair value of plan assets: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contributions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and expenses paid</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Reconciliation of funded status: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Unfunded status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Balance sheet classification:</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plan expense and other amounts recognized in accumulated other comprehensive loss for the years ended February 3, 2024, January 28, 2023 and January 29, 2022 include the following components: </w:t>
      </w:r>
    </w:p>
    <w:tbl>
      <w:tblPr>
        <w:tblW w:w="9517" w:type="dxa"/>
        <w:jc w:val="left"/>
        <w:tblInd w:w="0" w:type="dxa"/>
        <w:tblLayout w:type="fixed"/>
        <w:tblCellMar>
          <w:top w:w="28" w:type="dxa"/>
          <w:left w:w="28" w:type="dxa"/>
          <w:bottom w:w="28" w:type="dxa"/>
          <w:right w:w="28" w:type="dxa"/>
        </w:tblCellMar>
      </w:tblPr>
      <w:tblGrid>
        <w:gridCol w:w="4576"/>
        <w:gridCol w:w="146"/>
        <w:gridCol w:w="331"/>
        <w:gridCol w:w="989"/>
        <w:gridCol w:w="166"/>
        <w:gridCol w:w="146"/>
        <w:gridCol w:w="331"/>
        <w:gridCol w:w="989"/>
        <w:gridCol w:w="166"/>
        <w:gridCol w:w="146"/>
        <w:gridCol w:w="331"/>
        <w:gridCol w:w="989"/>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pension cost:</w:t>
            </w:r>
          </w:p>
        </w:tc>
        <w:tc>
          <w:tcPr>
            <w:tcW w:w="146" w:type="dxa"/>
            <w:tcBorders/>
            <w:shd w:fill="FFFFFF" w:val="clear"/>
            <w:vAlign w:val="center"/>
          </w:tcPr>
          <w:p>
            <w:pPr>
              <w:pStyle w:val="TableContents"/>
              <w:bidi w:val="0"/>
              <w:spacing w:before="0" w:after="283"/>
              <w:jc w:val="left"/>
              <w:rPr/>
            </w:pPr>
            <w:r>
              <w:rPr/>
              <w:t> </w:t>
            </w:r>
          </w:p>
        </w:tc>
        <w:tc>
          <w:tcPr>
            <w:tcW w:w="4584" w:type="dxa"/>
            <w:gridSpan w:val="10"/>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 on projected benefit obligation</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unrecognized loss</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pension cost</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Other changes recognized in other comprehensive loss,</w:t>
              <w:br/>
              <w:t>   before taxes</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20"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losses at the beginning of the year</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21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pension cost</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contribution</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1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the unrealized loss</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plan assets and benefit obligations</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losses at the end of year</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partial settlement in the second quarter of fiscal 2023, a remeasurement of the pension obligation was completed as of June 30, 2023. Assumptions used to determine the benefit obligations as of February 3, 2024, June 30, 2023 and January 28, 2023 include a discount rate of 5.14%, 5.21% and 4.79%, respectively. Assumptions used to determine the net periodic benefit cost for the six months ended February 3, 2024, for the six months ended June 30, 2023 and for the fiscal years ended January 28, 2023 and January 29, 2022 included a discount rate of 5.21%, 4.79%, 3.00% and 2.39%,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expected long-term rate of return for plan assets was assumed to be 5.10% and 6.50% at the beginning of fiscal 2023 and fiscal 2022, respectively. The expected long-term rate of return for plan assets was assumed to be 6.00% at June 30, 2023. The expected long-term rate of return assumption was developed considering historical and future expectations for returns for each asset class.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Plan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plan assets at the end of fiscal 2023. The fair values of the Company’s noncontributory defined benefit retirement plan assets at the end of fiscal 2022, by asset category, was as follows: </w:t>
      </w:r>
    </w:p>
    <w:p>
      <w:pPr>
        <w:pStyle w:val="TextBody"/>
        <w:bidi w:val="0"/>
        <w:jc w:val="left"/>
        <w:rPr/>
      </w:pPr>
      <w:r>
        <w:rPr/>
        <w:t> </w:t>
      </w:r>
    </w:p>
    <w:tbl>
      <w:tblPr>
        <w:tblW w:w="8066" w:type="dxa"/>
        <w:jc w:val="left"/>
        <w:tblInd w:w="0" w:type="dxa"/>
        <w:tblLayout w:type="fixed"/>
        <w:tblCellMar>
          <w:top w:w="28" w:type="dxa"/>
          <w:left w:w="28" w:type="dxa"/>
          <w:bottom w:w="28" w:type="dxa"/>
          <w:right w:w="28" w:type="dxa"/>
        </w:tblCellMar>
      </w:tblPr>
      <w:tblGrid>
        <w:gridCol w:w="1491"/>
        <w:gridCol w:w="146"/>
        <w:gridCol w:w="572"/>
        <w:gridCol w:w="1378"/>
        <w:gridCol w:w="146"/>
        <w:gridCol w:w="146"/>
        <w:gridCol w:w="349"/>
        <w:gridCol w:w="671"/>
        <w:gridCol w:w="146"/>
        <w:gridCol w:w="146"/>
        <w:gridCol w:w="540"/>
        <w:gridCol w:w="1035"/>
        <w:gridCol w:w="146"/>
        <w:gridCol w:w="146"/>
        <w:gridCol w:w="181"/>
        <w:gridCol w:w="436"/>
        <w:gridCol w:w="391"/>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Fair Value Measurement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January 28,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 thousands)</w:t>
            </w:r>
          </w:p>
        </w:tc>
        <w:tc>
          <w:tcPr>
            <w:tcW w:w="146" w:type="dxa"/>
            <w:tcBorders/>
            <w:shd w:fill="FFFFFF" w:val="cle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Quoted Prices in Active Markets</w:t>
              <w:br/>
              <w:t>for Identical</w:t>
              <w:br/>
              <w:t>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Significant</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Significant Unobservable</w:t>
              <w:br/>
              <w:t>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 category:</w:t>
            </w:r>
          </w:p>
        </w:tc>
        <w:tc>
          <w:tcPr>
            <w:tcW w:w="146" w:type="dxa"/>
            <w:tcBorders/>
            <w:shd w:fill="CFF0FC" w:val="clear"/>
            <w:vAlign w:val="center"/>
          </w:tcPr>
          <w:p>
            <w:pPr>
              <w:pStyle w:val="TableContents"/>
              <w:bidi w:val="0"/>
              <w:spacing w:before="0" w:after="283"/>
              <w:jc w:val="left"/>
              <w:rPr/>
            </w:pPr>
            <w:r>
              <w:rPr/>
              <w:t> </w:t>
            </w:r>
          </w:p>
        </w:tc>
        <w:tc>
          <w:tcPr>
            <w:tcW w:w="19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Mutual Funds:</w:t>
            </w:r>
          </w:p>
        </w:tc>
        <w:tc>
          <w:tcPr>
            <w:tcW w:w="146" w:type="dxa"/>
            <w:tcBorders/>
            <w:shd w:fill="FFFFFF" w:val="clear"/>
            <w:vAlign w:val="center"/>
          </w:tcPr>
          <w:p>
            <w:pPr>
              <w:pStyle w:val="TableContents"/>
              <w:bidi w:val="0"/>
              <w:spacing w:before="0" w:after="283"/>
              <w:jc w:val="left"/>
              <w:rPr/>
            </w:pPr>
            <w:r>
              <w:rPr/>
              <w:t> </w:t>
            </w:r>
          </w:p>
        </w:tc>
        <w:tc>
          <w:tcPr>
            <w:tcW w:w="19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U.S. Equity</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7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International Equity</w:t>
            </w:r>
          </w:p>
        </w:tc>
        <w:tc>
          <w:tcPr>
            <w:tcW w:w="146"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2,592</w:t>
            </w:r>
          </w:p>
        </w:tc>
        <w:tc>
          <w:tcPr>
            <w:tcW w:w="391" w:type="dxa"/>
            <w:tcBorders/>
            <w:shd w:fill="FFFFFF" w:val="clear"/>
            <w:vAlign w:val="center"/>
          </w:tcPr>
          <w:p>
            <w:pPr>
              <w:pStyle w:val="TableContents"/>
              <w:bidi w:val="0"/>
              <w:spacing w:before="0" w:after="283"/>
              <w:jc w:val="left"/>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Income</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391" w:type="dxa"/>
            <w:tcBorders/>
            <w:shd w:fill="CFF0FC" w:val="clear"/>
            <w:vAlign w:val="center"/>
          </w:tcPr>
          <w:p>
            <w:pPr>
              <w:pStyle w:val="TableContents"/>
              <w:bidi w:val="0"/>
              <w:spacing w:before="0" w:after="283"/>
              <w:jc w:val="left"/>
              <w:rPr/>
            </w:pPr>
            <w:r>
              <w:rPr/>
              <w:t> </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w:t>
            </w:r>
          </w:p>
        </w:tc>
        <w:tc>
          <w:tcPr>
            <w:tcW w:w="146" w:type="dxa"/>
            <w:tcBorders/>
            <w:shd w:fill="FFFFFF" w:val="cle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Supplemental Executive Retirement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Casual Male acquisition, the Company also assumed the liability of the Casual Male Supplemental Retirement Plan (the “SERP”). </w:t>
      </w:r>
    </w:p>
    <w:p>
      <w:pPr>
        <w:pStyle w:val="TextBody"/>
        <w:bidi w:val="0"/>
        <w:spacing w:before="120" w:after="283"/>
        <w:jc w:val="both"/>
        <w:rPr>
          <w:rFonts w:ascii="Times New Roman" w:hAnsi="Times New Roman"/>
          <w:sz w:val="20"/>
        </w:rPr>
      </w:pPr>
      <w:r>
        <w:rPr>
          <w:rFonts w:ascii="Times New Roman" w:hAnsi="Times New Roman"/>
          <w:color w:val="000000"/>
          <w:sz w:val="20"/>
        </w:rPr>
        <w:t>On May 3, 2023, the Audit Committee approved the termination of the SERP, which was then approved and ratified by the Board of Directors on May 4, 2023</w:t>
      </w:r>
      <w:r>
        <w:rPr>
          <w:rFonts w:ascii="Times New Roman" w:hAnsi="Times New Roman"/>
          <w:b/>
          <w:color w:val="000000"/>
          <w:sz w:val="20"/>
        </w:rPr>
        <w:t xml:space="preserve">. </w:t>
      </w:r>
      <w:r>
        <w:rPr>
          <w:rFonts w:ascii="Times New Roman" w:hAnsi="Times New Roman"/>
          <w:color w:val="000000"/>
          <w:sz w:val="20"/>
        </w:rPr>
        <w:t>During fiscal 2023, the Company completed the termination of the SERP though the purchase of a nonparticipating annuity. In connection with that termination, the Company made a cash contribution of $0.4 million and recognized a loss on the termination of the plan of $57,000, which included the recognition of the unrealized loss of $31,000 in Accumulated Other Comprehensive Loss.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SERP’s funded status at February 3, 2024 and January 28, 2023: </w:t>
      </w:r>
    </w:p>
    <w:p>
      <w:pPr>
        <w:pStyle w:val="TextBody"/>
        <w:bidi w:val="0"/>
        <w:jc w:val="left"/>
        <w:rPr/>
      </w:pPr>
      <w:r>
        <w:rPr/>
        <w:t> </w:t>
      </w:r>
    </w:p>
    <w:tbl>
      <w:tblPr>
        <w:tblW w:w="6265" w:type="dxa"/>
        <w:jc w:val="left"/>
        <w:tblInd w:w="0" w:type="dxa"/>
        <w:tblLayout w:type="fixed"/>
        <w:tblCellMar>
          <w:top w:w="28" w:type="dxa"/>
          <w:left w:w="28" w:type="dxa"/>
          <w:bottom w:w="28" w:type="dxa"/>
          <w:right w:w="28" w:type="dxa"/>
        </w:tblCellMar>
      </w:tblPr>
      <w:tblGrid>
        <w:gridCol w:w="2956"/>
        <w:gridCol w:w="146"/>
        <w:gridCol w:w="402"/>
        <w:gridCol w:w="918"/>
        <w:gridCol w:w="166"/>
        <w:gridCol w:w="146"/>
        <w:gridCol w:w="402"/>
        <w:gridCol w:w="918"/>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2" w:type="dxa"/>
            <w:gridSpan w:val="6"/>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Change in benefit obligation: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and expenses paid</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costs</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Change in fair value of plan assets: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contributions</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and expenses paid</w:t>
            </w:r>
          </w:p>
        </w:tc>
        <w:tc>
          <w:tcPr>
            <w:tcW w:w="146" w:type="dxa"/>
            <w:tcBorders/>
            <w:shd w:fill="CFF0FC" w:val="cle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Reconciliation of funded status: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w:t>
            </w:r>
          </w:p>
        </w:tc>
        <w:tc>
          <w:tcPr>
            <w:tcW w:w="146" w:type="dxa"/>
            <w:tcBorders/>
            <w:shd w:fill="FFFFFF" w:val="cle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Unfunded Status</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Balance sheet classification: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Other changes recognized in other comprehensive loss, before taxes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517" w:type="dxa"/>
        <w:jc w:val="left"/>
        <w:tblInd w:w="0" w:type="dxa"/>
        <w:tblLayout w:type="fixed"/>
        <w:tblCellMar>
          <w:top w:w="28" w:type="dxa"/>
          <w:left w:w="28" w:type="dxa"/>
          <w:bottom w:w="28" w:type="dxa"/>
          <w:right w:w="28" w:type="dxa"/>
        </w:tblCellMar>
      </w:tblPr>
      <w:tblGrid>
        <w:gridCol w:w="4576"/>
        <w:gridCol w:w="146"/>
        <w:gridCol w:w="402"/>
        <w:gridCol w:w="918"/>
        <w:gridCol w:w="166"/>
        <w:gridCol w:w="146"/>
        <w:gridCol w:w="474"/>
        <w:gridCol w:w="846"/>
        <w:gridCol w:w="166"/>
        <w:gridCol w:w="146"/>
        <w:gridCol w:w="439"/>
        <w:gridCol w:w="88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28,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29,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84" w:type="dxa"/>
            <w:gridSpan w:val="10"/>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Other changes recognized in other comprehensive loss,</w:t>
              <w:br/>
              <w:t>before taxes: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losses at the beginning of the year</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pension cost</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3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loss from settlement</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contribution</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benefit obligations</w:t>
            </w:r>
          </w:p>
        </w:tc>
        <w:tc>
          <w:tcPr>
            <w:tcW w:w="146" w:type="dxa"/>
            <w:tcBorders/>
            <w:shd w:fill="FFFFFF" w:val="cle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losses at the end of year</w:t>
            </w:r>
          </w:p>
        </w:tc>
        <w:tc>
          <w:tcPr>
            <w:tcW w:w="146" w:type="dxa"/>
            <w:tcBorders/>
            <w:shd w:fill="CFF0FC" w:val="cle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Assumptions used to determine the benefit obligations as of February 3, 2024 and January 28, 2023 included a discount rate of 5.76% for fiscal 2023 and 4.75% for fiscal 2022. Assumptions used to determine the net periodic benefit cost for the years ended February 3, 2024, January 28, 2023 and January 29, 2022 included a discount rate of 4.75% for fiscal 2023, 2.90% for fiscal 2022 and 2.24% for fiscal 2021.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Defined Contribution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recognized $2.4 million, $2.1 million and $2.0 million of expense under the 401(k) Plan in fiscal 2023, 2022 and 2021,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February 3, 2024 and January 28, 2023, the Company held U.S. treasury bills which were classified as held-to maturity and carried at amortized cost. </w:t>
        <w:br/>
        <w:t> </w:t>
      </w:r>
    </w:p>
    <w:tbl>
      <w:tblPr>
        <w:tblW w:w="9259" w:type="dxa"/>
        <w:jc w:val="left"/>
        <w:tblInd w:w="0" w:type="dxa"/>
        <w:tblLayout w:type="fixed"/>
        <w:tblCellMar>
          <w:top w:w="28" w:type="dxa"/>
          <w:left w:w="28" w:type="dxa"/>
          <w:bottom w:w="28" w:type="dxa"/>
          <w:right w:w="28" w:type="dxa"/>
        </w:tblCellMar>
      </w:tblPr>
      <w:tblGrid>
        <w:gridCol w:w="2096"/>
        <w:gridCol w:w="233"/>
        <w:gridCol w:w="1087"/>
        <w:gridCol w:w="146"/>
        <w:gridCol w:w="146"/>
        <w:gridCol w:w="244"/>
        <w:gridCol w:w="1136"/>
        <w:gridCol w:w="146"/>
        <w:gridCol w:w="146"/>
        <w:gridCol w:w="302"/>
        <w:gridCol w:w="719"/>
        <w:gridCol w:w="146"/>
        <w:gridCol w:w="146"/>
        <w:gridCol w:w="645"/>
        <w:gridCol w:w="1530"/>
        <w:gridCol w:w="391"/>
      </w:tblGrid>
      <w:tr>
        <w:trPr/>
        <w:tc>
          <w:tcPr>
            <w:tcW w:w="20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 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February 3, 2024:</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7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20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23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0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33"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96" w:type="dxa"/>
            <w:tcBorders/>
            <w:shd w:fill="FFFFFF" w:val="clear"/>
            <w:vAlign w:val="center"/>
          </w:tcPr>
          <w:p>
            <w:pPr>
              <w:pStyle w:val="TableContents"/>
              <w:bidi w:val="0"/>
              <w:spacing w:before="0" w:after="283"/>
              <w:ind w:left="200" w:right="0" w:firstLine="200"/>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28, 2023</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0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23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L. 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14, 2023, the Company's Board of Directors (“Board”) approved a stock repurchase program, effective March 16, 2023. Under the program, the Company was initially authorized to repurchase up to $15.0 million of its common stock, including excise tax, through open market and privately negotiated transactions. The Company completed the initial authorization during the third quarter of fiscal 2023. On November 15, 2023, the Board approved an amendment to the stock repurchase program to increase the amount authorized under the program from $15.0 million to $25.0 million. Subsequent to the end of fiscal 2023, the stock repurchase program was completed.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2023, the Company repurchased 5.4 million shares at an aggregate cost, plus fees, of $24.5 million, excluding excise taxes. The Inflation Reduction Act of 2022 imposed a nondeductible 1% excise tax on the net value of certain share repurchases made after December 31, 2022. Beginning in fiscal year 2023, the applicable excise tax is being charged to additional paid-in capital in the Company's Consolidated Balance Sheet as part of the cost basis of the shares repurchased, with the corresponding liability for the excise tax payable recorded in accrued expenses and other current liabilities until paid. This liability is partially offset by a 1% credit permitted under the rules for the fair value of shares issued by the Company. At February 3, 2024, the Company has accrued $0.2 million for the payment of excise taxes.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1" w:name="changes_in_and_disagreements"/>
      <w:bookmarkEnd w:id="31"/>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32" w:name="controls_and_procedures"/>
      <w:bookmarkEnd w:id="32"/>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Management’s Conclusions Regarding the Effectiveness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3, 2024. Based on this evaluation, our Chief Executive Officer and Chief Financial Officer concluded that, as of February 3, 2024, our disclosure controls and procedures were effective. </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pertain to the maintenance of records that, in reasonable detail, accurately and fairly reflect the transactions and dispositions of our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(iii) provide reasonable assurance regarding prevention or timely detection of unauthorized acquisition, use or disposition of assets that could have a material effect on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assessed the design and effectiveness of our internal control over financial reporting as of February 3, 2024. In making this assessment, management used the criteria set forth by the Committee of Sponsoring Organizations of the Treadway Commission (COSO) in Internal Control-Integrated Framework (2013).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management’s assessment and the above mentioned criteria, management determined that we maintained effective internal control over financial reporting as of February 3,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KPMG LLP, our independent registered public accounting firm, has issued an audit report on our internal control over financial reporting as of February 3, 2024, which appears below.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Stockholders and Board of Directors</w:t>
        <w:br/>
        <w:t>Destination XL Group, Inc.:</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Opinion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Destination XL Group, Inc. and subsidiaries' (the Company) internal control over financial reporting as of February 3,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In our opinion, the Company maintained, in all material respects, effective internal control over financial reporting as of February 3,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February 3, 2024 and January 28, 2023, the related consolidated statements of operations, comprehensive income, changes in stockholders’ equity (deficit), and cash flows for each of the fiscal years in the three-year period ended February 3, 2024, and the related notes (collectively, the consolidated financial statements), and our report dated March 21, 2024 expressed an unqualified opinion on those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br/>
        <w:t>March 21, 2024</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(as defined in Rules 13a-15(f) and 15d-15(f) under the Exchange Act) that occurred during the fourth quarter of fiscal 2023 that has materially affected, or is reasonably likely to materially affect, our internal control over financial reporting. </w:t>
      </w:r>
    </w:p>
    <w:p>
      <w:pPr>
        <w:pStyle w:val="TextBody"/>
        <w:bidi w:val="0"/>
        <w:spacing w:before="360" w:after="283"/>
        <w:jc w:val="left"/>
        <w:rPr>
          <w:rFonts w:ascii="Times New Roman" w:hAnsi="Times New Roman"/>
          <w:sz w:val="20"/>
        </w:rPr>
      </w:pPr>
      <w:bookmarkStart w:id="33" w:name="other_information"/>
      <w:bookmarkEnd w:id="33"/>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Non-Employee Director Compensation Plan</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2, 2023, the Board of Directors approved the Seventh Amended and Restated Non-Employee Director Compensation Plan, which will be effective for board compensation in fiscal 2024. The plan was amended to, among other things, add the ability for non-employee directors to make an annual election to receive a portion or all of their quarterly board compensation in shares of deferred stock. Shares of deferred stock vest based on the irrevocable election of each director, either (1) three years from the date of grant or separation of service, if earlier or (2) separation of service. Any grant of deferred stock will be granted under the Company's 2016 Incentive Stock Compensation Plan. The Director Plan was also amended to clarify certain administrative language.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 Rule 10b5-1 Trading Plans</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February 3, 2024,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 as amended).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4" w:name="item_9c"/>
      <w:bookmarkEnd w:id="34"/>
      <w:r>
        <w:rPr>
          <w:rFonts w:ascii="Times New Roman" w:hAnsi="Times New Roman"/>
          <w:b/>
          <w:color w:val="000000"/>
          <w:sz w:val="20"/>
        </w:rPr>
        <w:t xml:space="preserve">Item 9C. </w:t>
      </w:r>
      <w:r>
        <w:rPr>
          <w:rFonts w:ascii="Times New Roman" w:hAnsi="Times New Roman"/>
          <w:b/>
          <w:i/>
          <w:color w:val="000000"/>
          <w:sz w:val="20"/>
        </w:rPr>
        <w:t>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part_iii"/>
      <w:bookmarkEnd w:id="3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3, 2024 in connection with our 2024 Annual Meeting of Stockholders. </w:t>
      </w:r>
    </w:p>
    <w:p>
      <w:pPr>
        <w:pStyle w:val="TextBody"/>
        <w:bidi w:val="0"/>
        <w:spacing w:before="360" w:after="283"/>
        <w:jc w:val="left"/>
        <w:rPr>
          <w:rFonts w:ascii="Times New Roman" w:hAnsi="Times New Roman"/>
          <w:sz w:val="20"/>
        </w:rPr>
      </w:pPr>
      <w:bookmarkStart w:id="36" w:name="directors_executive_officers_and"/>
      <w:bookmarkEnd w:id="36"/>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this item is incorporated by reference from our definitive proxy statement (or amendment to this Annual Report on Form 10-K) to be filed with the SEC within 120 days of the end of the fiscal year ended February 3, 2024. </w:t>
      </w:r>
    </w:p>
    <w:p>
      <w:pPr>
        <w:pStyle w:val="TextBody"/>
        <w:bidi w:val="0"/>
        <w:spacing w:before="360" w:after="283"/>
        <w:jc w:val="left"/>
        <w:rPr>
          <w:rFonts w:ascii="Times New Roman" w:hAnsi="Times New Roman"/>
          <w:sz w:val="20"/>
        </w:rPr>
      </w:pPr>
      <w:bookmarkStart w:id="37" w:name="executive_compensation"/>
      <w:bookmarkEnd w:id="37"/>
      <w:r>
        <w:rPr>
          <w:rFonts w:ascii="Times New Roman" w:hAnsi="Times New Roman"/>
          <w:b/>
          <w:color w:val="000000"/>
          <w:sz w:val="20"/>
        </w:rPr>
        <w:t xml:space="preserve">Item 11. </w:t>
      </w:r>
      <w:r>
        <w:rPr>
          <w:rFonts w:ascii="Times New Roman" w:hAnsi="Times New Roman"/>
          <w:b/>
          <w:i/>
          <w:color w:val="000000"/>
          <w:sz w:val="20"/>
        </w:rPr>
        <w:t>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this item is incorporated by reference from our definitive proxy statement (or amendment to this Annual Report on Form 10-K) to be filed with the SEC within 120 days of the end of the fiscal year ended February 3, 2024. </w:t>
      </w:r>
    </w:p>
    <w:p>
      <w:pPr>
        <w:pStyle w:val="TextBody"/>
        <w:bidi w:val="0"/>
        <w:spacing w:before="360" w:after="283"/>
        <w:jc w:val="left"/>
        <w:rPr>
          <w:rFonts w:ascii="Times New Roman" w:hAnsi="Times New Roman"/>
          <w:sz w:val="20"/>
        </w:rPr>
      </w:pPr>
      <w:bookmarkStart w:id="38" w:name="security_ownership_of_certain"/>
      <w:bookmarkEnd w:id="38"/>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this item is incorporated by reference from our definitive proxy statement (or amendment to this Annual Report on Form 10-K) to be filed with the SEC within 120 days of the end of the fiscal year ended February 3, 2024. </w:t>
      </w:r>
    </w:p>
    <w:p>
      <w:pPr>
        <w:pStyle w:val="TextBody"/>
        <w:bidi w:val="0"/>
        <w:spacing w:before="360" w:after="283"/>
        <w:jc w:val="left"/>
        <w:rPr>
          <w:rFonts w:ascii="Times New Roman" w:hAnsi="Times New Roman"/>
          <w:sz w:val="20"/>
        </w:rPr>
      </w:pPr>
      <w:bookmarkStart w:id="39" w:name="certain_relationships_and_related"/>
      <w:bookmarkEnd w:id="39"/>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this item is incorporated by reference from our definitive proxy statement (or amendment to this Annual Report on Form 10-K) to be filed with the SEC within 120 days of the end of the fiscal year ended February 3, 2024. </w:t>
      </w:r>
    </w:p>
    <w:p>
      <w:pPr>
        <w:pStyle w:val="TextBody"/>
        <w:bidi w:val="0"/>
        <w:spacing w:before="360" w:after="283"/>
        <w:jc w:val="left"/>
        <w:rPr>
          <w:rFonts w:ascii="Times New Roman" w:hAnsi="Times New Roman"/>
          <w:sz w:val="20"/>
        </w:rPr>
      </w:pPr>
      <w:bookmarkStart w:id="40" w:name="principal_accounting_fees_and_services"/>
      <w:bookmarkEnd w:id="40"/>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this item is incorporated by reference from our definitive proxy statement (or amendment to this Annual Report on Form 10-K) to be filed with the SEC within 120 days of the end of the fiscal year ended February 3, 2024.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41" w:name="part_iv"/>
      <w:bookmarkEnd w:id="4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2" w:name="exhibits_financial_statement_schedules"/>
      <w:bookmarkEnd w:id="42"/>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15(a)(1)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list of consolidated financial statements and notes required by this Item 15(a)(1) is set forth in the “Index to Consolidated Financial Statements” on page 36 of this Annual Report.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15(a)(2)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schedules have been omitted because the required information is not applicable or is not present in amounts sufficient to require submission of the schedules, or because the information required is included in the financial statements or notes thereto. </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15(a)(3)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list of exhibits required by this Item 15(a)(3) is set forth in the “Index to Exhibits” beginning on page 66 of this Annual Report.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3" w:name="form_10k_summary"/>
      <w:bookmarkEnd w:id="43"/>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i/>
          <w:color w:val="000000"/>
          <w:sz w:val="20"/>
        </w:rPr>
        <w:t>Form 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Omitted at registrant’s option.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44" w:name="index_to_exhibits"/>
      <w:bookmarkEnd w:id="44"/>
      <w:r>
        <w:rPr>
          <w:rFonts w:ascii="Times New Roman" w:hAnsi="Times New Roman"/>
          <w:b/>
          <w:color w:val="000000"/>
          <w:sz w:val="20"/>
        </w:rPr>
        <w:t>Index to Exhibits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8951"/>
        <w:gridCol w:w="146"/>
        <w:gridCol w:w="25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Exhibits</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hyperlink r:id="rId3">
              <w:r>
                <w:rPr>
                  <w:rStyle w:val="InternetLink"/>
                  <w:rFonts w:ascii="Times New Roman" w:hAnsi="Times New Roman"/>
                  <w:color w:val="000000"/>
                  <w:sz w:val="20"/>
                </w:rPr>
                <w:t>Certificate of Amendment to Restated Certificate of Incorporation, effective as of August 6, 2021 (included as Exhibit 3.1 to the Company's Quarterly Report on Form 10-Q filed on August 31, 2021,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pPr>
            <w:hyperlink r:id="rId4">
              <w:r>
                <w:rPr>
                  <w:rStyle w:val="InternetLink"/>
                  <w:rFonts w:ascii="Times New Roman" w:hAnsi="Times New Roman"/>
                  <w:color w:val="000000"/>
                  <w:sz w:val="20"/>
                </w:rPr>
                <w:t>Restated Certificate of Incorporation of the Company (conformed copy incorporating all amendments through August 6, 2021 (included as Exhibit 3.2 to the Company's Quarterly Report on Form 10-Q filed on August 31, 2021,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0"/>
              <w:jc w:val="left"/>
              <w:rPr/>
            </w:pPr>
            <w:hyperlink r:id="rId5">
              <w:r>
                <w:rPr>
                  <w:rStyle w:val="InternetLink"/>
                  <w:rFonts w:ascii="Times New Roman" w:hAnsi="Times New Roman"/>
                  <w:color w:val="000000"/>
                  <w:sz w:val="20"/>
                </w:rPr>
                <w:t>Fourth Amended and Restated By-Laws (included as Exhibit 3.1 to the Company’s Current Report on Form 8-K filed on June 18, 2015,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hyperlink r:id="rId6">
              <w:r>
                <w:rPr>
                  <w:rStyle w:val="InternetLink"/>
                  <w:rFonts w:ascii="Times New Roman" w:hAnsi="Times New Roman"/>
                  <w:color w:val="000000"/>
                  <w:sz w:val="20"/>
                </w:rPr>
                <w:t>Description of Securities (included as Exhibit 4.1 to the Company's Annual Report on Form 10-K filed on March 17, 2022,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0"/>
              <w:jc w:val="left"/>
              <w:rPr/>
            </w:pPr>
            <w:hyperlink r:id="rId7">
              <w:r>
                <w:rPr>
                  <w:rStyle w:val="InternetLink"/>
                  <w:rFonts w:ascii="Times New Roman" w:hAnsi="Times New Roman"/>
                  <w:color w:val="000000"/>
                  <w:sz w:val="20"/>
                </w:rPr>
                <w:t>Company’s 2006 Incentive Compensation Plan, as amended (included as Exhibit 10.3 to the Company’s Annual Report on Form 10-K filed March 17, 2014 (File No. 001-34219),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120" w:after="283"/>
              <w:jc w:val="left"/>
              <w:rPr/>
            </w:pPr>
            <w:r>
              <w:rPr/>
              <w:t> </w:t>
            </w:r>
          </w:p>
        </w:tc>
        <w:tc>
          <w:tcPr>
            <w:tcW w:w="8951" w:type="dxa"/>
            <w:tcBorders/>
            <w:vAlign w:val="center"/>
          </w:tcPr>
          <w:p>
            <w:pPr>
              <w:pStyle w:val="TableContents"/>
              <w:bidi w:val="0"/>
              <w:spacing w:before="0" w:after="283"/>
              <w:jc w:val="left"/>
              <w:rPr/>
            </w:pPr>
            <w:hyperlink w:anchor="dxlg-ex10_2.htm">
              <w:r>
                <w:rPr>
                  <w:rStyle w:val="InternetLink"/>
                  <w:rFonts w:ascii="Times New Roman" w:hAnsi="Times New Roman"/>
                  <w:color w:val="000000"/>
                  <w:sz w:val="20"/>
                </w:rPr>
                <w:t>Company’s 2016 Incentive Compensation Plan, as amended November 2, 2023.</w:t>
              </w:r>
            </w:hyperlink>
          </w:p>
        </w:tc>
        <w:tc>
          <w:tcPr>
            <w:tcW w:w="146" w:type="dxa"/>
            <w:tcBorders/>
            <w:vAlign w:val="center"/>
          </w:tcPr>
          <w:p>
            <w:pPr>
              <w:pStyle w:val="TableContents"/>
              <w:bidi w:val="0"/>
              <w:spacing w:before="120" w:after="283"/>
              <w:jc w:val="left"/>
              <w:rPr/>
            </w:pPr>
            <w:r>
              <w:rPr/>
              <w:t> </w:t>
            </w:r>
          </w:p>
        </w:tc>
        <w:tc>
          <w:tcPr>
            <w:tcW w:w="256" w:type="dxa"/>
            <w:tcBorders/>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pPr>
            <w:hyperlink r:id="rId8">
              <w:r>
                <w:rPr>
                  <w:rStyle w:val="InternetLink"/>
                  <w:rFonts w:ascii="Times New Roman" w:hAnsi="Times New Roman"/>
                  <w:color w:val="000000"/>
                  <w:sz w:val="20"/>
                </w:rPr>
                <w:t>Form of Non-Qualified Option Agreement for Associates (included as Exhibit 10.3 to the Company’s Annual Report on Form 10-K filed March 20, 2017,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0"/>
              <w:jc w:val="left"/>
              <w:rPr/>
            </w:pPr>
            <w:hyperlink r:id="rId9">
              <w:r>
                <w:rPr>
                  <w:rStyle w:val="InternetLink"/>
                  <w:rFonts w:ascii="Times New Roman" w:hAnsi="Times New Roman"/>
                  <w:color w:val="000000"/>
                  <w:sz w:val="20"/>
                </w:rPr>
                <w:t>Form of Non-Qualified Option Agreement for Associates (pursuant to the Company’s Long-Term Incentive Plan, as amended) (included as Exhibit 10.3 to the Company’s Quarterly Report on Form 10-Q filed August 27, 2020,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0"/>
              <w:jc w:val="left"/>
              <w:rPr/>
            </w:pPr>
            <w:hyperlink r:id="rId10">
              <w:r>
                <w:rPr>
                  <w:rStyle w:val="InternetLink"/>
                  <w:rFonts w:ascii="Times New Roman" w:hAnsi="Times New Roman"/>
                  <w:color w:val="000000"/>
                  <w:sz w:val="20"/>
                </w:rPr>
                <w:t>Form of Restricted Stock Agreement for Associates (included as Exhibit 10.5 to the Company’s Annual Report on Form 10-K filed March 20, 2017,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20" w:after="20"/>
              <w:jc w:val="left"/>
              <w:rPr/>
            </w:pPr>
            <w:hyperlink r:id="rId11">
              <w:r>
                <w:rPr>
                  <w:rStyle w:val="InternetLink"/>
                  <w:rFonts w:ascii="Times New Roman" w:hAnsi="Times New Roman"/>
                  <w:color w:val="000000"/>
                  <w:sz w:val="20"/>
                </w:rPr>
                <w:t>Form of Restricted Stock Agreement for Associates (pursuant to the Company’s Long-Term Incentive Plan) (included as Exhibit 10.6 to the Company’s Annual Report on Form 10-K filed March 20, 2017,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hyperlink r:id="rId12">
              <w:r>
                <w:rPr>
                  <w:rStyle w:val="InternetLink"/>
                  <w:rFonts w:ascii="Times New Roman" w:hAnsi="Times New Roman"/>
                  <w:color w:val="000000"/>
                  <w:sz w:val="20"/>
                </w:rPr>
                <w:t>Form of Restricted Stock Unit Agreement for Associates (included as Exhibit 10.7 to the Company’s Annual Report on Form 10-K filed March 20, 2017,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hyperlink r:id="rId13">
              <w:r>
                <w:rPr>
                  <w:rStyle w:val="InternetLink"/>
                  <w:rFonts w:ascii="Times New Roman" w:hAnsi="Times New Roman"/>
                  <w:color w:val="000000"/>
                  <w:sz w:val="20"/>
                </w:rPr>
                <w:t>Form of Restricted Stock Unit Agreement for Associates (pursuant to the Company’s Long-Term Incentive Plan) (included as Exhibit 10.8 to the Company’s Annual Report on Form 10-K filed March 20, 2017,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hyperlink r:id="rId14">
              <w:r>
                <w:rPr>
                  <w:rStyle w:val="InternetLink"/>
                  <w:rFonts w:ascii="Times New Roman" w:hAnsi="Times New Roman"/>
                  <w:color w:val="000000"/>
                  <w:sz w:val="20"/>
                </w:rPr>
                <w:t>Form of Deferred Stock Award Agreement for Non-Employee Directors (included as Exhibit 10.9 to the Company’s Annual Report on Form 10-K filed March 20, 2017,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pPr>
            <w:hyperlink r:id="rId15">
              <w:r>
                <w:rPr>
                  <w:rStyle w:val="InternetLink"/>
                  <w:rFonts w:ascii="Times New Roman" w:hAnsi="Times New Roman"/>
                  <w:color w:val="000000"/>
                  <w:sz w:val="20"/>
                </w:rPr>
                <w:t>Sixth Amended and Restated Non-Employee Director Compensation Plan (included as Exhibit 10.11 to the Company’s Annual Report on Form 10-K filed March 17, 2022,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hyperlink w:anchor="dxlg-ex10_11.htm">
              <w:r>
                <w:rPr>
                  <w:rStyle w:val="InternetLink"/>
                  <w:rFonts w:ascii="Times New Roman" w:hAnsi="Times New Roman"/>
                  <w:color w:val="000000"/>
                  <w:sz w:val="20"/>
                </w:rPr>
                <w:t>Seventh Amended and Restated Non-Employee Director Compensation Plan.</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hyperlink r:id="rId16">
              <w:r>
                <w:rPr>
                  <w:rStyle w:val="InternetLink"/>
                  <w:rFonts w:ascii="Times New Roman" w:hAnsi="Times New Roman"/>
                  <w:color w:val="000000"/>
                  <w:sz w:val="20"/>
                </w:rPr>
                <w:t xml:space="preserve">Credit Agreement dated October 28, 2021, by and among Citizens Bank, N.A., as Administrative Agent and Collateral Agent, Other Lenders identified therein, the Company, as lead borrower, and the Borrowers and Guarantors identified therein (included as Exhibit 10.1 to the Company's Current Report on Form 8-K filed on November 2, 2021, and incorporated herein by reference). </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hyperlink r:id="rId17">
              <w:r>
                <w:rPr>
                  <w:rStyle w:val="InternetLink"/>
                  <w:rFonts w:ascii="Times New Roman" w:hAnsi="Times New Roman"/>
                  <w:color w:val="000000"/>
                  <w:sz w:val="20"/>
                </w:rPr>
                <w:t>First Amendment dated April 20, 2023 to the Credit Agreement dated October 28, 2021, by and among Citizens, N.A., as Administrative Agent and Collateral Agent, Other Lenders identified therein, the Company, as lead borrower, and the Borrowers and Guarantors identified therein (included as Exhibit 10.1 to the Company's Current Report on Form 8-K filed April 24, 2023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071"/>
        <w:gridCol w:w="146"/>
        <w:gridCol w:w="25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hyperlink r:id="rId18">
              <w:r>
                <w:rPr>
                  <w:rStyle w:val="InternetLink"/>
                  <w:rFonts w:ascii="Times New Roman" w:hAnsi="Times New Roman"/>
                  <w:color w:val="000000"/>
                  <w:sz w:val="20"/>
                </w:rPr>
                <w:t>Amended and Restated Employment Agreement between the Company and Harvey S. Kanter effective April 1, 2022 (included as Exhibit 10.1 to the Company's Current Report on Form 8-K filed April 5, 2022,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hyperlink r:id="rId19">
              <w:r>
                <w:rPr>
                  <w:rStyle w:val="InternetLink"/>
                  <w:rFonts w:ascii="Times New Roman" w:hAnsi="Times New Roman"/>
                  <w:color w:val="000080"/>
                  <w:sz w:val="20"/>
                </w:rPr>
                <w:t>First Amendment to the Amended and Restated Employment Agreement between the Company and Harvey S. Kanter, dated August 11, 2023, which includes the Form of Performance Share Award Agreement (included as Exhibit 10.1 to the Company's Current Report on Form 8-K filed August 15, 2023, and incorporated herein by reference)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20">
              <w:r>
                <w:rPr>
                  <w:rStyle w:val="InternetLink"/>
                  <w:rFonts w:ascii="Times New Roman" w:hAnsi="Times New Roman"/>
                  <w:color w:val="000000"/>
                  <w:sz w:val="20"/>
                </w:rPr>
                <w:t>Second Amended and Restated Employment Agreement between the Company and Peter H. Stratton, Jr. dated as of November 27, 2017 (included at Exhibit 10.32 to the Company’s Annual Report on Form 10-K filed on March 23, 2018,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21">
              <w:r>
                <w:rPr>
                  <w:rStyle w:val="InternetLink"/>
                  <w:rFonts w:ascii="Times New Roman" w:hAnsi="Times New Roman"/>
                  <w:color w:val="000000"/>
                  <w:sz w:val="20"/>
                </w:rPr>
                <w:t>Employment Agreement between the Company and Robert S. Molloy dated as of January 7, 2010 (included as Exhibit 10.2 to the Company’s Current Report on Form 8-K filed on January 11, 2010 (File No. 001-34219),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w:anchor="dxlg-ex10_18.htm">
              <w:r>
                <w:rPr>
                  <w:rStyle w:val="InternetLink"/>
                  <w:rFonts w:ascii="Times New Roman" w:hAnsi="Times New Roman"/>
                  <w:color w:val="000000"/>
                  <w:sz w:val="20"/>
                </w:rPr>
                <w:t>Employment Agreement between the Company and Robert Bogan dated as of November 27, 2023.</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22">
              <w:r>
                <w:rPr>
                  <w:rStyle w:val="InternetLink"/>
                  <w:rFonts w:ascii="Times New Roman" w:hAnsi="Times New Roman"/>
                  <w:color w:val="000080"/>
                  <w:sz w:val="20"/>
                </w:rPr>
                <w:t>Second Amended and Restated Employment Agreement between the Company and Antony Gaeta dated as of April 16, 2023 (included as Exhibit 10.1 to the Company's Current Report on Form 8-K filed April 14, 2023 and incorporated herein by reference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23">
              <w:r>
                <w:rPr>
                  <w:rStyle w:val="InternetLink"/>
                  <w:rFonts w:ascii="Times New Roman" w:hAnsi="Times New Roman"/>
                  <w:color w:val="000000"/>
                  <w:sz w:val="20"/>
                </w:rPr>
                <w:t>Employment Agreement between the Company and Francis C. Chane dated as of January 8, 2010 (included as Exhibit 10.34 to the Company’s Annual Report on Form 10-K filed on March 19, 2010 (File No. 001-34219),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24">
              <w:r>
                <w:rPr>
                  <w:rStyle w:val="InternetLink"/>
                  <w:rFonts w:ascii="Times New Roman" w:hAnsi="Times New Roman"/>
                  <w:color w:val="000000"/>
                  <w:sz w:val="20"/>
                </w:rPr>
                <w:t>Amended and Restated Employment Agreement between the Company and John F. Cooney effective March 6, 2022 (included as Exhibit 10.6 to the Company’s Quarterly Report on Form 10-Q filed on May 26, 2022,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25">
              <w:r>
                <w:rPr>
                  <w:rStyle w:val="InternetLink"/>
                  <w:rFonts w:ascii="Times New Roman" w:hAnsi="Times New Roman"/>
                  <w:color w:val="000000"/>
                  <w:sz w:val="20"/>
                </w:rPr>
                <w:t>Employment Agreement between the Company and Stacey Jones effective February 19, 2021 (included as Exhibit 10.1 to the Company's Quarterly Report on Form 10-Q filed on May 27, 2021,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hyperlink r:id="rId26">
              <w:r>
                <w:rPr>
                  <w:rStyle w:val="InternetLink"/>
                  <w:rFonts w:ascii="Times New Roman" w:hAnsi="Times New Roman"/>
                  <w:color w:val="000000"/>
                  <w:sz w:val="20"/>
                </w:rPr>
                <w:t>Amended and Restated Employment Agreement between the Company and James Reath dated as of May 10, 2023 (included as Exhibit 10.1 to the Company's Quarterly Report on Form 10-Q filed on August 24, 2023, and incorporated herein by reference).</w:t>
              </w:r>
            </w:hyperlink>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hyperlink r:id="rId27">
              <w:r>
                <w:rPr>
                  <w:rStyle w:val="InternetLink"/>
                  <w:rFonts w:ascii="Times New Roman" w:hAnsi="Times New Roman"/>
                  <w:color w:val="000000"/>
                  <w:sz w:val="20"/>
                </w:rPr>
                <w:t>Amended and Restated Employment Agreement between the Company and Allison Surette effective March 6, 2022 (included as Exhibit 10.5 to the Company’s Quarterly Report on Form 10-Q filed on May 26, 2022, and incorporated herein by reference).</w:t>
              </w:r>
            </w:hyperlink>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28">
              <w:r>
                <w:rPr>
                  <w:rStyle w:val="InternetLink"/>
                  <w:rFonts w:ascii="Times New Roman" w:hAnsi="Times New Roman"/>
                  <w:color w:val="000000"/>
                  <w:sz w:val="20"/>
                </w:rPr>
                <w:t>Stand-alone Inducement Restricted Stock Unit Award Agreement between the Company and James Reath dated October 7, 2022 (included as Exhibit 10.2 to the Company's Quarterly Report on Form 10-Q filed on November 17, 2022, and incorporated herein by reference).</w:t>
              </w:r>
            </w:hyperlink>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hyperlink r:id="rId29">
              <w:r>
                <w:rPr>
                  <w:rStyle w:val="InternetLink"/>
                  <w:rFonts w:ascii="Times New Roman" w:hAnsi="Times New Roman"/>
                  <w:color w:val="000000"/>
                  <w:sz w:val="20"/>
                </w:rPr>
                <w:t>Stand-alone Inducement Restricted Stock Unit Award Agreement between the Company and Jonathan Sainsbury dated October 26, 2022 (included as Exhibit 10.3 to the Company's Quarterly Report on Form 10-Q filed on November 17, 2022, and incorporated herein by reference).</w:t>
              </w:r>
            </w:hyperlink>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256" w:type="dxa"/>
            <w:tcBorders/>
            <w:vAlign w:val="center"/>
          </w:tcPr>
          <w:p>
            <w:pPr>
              <w:pStyle w:val="TableContents"/>
              <w:bidi w:val="0"/>
              <w:spacing w:before="0" w:after="20"/>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30">
              <w:r>
                <w:rPr>
                  <w:rStyle w:val="InternetLink"/>
                  <w:rFonts w:ascii="Times New Roman" w:hAnsi="Times New Roman"/>
                  <w:color w:val="000000"/>
                  <w:sz w:val="20"/>
                </w:rPr>
                <w:t>Sixth Amended and Restated Annual Incentive Plan (included as Exhibit 10.1 to the Company’s Current Report on Form 8-K filed on November 7, 2023,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31">
              <w:r>
                <w:rPr>
                  <w:rStyle w:val="InternetLink"/>
                  <w:rFonts w:ascii="Times New Roman" w:hAnsi="Times New Roman"/>
                  <w:color w:val="000080"/>
                  <w:sz w:val="20"/>
                </w:rPr>
                <w:t>Second Amended and Restated Long-Term Incentive Plan (included as Exhibit 10.1 to the Company’s Current Report on Form 8-K filed on June 22, 2018, and incorporated herein by reference)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32">
              <w:r>
                <w:rPr>
                  <w:rStyle w:val="InternetLink"/>
                  <w:rFonts w:ascii="Times New Roman" w:hAnsi="Times New Roman"/>
                  <w:color w:val="000000"/>
                  <w:sz w:val="20"/>
                </w:rPr>
                <w:t>First Amendment to the Second Amended and Restated Long-Term Incentive Plan (included as Exhibit 10.1 to the Company’s Form 10-Q filed on November 30, 2018,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33">
              <w:r>
                <w:rPr>
                  <w:rStyle w:val="InternetLink"/>
                  <w:rFonts w:ascii="Times New Roman" w:hAnsi="Times New Roman"/>
                  <w:color w:val="000000"/>
                  <w:sz w:val="20"/>
                </w:rPr>
                <w:t>Third Amended and Restated Long-Term Incentive Plan (included as Exhibit 10.1 to the Company’s Current Report on Form 8-K filed on June 12, 2020,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071"/>
        <w:gridCol w:w="146"/>
        <w:gridCol w:w="25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34">
              <w:r>
                <w:rPr>
                  <w:rStyle w:val="InternetLink"/>
                  <w:rFonts w:ascii="Times New Roman" w:hAnsi="Times New Roman"/>
                  <w:color w:val="000000"/>
                  <w:sz w:val="20"/>
                </w:rPr>
                <w:t>Fourth Amended and Restated Long-Term Incentive Plan (included as Exhibit 10.2 to the Company Current Report on Form 8-K filed on April 5, 2022,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35">
              <w:r>
                <w:rPr>
                  <w:rStyle w:val="InternetLink"/>
                  <w:rFonts w:ascii="Times New Roman" w:hAnsi="Times New Roman"/>
                  <w:color w:val="000000"/>
                  <w:sz w:val="20"/>
                </w:rPr>
                <w:t>Letter Agreement, dated January 29, 2014, by and between the Company and Red Mountain Capital Partners LLC (included as Exhibit 10.1 to the Company’s Quarterly Report on Form 10-Q filed on November 17, 2017,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36">
              <w:r>
                <w:rPr>
                  <w:rStyle w:val="InternetLink"/>
                  <w:rFonts w:ascii="Times New Roman" w:hAnsi="Times New Roman"/>
                  <w:color w:val="000080"/>
                  <w:sz w:val="20"/>
                </w:rPr>
                <w:t>Letter Agreement, dated April 4, 2018, by and between the Company and Red Mountain Capital Partners LLC (included as Exhibit 10.38 to the Company’s Annual Report on Form 10-K filed on March 19, 2020, and incorporated herein by reference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10.33</w:t>
            </w:r>
          </w:p>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r:id="rId37">
              <w:r>
                <w:rPr>
                  <w:rStyle w:val="InternetLink"/>
                  <w:rFonts w:ascii="Times New Roman" w:hAnsi="Times New Roman"/>
                  <w:color w:val="000000"/>
                  <w:sz w:val="20"/>
                </w:rPr>
                <w:t>Form of Securities Purchase Agreement (included as Exhibit 10.1 to the Company’s Current Report on Form 8-K/A, filed on February 5, 2021, and incorporated herein by reference).</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38">
              <w:r>
                <w:rPr>
                  <w:rStyle w:val="InternetLink"/>
                  <w:rFonts w:ascii="Times New Roman" w:hAnsi="Times New Roman"/>
                  <w:color w:val="000000"/>
                  <w:sz w:val="20"/>
                </w:rPr>
                <w:t>Contribution Agreement dated January 30, 2006 by and among the Company, Spirit SPE Canton, LLC and Spirit Finance Acquisitions, LLC (included as Exhibit 10.1 to the Company’s Current Report on Form 8-K filed on February 3, 2006 (File No. 001-34219),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r:id="rId39">
              <w:r>
                <w:rPr>
                  <w:rStyle w:val="InternetLink"/>
                  <w:rFonts w:ascii="Times New Roman" w:hAnsi="Times New Roman"/>
                  <w:color w:val="000000"/>
                  <w:sz w:val="20"/>
                </w:rPr>
                <w:t>Membership Interest Purchase Agreement dated January 30, 2006 by and between the Company and Spirit Finance Acquisitions, LLC (included as Exhibit 10.2 to the Company’s Current Report on Form 8-K filed on February 3, 2006 (File No. 001-34219),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pPr>
            <w:hyperlink r:id="rId40">
              <w:r>
                <w:rPr>
                  <w:rStyle w:val="InternetLink"/>
                  <w:rFonts w:ascii="Times New Roman" w:hAnsi="Times New Roman"/>
                  <w:color w:val="000000"/>
                  <w:sz w:val="20"/>
                </w:rPr>
                <w:t>Lease Agreement dated February 1, 2006 by and between the Company and Spirit SPE Canton, LLC (included as Exhibit 10.3 to the Company’s Current Report on Form 8-K filed on February 3, 2006 (File No. 001-34219), and incorporated herein by reference).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pPr>
            <w:hyperlink w:anchor="dxlg-ex21_1.htm">
              <w:r>
                <w:rPr>
                  <w:rStyle w:val="InternetLink"/>
                  <w:rFonts w:ascii="Times New Roman" w:hAnsi="Times New Roman"/>
                  <w:color w:val="000000"/>
                  <w:sz w:val="20"/>
                </w:rPr>
                <w:t>Subsidiaries of the Registrant.</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w:anchor="dxlg-ex23_1.htm">
              <w:r>
                <w:rPr>
                  <w:rStyle w:val="InternetLink"/>
                  <w:rFonts w:ascii="Times New Roman" w:hAnsi="Times New Roman"/>
                  <w:color w:val="000000"/>
                  <w:sz w:val="20"/>
                </w:rPr>
                <w:t>Consent of Independent Registered Public Accounting Firm.</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pPr>
            <w:hyperlink w:anchor="dxlg-ex31_1.htm">
              <w:r>
                <w:rPr>
                  <w:rStyle w:val="InternetLink"/>
                  <w:rFonts w:ascii="Times New Roman" w:hAnsi="Times New Roman"/>
                  <w:color w:val="000000"/>
                  <w:sz w:val="20"/>
                </w:rPr>
                <w:t>Certification of Chief Executive Officer of the Company pursuant to Rule 13a-14(a) under the Securities Exchange Act of 1934.</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pPr>
            <w:hyperlink w:anchor="dxlg-ex31_2.htm">
              <w:r>
                <w:rPr>
                  <w:rStyle w:val="InternetLink"/>
                  <w:rFonts w:ascii="Times New Roman" w:hAnsi="Times New Roman"/>
                  <w:color w:val="000000"/>
                  <w:sz w:val="20"/>
                </w:rPr>
                <w:t>Certification of Chief Financial Officer of the Company pursuant to Rule 13a-14(a) under the Securities Exchange Act of 1934.</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pPr>
            <w:hyperlink w:anchor="dxlg-ex32_1.htm">
              <w:r>
                <w:rPr>
                  <w:rStyle w:val="InternetLink"/>
                  <w:rFonts w:ascii="Times New Roman" w:hAnsi="Times New Roman"/>
                  <w:color w:val="000000"/>
                  <w:sz w:val="20"/>
                </w:rPr>
                <w:t>Certification of Chief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pPr>
            <w:hyperlink w:anchor="dxlg-ex32_2.htm">
              <w:r>
                <w:rPr>
                  <w:rStyle w:val="InternetLink"/>
                  <w:rFonts w:ascii="Times New Roman" w:hAnsi="Times New Roman"/>
                  <w:color w:val="000000"/>
                  <w:sz w:val="20"/>
                </w:rPr>
                <w:t>Certification of Chief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hyperlink w:anchor="dxlg-ex97_1.htm">
              <w:r>
                <w:rPr>
                  <w:rStyle w:val="InternetLink"/>
                  <w:rFonts w:ascii="Times New Roman" w:hAnsi="Times New Roman"/>
                  <w:color w:val="000000"/>
                  <w:sz w:val="20"/>
                </w:rPr>
                <w:t>Executive Officer Clawback Policy adopted November 2, 2023.</w:t>
              </w:r>
            </w:hyperlink>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The following materials from the Company’s Annual Report on Form 10-K for the year ended February 3, 2024, formatted in Inline XBRL (eXtensible Business Reporting Language): (i) Consolidated Balance Sheets, (ii) Consolidated Statements of Operations, (iii) Consolidated Statements of Changes in Stockholders’ Equity (Deficit), (iv) Consolidated Statements of Comprehensive Income, (v) Consolidated Statements of Cash Flows, and (vi) Notes to Consolidated Financial Statements.</w:t>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pPr>
            <w:r>
              <w:rPr/>
              <w:t> </w:t>
            </w:r>
          </w:p>
        </w:tc>
      </w:tr>
      <w:tr>
        <w:trPr/>
        <w:tc>
          <w:tcPr>
            <w:tcW w:w="58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Denotes management contract or compensatory plan or arrangement.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5" w:name="signatures"/>
      <w:bookmarkEnd w:id="4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005" w:type="dxa"/>
        <w:jc w:val="left"/>
        <w:tblInd w:w="0" w:type="dxa"/>
        <w:tblLayout w:type="fixed"/>
        <w:tblCellMar>
          <w:top w:w="28" w:type="dxa"/>
          <w:left w:w="28" w:type="dxa"/>
          <w:bottom w:w="28" w:type="dxa"/>
          <w:right w:w="28" w:type="dxa"/>
        </w:tblCellMar>
      </w:tblPr>
      <w:tblGrid>
        <w:gridCol w:w="1411"/>
        <w:gridCol w:w="146"/>
        <w:gridCol w:w="406"/>
        <w:gridCol w:w="146"/>
        <w:gridCol w:w="2896"/>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411"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pPr>
            <w:r>
              <w:rPr/>
              <w:t> </w:t>
            </w:r>
          </w:p>
        </w:tc>
        <w:tc>
          <w:tcPr>
            <w:tcW w:w="3448" w:type="dxa"/>
            <w:gridSpan w:val="3"/>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w:t>
            </w:r>
            <w:r>
              <w:rPr>
                <w:rFonts w:ascii="Times New Roman" w:hAnsi="Times New Roman"/>
                <w:color w:val="000000"/>
                <w:sz w:val="16"/>
              </w:rPr>
              <w:t>ESTINATION</w:t>
            </w:r>
            <w:r>
              <w:rPr>
                <w:rFonts w:ascii="Times New Roman" w:hAnsi="Times New Roman"/>
                <w:color w:val="000000"/>
                <w:sz w:val="20"/>
              </w:rPr>
              <w:t> XL G</w:t>
            </w:r>
            <w:r>
              <w:rPr>
                <w:rFonts w:ascii="Times New Roman" w:hAnsi="Times New Roman"/>
                <w:color w:val="000000"/>
                <w:sz w:val="16"/>
              </w:rPr>
              <w:t>ROUP</w:t>
            </w:r>
            <w:r>
              <w:rPr>
                <w:rFonts w:ascii="Times New Roman" w:hAnsi="Times New Roman"/>
                <w:color w:val="000000"/>
                <w:sz w:val="20"/>
              </w:rPr>
              <w:t>, I</w:t>
            </w:r>
            <w:r>
              <w:rPr>
                <w:rFonts w:ascii="Times New Roman" w:hAnsi="Times New Roman"/>
                <w:color w:val="000000"/>
                <w:sz w:val="16"/>
              </w:rPr>
              <w:t>NC.</w:t>
            </w:r>
          </w:p>
        </w:tc>
      </w:tr>
      <w:tr>
        <w:trPr/>
        <w:tc>
          <w:tcPr>
            <w:tcW w:w="14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spacing w:before="0" w:after="283"/>
              <w:jc w:val="center"/>
              <w:rPr/>
            </w:pPr>
            <w:r>
              <w:rPr/>
              <w:t> </w:t>
            </w:r>
          </w:p>
        </w:tc>
      </w:tr>
      <w:tr>
        <w:trPr/>
        <w:tc>
          <w:tcPr>
            <w:tcW w:w="1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H</w:t>
            </w:r>
            <w:r>
              <w:rPr>
                <w:rFonts w:ascii="Times New Roman" w:hAnsi="Times New Roman"/>
                <w:color w:val="000000"/>
                <w:sz w:val="15"/>
              </w:rPr>
              <w:t>ARVEY</w:t>
            </w:r>
            <w:r>
              <w:rPr>
                <w:rFonts w:ascii="Times New Roman" w:hAnsi="Times New Roman"/>
                <w:color w:val="000000"/>
                <w:sz w:val="20"/>
              </w:rPr>
              <w:t> S. K</w:t>
            </w:r>
            <w:r>
              <w:rPr>
                <w:rFonts w:ascii="Times New Roman" w:hAnsi="Times New Roman"/>
                <w:color w:val="000000"/>
                <w:sz w:val="15"/>
              </w:rPr>
              <w:t>ANTER</w:t>
            </w:r>
          </w:p>
        </w:tc>
      </w:tr>
      <w:tr>
        <w:trPr/>
        <w:tc>
          <w:tcPr>
            <w:tcW w:w="1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Harvey S. Kanter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in the capacities and on the dates indicated. </w:t>
      </w:r>
    </w:p>
    <w:tbl>
      <w:tblPr>
        <w:tblW w:w="10205" w:type="dxa"/>
        <w:jc w:val="left"/>
        <w:tblInd w:w="0" w:type="dxa"/>
        <w:tblLayout w:type="fixed"/>
        <w:tblCellMar>
          <w:top w:w="28" w:type="dxa"/>
          <w:left w:w="28" w:type="dxa"/>
          <w:bottom w:w="28" w:type="dxa"/>
          <w:right w:w="28" w:type="dxa"/>
        </w:tblCellMar>
      </w:tblPr>
      <w:tblGrid>
        <w:gridCol w:w="1923"/>
        <w:gridCol w:w="146"/>
        <w:gridCol w:w="6792"/>
        <w:gridCol w:w="146"/>
        <w:gridCol w:w="1198"/>
      </w:tblGrid>
      <w:tr>
        <w:trPr/>
        <w:tc>
          <w:tcPr>
            <w:tcW w:w="1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19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/s/ H</w:t>
            </w:r>
            <w:r>
              <w:rPr>
                <w:rFonts w:ascii="Times New Roman" w:hAnsi="Times New Roman"/>
                <w:color w:val="000000"/>
                <w:sz w:val="15"/>
              </w:rPr>
              <w:t>ARVEY</w:t>
            </w:r>
            <w:r>
              <w:rPr>
                <w:rFonts w:ascii="Times New Roman" w:hAnsi="Times New Roman"/>
                <w:color w:val="000000"/>
                <w:sz w:val="20"/>
              </w:rPr>
              <w:t> S. K</w:t>
            </w:r>
            <w:r>
              <w:rPr>
                <w:rFonts w:ascii="Times New Roman" w:hAnsi="Times New Roman"/>
                <w:color w:val="000000"/>
                <w:sz w:val="15"/>
              </w:rPr>
              <w:t>ANTER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Harvey S. Kanter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(Principal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/s/ P</w:t>
            </w:r>
            <w:r>
              <w:rPr>
                <w:rFonts w:ascii="Times New Roman" w:hAnsi="Times New Roman"/>
                <w:color w:val="000000"/>
                <w:sz w:val="15"/>
              </w:rPr>
              <w:t>ETER</w:t>
            </w:r>
            <w:r>
              <w:rPr>
                <w:rFonts w:ascii="Times New Roman" w:hAnsi="Times New Roman"/>
                <w:color w:val="000000"/>
                <w:sz w:val="20"/>
              </w:rPr>
              <w:t> H. S</w:t>
            </w:r>
            <w:r>
              <w:rPr>
                <w:rFonts w:ascii="Times New Roman" w:hAnsi="Times New Roman"/>
                <w:color w:val="000000"/>
                <w:sz w:val="15"/>
              </w:rPr>
              <w:t>TRATTON</w:t>
            </w:r>
            <w:r>
              <w:rPr>
                <w:rFonts w:ascii="Times New Roman" w:hAnsi="Times New Roman"/>
                <w:color w:val="000000"/>
                <w:sz w:val="20"/>
              </w:rPr>
              <w:t>, J</w:t>
            </w:r>
            <w:r>
              <w:rPr>
                <w:rFonts w:ascii="Times New Roman" w:hAnsi="Times New Roman"/>
                <w:color w:val="000000"/>
                <w:sz w:val="15"/>
              </w:rPr>
              <w:t>R</w:t>
            </w:r>
            <w:r>
              <w:rPr>
                <w:rFonts w:ascii="Times New Roman" w:hAnsi="Times New Roman"/>
                <w:color w:val="000000"/>
                <w:sz w:val="20"/>
              </w:rPr>
              <w: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Peter H. Stratton, Jr.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Chief Financial Officer and Treasurer (Principal Financial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OHN</w:t>
            </w:r>
            <w:r>
              <w:rPr>
                <w:rFonts w:ascii="Times New Roman" w:hAnsi="Times New Roman"/>
                <w:color w:val="000000"/>
                <w:sz w:val="20"/>
              </w:rPr>
              <w:t> F. C</w:t>
            </w:r>
            <w:r>
              <w:rPr>
                <w:rFonts w:ascii="Times New Roman" w:hAnsi="Times New Roman"/>
                <w:color w:val="000000"/>
                <w:sz w:val="15"/>
              </w:rPr>
              <w:t>OONEY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F. Cooney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of Finance, Chief Accounting Officer and Corporate Controller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/s/ L</w:t>
            </w:r>
            <w:r>
              <w:rPr>
                <w:rFonts w:ascii="Times New Roman" w:hAnsi="Times New Roman"/>
                <w:color w:val="000000"/>
                <w:sz w:val="15"/>
              </w:rPr>
              <w:t>IONEL</w:t>
            </w:r>
            <w:r>
              <w:rPr>
                <w:rFonts w:ascii="Times New Roman" w:hAnsi="Times New Roman"/>
                <w:color w:val="000000"/>
                <w:sz w:val="20"/>
              </w:rPr>
              <w:t> F. C</w:t>
            </w:r>
            <w:r>
              <w:rPr>
                <w:rFonts w:ascii="Times New Roman" w:hAnsi="Times New Roman"/>
                <w:color w:val="000000"/>
                <w:sz w:val="15"/>
              </w:rPr>
              <w:t>ONACHER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Lionel F. Conacher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C</w:t>
            </w:r>
            <w:r>
              <w:rPr>
                <w:rFonts w:ascii="Times New Roman" w:hAnsi="Times New Roman"/>
                <w:color w:val="000000"/>
                <w:sz w:val="15"/>
              </w:rPr>
              <w:t>ARMEN</w:t>
            </w:r>
            <w:r>
              <w:rPr>
                <w:rFonts w:ascii="Times New Roman" w:hAnsi="Times New Roman"/>
                <w:color w:val="000000"/>
                <w:sz w:val="20"/>
              </w:rPr>
              <w:t> B</w:t>
            </w:r>
            <w:r>
              <w:rPr>
                <w:rFonts w:ascii="Times New Roman" w:hAnsi="Times New Roman"/>
                <w:color w:val="000000"/>
                <w:sz w:val="15"/>
              </w:rPr>
              <w:t>AUZA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Carmen Bauza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ACK</w:t>
            </w:r>
            <w:r>
              <w:rPr>
                <w:rFonts w:ascii="Times New Roman" w:hAnsi="Times New Roman"/>
                <w:color w:val="000000"/>
                <w:sz w:val="20"/>
              </w:rPr>
              <w:t> B</w:t>
            </w:r>
            <w:r>
              <w:rPr>
                <w:rFonts w:ascii="Times New Roman" w:hAnsi="Times New Roman"/>
                <w:color w:val="000000"/>
                <w:sz w:val="15"/>
              </w:rPr>
              <w:t>OYLE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Jack Boyle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color w:val="000000"/>
                <w:sz w:val="20"/>
              </w:rPr>
              <w:t>/s/ W</w:t>
            </w:r>
            <w:r>
              <w:rPr>
                <w:rFonts w:ascii="Times New Roman" w:hAnsi="Times New Roman"/>
                <w:color w:val="000000"/>
                <w:sz w:val="15"/>
              </w:rPr>
              <w:t>ILLEM</w:t>
            </w:r>
            <w:r>
              <w:rPr>
                <w:rFonts w:ascii="Times New Roman" w:hAnsi="Times New Roman"/>
                <w:color w:val="000000"/>
                <w:sz w:val="20"/>
              </w:rPr>
              <w:t> M</w:t>
            </w:r>
            <w:r>
              <w:rPr>
                <w:rFonts w:ascii="Times New Roman" w:hAnsi="Times New Roman"/>
                <w:color w:val="000000"/>
                <w:sz w:val="15"/>
              </w:rPr>
              <w:t>ESDAG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Willem Mesdag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/s/ I</w:t>
            </w:r>
            <w:r>
              <w:rPr>
                <w:rFonts w:ascii="Times New Roman" w:hAnsi="Times New Roman"/>
                <w:color w:val="000000"/>
                <w:sz w:val="15"/>
              </w:rPr>
              <w:t>VY</w:t>
            </w:r>
            <w:r>
              <w:rPr>
                <w:rFonts w:ascii="Times New Roman" w:hAnsi="Times New Roman"/>
                <w:color w:val="000000"/>
                <w:sz w:val="20"/>
              </w:rPr>
              <w:t> R</w:t>
            </w:r>
            <w:r>
              <w:rPr>
                <w:rFonts w:ascii="Times New Roman" w:hAnsi="Times New Roman"/>
                <w:color w:val="000000"/>
                <w:sz w:val="15"/>
              </w:rPr>
              <w:t>OSS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Ivy Ross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9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/s/ E</w:t>
            </w:r>
            <w:r>
              <w:rPr>
                <w:rFonts w:ascii="Times New Roman" w:hAnsi="Times New Roman"/>
                <w:color w:val="000000"/>
                <w:sz w:val="15"/>
              </w:rPr>
              <w:t>LAINE</w:t>
            </w:r>
            <w:r>
              <w:rPr>
                <w:rFonts w:ascii="Times New Roman" w:hAnsi="Times New Roman"/>
                <w:color w:val="000000"/>
                <w:sz w:val="20"/>
              </w:rPr>
              <w:t> R</w:t>
            </w:r>
            <w:r>
              <w:rPr>
                <w:rFonts w:ascii="Times New Roman" w:hAnsi="Times New Roman"/>
                <w:color w:val="000000"/>
                <w:sz w:val="15"/>
              </w:rPr>
              <w:t>UBIN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Elaine Rubin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bookmarkStart w:id="46" w:name="dxlg-ex10_2.htm"/>
      <w:bookmarkStart w:id="47" w:name="ksdxlgex10_2"/>
      <w:bookmarkEnd w:id="46"/>
      <w:bookmarkEnd w:id="47"/>
      <w:r>
        <w:rPr/>
        <w:t> </w:t>
      </w:r>
      <w:r>
        <w:br w:type="page"/>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Exhibit 10.2</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8"/>
        </w:rPr>
      </w:pPr>
      <w:r>
        <w:rPr>
          <w:rFonts w:ascii="Times New Roman" w:hAnsi="Times New Roman"/>
          <w:b/>
          <w:caps/>
          <w:color w:val="000000"/>
          <w:sz w:val="28"/>
        </w:rPr>
        <w:t>DESTINATION XL GROUP, INC.</w:t>
      </w:r>
    </w:p>
    <w:p>
      <w:pPr>
        <w:pStyle w:val="TextBody"/>
        <w:bidi w:val="0"/>
        <w:jc w:val="center"/>
        <w:rPr>
          <w:rFonts w:ascii="Times New Roman" w:hAnsi="Times New Roman"/>
          <w:b/>
          <w:caps/>
          <w:color w:val="000000"/>
          <w:sz w:val="28"/>
        </w:rPr>
      </w:pPr>
      <w:r>
        <w:rPr>
          <w:rFonts w:ascii="Times New Roman" w:hAnsi="Times New Roman"/>
          <w:b/>
          <w:caps/>
          <w:color w:val="000000"/>
          <w:sz w:val="28"/>
        </w:rPr>
        <w:t>2016 INCENTIVE COMPENSATION PLAN</w:t>
      </w:r>
    </w:p>
    <w:p>
      <w:pPr>
        <w:pStyle w:val="TextBody"/>
        <w:bidi w:val="0"/>
        <w:jc w:val="center"/>
        <w:rPr>
          <w:rFonts w:ascii="Times New Roman" w:hAnsi="Times New Roman"/>
          <w:b/>
          <w:caps/>
          <w:color w:val="000000"/>
          <w:sz w:val="28"/>
        </w:rPr>
      </w:pPr>
      <w:r>
        <w:rPr>
          <w:rFonts w:ascii="Times New Roman" w:hAnsi="Times New Roman"/>
          <w:b/>
          <w:caps/>
          <w:color w:val="000000"/>
          <w:sz w:val="28"/>
        </w:rPr>
        <w:t>(as amended and restated effective NOVEMBER 2, 2023)</w:t>
      </w:r>
    </w:p>
    <w:p>
      <w:pPr>
        <w:pStyle w:val="TextBody"/>
        <w:bidi w:val="0"/>
        <w:jc w:val="left"/>
        <w:rPr/>
      </w:pPr>
      <w:r>
        <w:rPr/>
        <w:t> </w:t>
      </w:r>
    </w:p>
    <w:p>
      <w:pPr>
        <w:pStyle w:val="TextBody"/>
        <w:bidi w:val="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DESTINATION XL GROUP, INC.</w:t>
      </w:r>
    </w:p>
    <w:p>
      <w:pPr>
        <w:pStyle w:val="TextBody"/>
        <w:bidi w:val="0"/>
        <w:jc w:val="center"/>
        <w:rPr>
          <w:rFonts w:ascii="Times New Roman" w:hAnsi="Times New Roman"/>
          <w:b/>
          <w:caps/>
          <w:color w:val="000000"/>
          <w:sz w:val="24"/>
        </w:rPr>
      </w:pPr>
      <w:r>
        <w:rPr>
          <w:rFonts w:ascii="Times New Roman" w:hAnsi="Times New Roman"/>
          <w:b/>
          <w:caps/>
          <w:color w:val="000000"/>
          <w:sz w:val="24"/>
        </w:rPr>
        <w:t>2016 INCENTIVE COMPENSATION PLAN, as amended and restated August 5, 2021</w:t>
      </w:r>
    </w:p>
    <w:p>
      <w:pPr>
        <w:pStyle w:val="TextBody"/>
        <w:bidi w:val="0"/>
        <w:jc w:val="left"/>
        <w:rPr/>
      </w:pPr>
      <w:r>
        <w:rPr/>
        <w:t> </w:t>
      </w:r>
    </w:p>
    <w:tbl>
      <w:tblPr>
        <w:tblW w:w="4158" w:type="dxa"/>
        <w:jc w:val="left"/>
        <w:tblInd w:w="0" w:type="dxa"/>
        <w:tblLayout w:type="fixed"/>
        <w:tblCellMar>
          <w:top w:w="28" w:type="dxa"/>
          <w:left w:w="28" w:type="dxa"/>
          <w:bottom w:w="28" w:type="dxa"/>
          <w:right w:w="28" w:type="dxa"/>
        </w:tblCellMar>
      </w:tblPr>
      <w:tblGrid>
        <w:gridCol w:w="376"/>
        <w:gridCol w:w="3421"/>
        <w:gridCol w:w="361"/>
      </w:tblGrid>
      <w:tr>
        <w:trPr/>
        <w:tc>
          <w:tcPr>
            <w:tcW w:w="37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3421" w:type="dxa"/>
            <w:tcBorders/>
            <w:vAlign w:val="center"/>
          </w:tcPr>
          <w:p>
            <w:pPr>
              <w:pStyle w:val="TableContents"/>
              <w:bidi w:val="0"/>
              <w:spacing w:before="0" w:after="283"/>
              <w:jc w:val="left"/>
              <w:rPr/>
            </w:pPr>
            <w:hyperlink w:anchor="purpose">
              <w:r>
                <w:rPr>
                  <w:rStyle w:val="InternetLink"/>
                  <w:rFonts w:ascii="Times New Roman" w:hAnsi="Times New Roman"/>
                  <w:color w:val="0000FF"/>
                  <w:sz w:val="20"/>
                </w:rPr>
                <w:t>Purpose</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3421" w:type="dxa"/>
            <w:tcBorders/>
            <w:vAlign w:val="center"/>
          </w:tcPr>
          <w:p>
            <w:pPr>
              <w:pStyle w:val="TableContents"/>
              <w:bidi w:val="0"/>
              <w:spacing w:before="0" w:after="283"/>
              <w:jc w:val="left"/>
              <w:rPr/>
            </w:pPr>
            <w:hyperlink w:anchor="definitions">
              <w:r>
                <w:rPr>
                  <w:rStyle w:val="InternetLink"/>
                  <w:rFonts w:ascii="Times New Roman" w:hAnsi="Times New Roman"/>
                  <w:color w:val="0000FF"/>
                  <w:sz w:val="20"/>
                </w:rPr>
                <w:t>Definitions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3421" w:type="dxa"/>
            <w:tcBorders/>
            <w:vAlign w:val="center"/>
          </w:tcPr>
          <w:p>
            <w:pPr>
              <w:pStyle w:val="TableContents"/>
              <w:bidi w:val="0"/>
              <w:spacing w:before="0" w:after="283"/>
              <w:jc w:val="left"/>
              <w:rPr/>
            </w:pPr>
            <w:hyperlink w:anchor="administration">
              <w:r>
                <w:rPr>
                  <w:rStyle w:val="InternetLink"/>
                  <w:rFonts w:ascii="Times New Roman" w:hAnsi="Times New Roman"/>
                  <w:color w:val="0000FF"/>
                  <w:sz w:val="20"/>
                </w:rPr>
                <w:t>Administration</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3421" w:type="dxa"/>
            <w:tcBorders/>
            <w:vAlign w:val="center"/>
          </w:tcPr>
          <w:p>
            <w:pPr>
              <w:pStyle w:val="TableContents"/>
              <w:bidi w:val="0"/>
              <w:spacing w:before="0" w:after="283"/>
              <w:jc w:val="left"/>
              <w:rPr/>
            </w:pPr>
            <w:hyperlink w:anchor="shares_subject_to_plan">
              <w:r>
                <w:rPr>
                  <w:rStyle w:val="InternetLink"/>
                  <w:rFonts w:ascii="Times New Roman" w:hAnsi="Times New Roman"/>
                  <w:color w:val="0000FF"/>
                  <w:sz w:val="20"/>
                </w:rPr>
                <w:t>Shares Subject to Plan</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3421" w:type="dxa"/>
            <w:tcBorders/>
            <w:vAlign w:val="center"/>
          </w:tcPr>
          <w:p>
            <w:pPr>
              <w:pStyle w:val="TableContents"/>
              <w:bidi w:val="0"/>
              <w:spacing w:before="0" w:after="283"/>
              <w:jc w:val="left"/>
              <w:rPr/>
            </w:pPr>
            <w:hyperlink w:anchor="eligibility_perparticipant_limitations">
              <w:r>
                <w:rPr>
                  <w:rStyle w:val="InternetLink"/>
                  <w:rFonts w:ascii="Times New Roman" w:hAnsi="Times New Roman"/>
                  <w:color w:val="0000FF"/>
                  <w:sz w:val="20"/>
                </w:rPr>
                <w:t>Eligibility; Per-Participation Limitations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3421" w:type="dxa"/>
            <w:tcBorders/>
            <w:vAlign w:val="center"/>
          </w:tcPr>
          <w:p>
            <w:pPr>
              <w:pStyle w:val="TableContents"/>
              <w:bidi w:val="0"/>
              <w:spacing w:before="0" w:after="283"/>
              <w:jc w:val="left"/>
              <w:rPr/>
            </w:pPr>
            <w:hyperlink w:anchor="award_vesting_limitations">
              <w:r>
                <w:rPr>
                  <w:rStyle w:val="InternetLink"/>
                  <w:rFonts w:ascii="Times New Roman" w:hAnsi="Times New Roman"/>
                  <w:color w:val="0000FF"/>
                  <w:sz w:val="20"/>
                </w:rPr>
                <w:t>Award Vesting Limitations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3421" w:type="dxa"/>
            <w:tcBorders/>
            <w:vAlign w:val="center"/>
          </w:tcPr>
          <w:p>
            <w:pPr>
              <w:pStyle w:val="TableContents"/>
              <w:bidi w:val="0"/>
              <w:spacing w:before="0" w:after="283"/>
              <w:jc w:val="left"/>
              <w:rPr/>
            </w:pPr>
            <w:hyperlink w:anchor="specific_terms_of_awards">
              <w:r>
                <w:rPr>
                  <w:rStyle w:val="InternetLink"/>
                  <w:rFonts w:ascii="Times New Roman" w:hAnsi="Times New Roman"/>
                  <w:color w:val="0000FF"/>
                  <w:sz w:val="20"/>
                </w:rPr>
                <w:t>Specific Terms of Awards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3421" w:type="dxa"/>
            <w:tcBorders/>
            <w:vAlign w:val="center"/>
          </w:tcPr>
          <w:p>
            <w:pPr>
              <w:pStyle w:val="TableContents"/>
              <w:bidi w:val="0"/>
              <w:spacing w:before="0" w:after="283"/>
              <w:jc w:val="left"/>
              <w:rPr/>
            </w:pPr>
            <w:hyperlink w:anchor="certain_provisions">
              <w:r>
                <w:rPr>
                  <w:rStyle w:val="InternetLink"/>
                  <w:rFonts w:ascii="Times New Roman" w:hAnsi="Times New Roman"/>
                  <w:color w:val="0000FF"/>
                  <w:sz w:val="20"/>
                </w:rPr>
                <w:t>Certain Provisions Applicable to Awards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3421" w:type="dxa"/>
            <w:tcBorders/>
            <w:vAlign w:val="center"/>
          </w:tcPr>
          <w:p>
            <w:pPr>
              <w:pStyle w:val="TableContents"/>
              <w:bidi w:val="0"/>
              <w:spacing w:before="0" w:after="283"/>
              <w:jc w:val="left"/>
              <w:rPr/>
            </w:pPr>
            <w:hyperlink w:anchor="code_section">
              <w:r>
                <w:rPr>
                  <w:rStyle w:val="InternetLink"/>
                  <w:rFonts w:ascii="Times New Roman" w:hAnsi="Times New Roman"/>
                  <w:color w:val="0000FF"/>
                  <w:sz w:val="20"/>
                </w:rPr>
                <w:t>Code Section 162(m) Provisions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3421" w:type="dxa"/>
            <w:tcBorders/>
            <w:vAlign w:val="center"/>
          </w:tcPr>
          <w:p>
            <w:pPr>
              <w:pStyle w:val="TableContents"/>
              <w:bidi w:val="0"/>
              <w:spacing w:before="0" w:after="283"/>
              <w:jc w:val="left"/>
              <w:rPr/>
            </w:pPr>
            <w:hyperlink w:anchor="change_in_control">
              <w:r>
                <w:rPr>
                  <w:rStyle w:val="InternetLink"/>
                  <w:rFonts w:ascii="Times New Roman" w:hAnsi="Times New Roman"/>
                  <w:color w:val="0000FF"/>
                  <w:sz w:val="20"/>
                </w:rPr>
                <w:t>Change in Control</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3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3421" w:type="dxa"/>
            <w:tcBorders/>
            <w:vAlign w:val="center"/>
          </w:tcPr>
          <w:p>
            <w:pPr>
              <w:pStyle w:val="TableContents"/>
              <w:bidi w:val="0"/>
              <w:spacing w:before="0" w:after="283"/>
              <w:jc w:val="left"/>
              <w:rPr/>
            </w:pPr>
            <w:hyperlink w:anchor="general_provisions">
              <w:r>
                <w:rPr>
                  <w:rStyle w:val="InternetLink"/>
                  <w:rFonts w:ascii="Times New Roman" w:hAnsi="Times New Roman"/>
                  <w:color w:val="0000FF"/>
                  <w:sz w:val="20"/>
                </w:rPr>
                <w:t>General Provisions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bl>
    <w:p>
      <w:pPr>
        <w:pStyle w:val="TextBody"/>
        <w:bidi w:val="0"/>
        <w:jc w:val="left"/>
        <w:rPr/>
      </w:pPr>
      <w:r>
        <w:rPr/>
        <w:t> </w:t>
      </w:r>
    </w:p>
    <w:p>
      <w:pPr>
        <w:pStyle w:val="TextBody"/>
        <w:bidi w:val="0"/>
        <w:jc w:val="left"/>
        <w:rPr/>
      </w:pPr>
      <w:r>
        <w:rPr/>
        <w:t> </w:t>
      </w:r>
    </w:p>
    <w:p>
      <w:pPr>
        <w:pStyle w:val="TextBody"/>
        <w:bidi w:val="0"/>
        <w:spacing w:before="0" w:after="100"/>
        <w:jc w:val="left"/>
        <w:rPr/>
      </w:pPr>
      <w:r>
        <w:rPr/>
        <w:t> </w:t>
      </w:r>
    </w:p>
    <w:p>
      <w:pPr>
        <w:pStyle w:val="TextBody"/>
        <w:bidi w:val="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DESTINATION XL GROUP, INC.</w:t>
      </w:r>
    </w:p>
    <w:p>
      <w:pPr>
        <w:pStyle w:val="TextBody"/>
        <w:bidi w:val="0"/>
        <w:jc w:val="center"/>
        <w:rPr>
          <w:rFonts w:ascii="Times New Roman" w:hAnsi="Times New Roman"/>
          <w:b/>
          <w:color w:val="000000"/>
          <w:sz w:val="24"/>
        </w:rPr>
      </w:pPr>
      <w:r>
        <w:rPr>
          <w:rFonts w:ascii="Times New Roman" w:hAnsi="Times New Roman"/>
          <w:b/>
          <w:color w:val="000000"/>
          <w:sz w:val="24"/>
        </w:rPr>
        <w:t>2016 INCENTIVE COMPENSATION PLAN</w:t>
      </w:r>
    </w:p>
    <w:p>
      <w:pPr>
        <w:pStyle w:val="TextBody"/>
        <w:bidi w:val="0"/>
        <w:spacing w:before="240" w:after="283"/>
        <w:jc w:val="both"/>
        <w:rPr>
          <w:rFonts w:ascii="Times New Roman" w:hAnsi="Times New Roman"/>
          <w:sz w:val="20"/>
        </w:rPr>
      </w:pPr>
      <w:bookmarkStart w:id="48" w:name="purpose"/>
      <w:bookmarkEnd w:id="48"/>
      <w:r>
        <w:rPr>
          <w:rFonts w:ascii="Times New Roman" w:hAnsi="Times New Roman"/>
          <w:color w:val="000000"/>
          <w:sz w:val="20"/>
        </w:rPr>
        <w:t xml:space="preserve">1. </w:t>
      </w:r>
      <w:r>
        <w:rPr>
          <w:rFonts w:ascii="Times New Roman" w:hAnsi="Times New Roman"/>
          <w:b/>
          <w:i/>
          <w:color w:val="000000"/>
          <w:sz w:val="20"/>
        </w:rPr>
        <w:t>Purpose</w:t>
      </w:r>
      <w:r>
        <w:rPr>
          <w:rFonts w:ascii="Times New Roman" w:hAnsi="Times New Roman"/>
          <w:color w:val="000000"/>
          <w:sz w:val="20"/>
        </w:rPr>
        <w:t>. The purpose of this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August 12, 2020 and August 5, 2021.</w:t>
      </w:r>
    </w:p>
    <w:p>
      <w:pPr>
        <w:pStyle w:val="TextBody"/>
        <w:bidi w:val="0"/>
        <w:spacing w:before="240" w:after="283"/>
        <w:jc w:val="both"/>
        <w:rPr>
          <w:rFonts w:ascii="Times New Roman" w:hAnsi="Times New Roman"/>
          <w:sz w:val="20"/>
        </w:rPr>
      </w:pPr>
      <w:bookmarkStart w:id="49" w:name="definitions"/>
      <w:bookmarkEnd w:id="49"/>
      <w:r>
        <w:rPr>
          <w:rFonts w:ascii="Times New Roman" w:hAnsi="Times New Roman"/>
          <w:color w:val="000000"/>
          <w:sz w:val="20"/>
        </w:rPr>
        <w:t xml:space="preserve">2. </w:t>
      </w:r>
      <w:r>
        <w:rPr>
          <w:rFonts w:ascii="Times New Roman" w:hAnsi="Times New Roman"/>
          <w:b/>
          <w:i/>
          <w:color w:val="000000"/>
          <w:sz w:val="20"/>
        </w:rPr>
        <w:t>Definitions</w:t>
      </w:r>
      <w:r>
        <w:rPr>
          <w:rFonts w:ascii="Times New Roman" w:hAnsi="Times New Roman"/>
          <w:color w:val="000000"/>
          <w:sz w:val="20"/>
        </w:rPr>
        <w:t>. For purposes of the Plan, the following terms shall be defined as set forth below, in addition to such terms defined in Section 1 hereof and elsewhere herein.</w:t>
      </w:r>
    </w:p>
    <w:p>
      <w:pPr>
        <w:pStyle w:val="TextBody"/>
        <w:bidi w:val="0"/>
        <w:spacing w:before="240" w:after="283"/>
        <w:jc w:val="both"/>
        <w:rPr>
          <w:rFonts w:ascii="Times New Roman" w:hAnsi="Times New Roman"/>
          <w:sz w:val="20"/>
        </w:rPr>
      </w:pPr>
      <w:r>
        <w:rPr>
          <w:rFonts w:ascii="Times New Roman" w:hAnsi="Times New Roman"/>
          <w:color w:val="000000"/>
          <w:sz w:val="20"/>
        </w:rPr>
        <w:t>(a) “</w:t>
      </w:r>
      <w:r>
        <w:rPr>
          <w:rFonts w:ascii="Times New Roman" w:hAnsi="Times New Roman"/>
          <w:b/>
          <w:i/>
          <w:color w:val="000000"/>
          <w:sz w:val="20"/>
        </w:rPr>
        <w:t>Award</w:t>
      </w:r>
      <w:r>
        <w:rPr>
          <w:rFonts w:ascii="Times New Roman" w:hAnsi="Times New Roman"/>
          <w:color w:val="000000"/>
          <w:sz w:val="20"/>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pStyle w:val="TextBody"/>
        <w:bidi w:val="0"/>
        <w:spacing w:before="240" w:after="283"/>
        <w:jc w:val="both"/>
        <w:rPr>
          <w:rFonts w:ascii="Times New Roman" w:hAnsi="Times New Roman"/>
          <w:sz w:val="20"/>
        </w:rPr>
      </w:pPr>
      <w:r>
        <w:rPr>
          <w:rFonts w:ascii="Times New Roman" w:hAnsi="Times New Roman"/>
          <w:color w:val="000000"/>
          <w:sz w:val="20"/>
        </w:rPr>
        <w:t>(b) “</w:t>
      </w:r>
      <w:r>
        <w:rPr>
          <w:rFonts w:ascii="Times New Roman" w:hAnsi="Times New Roman"/>
          <w:b/>
          <w:i/>
          <w:color w:val="000000"/>
          <w:sz w:val="20"/>
        </w:rPr>
        <w:t>Award Agreement</w:t>
      </w:r>
      <w:r>
        <w:rPr>
          <w:rFonts w:ascii="Times New Roman" w:hAnsi="Times New Roman"/>
          <w:color w:val="000000"/>
          <w:sz w:val="20"/>
        </w:rPr>
        <w:t>” means any written agreement, contract or other instrument or document evidencing any Award granted by the Committee hereunder.</w:t>
      </w:r>
    </w:p>
    <w:p>
      <w:pPr>
        <w:pStyle w:val="TextBody"/>
        <w:bidi w:val="0"/>
        <w:spacing w:before="240" w:after="283"/>
        <w:jc w:val="both"/>
        <w:rPr>
          <w:rFonts w:ascii="Times New Roman" w:hAnsi="Times New Roman"/>
          <w:sz w:val="20"/>
        </w:rPr>
      </w:pPr>
      <w:r>
        <w:rPr>
          <w:rFonts w:ascii="Times New Roman" w:hAnsi="Times New Roman"/>
          <w:color w:val="000000"/>
          <w:sz w:val="20"/>
        </w:rPr>
        <w:t>(c) “</w:t>
      </w:r>
      <w:r>
        <w:rPr>
          <w:rFonts w:ascii="Times New Roman" w:hAnsi="Times New Roman"/>
          <w:b/>
          <w:i/>
          <w:color w:val="000000"/>
          <w:sz w:val="20"/>
        </w:rPr>
        <w:t>Beneficiary</w:t>
      </w:r>
      <w:r>
        <w:rPr>
          <w:rFonts w:ascii="Times New Roman" w:hAnsi="Times New Roman"/>
          <w:color w:val="000000"/>
          <w:sz w:val="20"/>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pStyle w:val="TextBody"/>
        <w:bidi w:val="0"/>
        <w:spacing w:before="240" w:after="283"/>
        <w:jc w:val="both"/>
        <w:rPr>
          <w:rFonts w:ascii="Times New Roman" w:hAnsi="Times New Roman"/>
          <w:sz w:val="20"/>
        </w:rPr>
      </w:pPr>
      <w:r>
        <w:rPr>
          <w:rFonts w:ascii="Times New Roman" w:hAnsi="Times New Roman"/>
          <w:color w:val="000000"/>
          <w:sz w:val="20"/>
        </w:rPr>
        <w:t>(d) “</w:t>
      </w:r>
      <w:r>
        <w:rPr>
          <w:rFonts w:ascii="Times New Roman" w:hAnsi="Times New Roman"/>
          <w:b/>
          <w:i/>
          <w:color w:val="000000"/>
          <w:sz w:val="20"/>
        </w:rPr>
        <w:t>Beneficial Owner</w:t>
      </w:r>
      <w:r>
        <w:rPr>
          <w:rFonts w:ascii="Times New Roman" w:hAnsi="Times New Roman"/>
          <w:color w:val="000000"/>
          <w:sz w:val="20"/>
        </w:rPr>
        <w:t>” shall have the meaning ascribed to such term in Rule 13d</w:t>
        <w:noBreakHyphen/>
        <w:t>3 under the Exchange Act and any successor to such Rule.</w:t>
      </w:r>
    </w:p>
    <w:p>
      <w:pPr>
        <w:pStyle w:val="TextBody"/>
        <w:bidi w:val="0"/>
        <w:spacing w:before="240" w:after="283"/>
        <w:jc w:val="both"/>
        <w:rPr>
          <w:rFonts w:ascii="Times New Roman" w:hAnsi="Times New Roman"/>
          <w:sz w:val="20"/>
        </w:rPr>
      </w:pPr>
      <w:r>
        <w:rPr>
          <w:rFonts w:ascii="Times New Roman" w:hAnsi="Times New Roman"/>
          <w:color w:val="000000"/>
          <w:sz w:val="20"/>
        </w:rPr>
        <w:t>(e) “</w:t>
      </w:r>
      <w:r>
        <w:rPr>
          <w:rFonts w:ascii="Times New Roman" w:hAnsi="Times New Roman"/>
          <w:b/>
          <w:i/>
          <w:color w:val="000000"/>
          <w:sz w:val="20"/>
        </w:rPr>
        <w:t>Board</w:t>
      </w:r>
      <w:r>
        <w:rPr>
          <w:rFonts w:ascii="Times New Roman" w:hAnsi="Times New Roman"/>
          <w:color w:val="000000"/>
          <w:sz w:val="20"/>
        </w:rPr>
        <w:t>” means the Company’s Board of Directors.</w:t>
      </w:r>
    </w:p>
    <w:p>
      <w:pPr>
        <w:pStyle w:val="TextBody"/>
        <w:bidi w:val="0"/>
        <w:spacing w:before="240" w:after="283"/>
        <w:jc w:val="both"/>
        <w:rPr>
          <w:rFonts w:ascii="Times New Roman" w:hAnsi="Times New Roman"/>
          <w:sz w:val="20"/>
        </w:rPr>
      </w:pPr>
      <w:r>
        <w:rPr>
          <w:rFonts w:ascii="Times New Roman" w:hAnsi="Times New Roman"/>
          <w:color w:val="000000"/>
          <w:sz w:val="20"/>
        </w:rPr>
        <w:t>(f) “</w:t>
      </w:r>
      <w:r>
        <w:rPr>
          <w:rFonts w:ascii="Times New Roman" w:hAnsi="Times New Roman"/>
          <w:b/>
          <w:i/>
          <w:color w:val="000000"/>
          <w:sz w:val="20"/>
        </w:rPr>
        <w:t>Change in Control</w:t>
      </w:r>
      <w:r>
        <w:rPr>
          <w:rFonts w:ascii="Times New Roman" w:hAnsi="Times New Roman"/>
          <w:color w:val="000000"/>
          <w:sz w:val="20"/>
        </w:rPr>
        <w:t>” means a Change in Control as defined in Section 10(b) of the Plan.</w:t>
      </w:r>
    </w:p>
    <w:p>
      <w:pPr>
        <w:pStyle w:val="TextBody"/>
        <w:bidi w:val="0"/>
        <w:spacing w:before="240" w:after="283"/>
        <w:jc w:val="both"/>
        <w:rPr>
          <w:rFonts w:ascii="Times New Roman" w:hAnsi="Times New Roman"/>
          <w:sz w:val="20"/>
        </w:rPr>
      </w:pPr>
      <w:r>
        <w:rPr>
          <w:rFonts w:ascii="Times New Roman" w:hAnsi="Times New Roman"/>
          <w:color w:val="000000"/>
          <w:sz w:val="20"/>
        </w:rPr>
        <w:t>(g) “</w:t>
      </w:r>
      <w:r>
        <w:rPr>
          <w:rFonts w:ascii="Times New Roman" w:hAnsi="Times New Roman"/>
          <w:b/>
          <w:i/>
          <w:color w:val="000000"/>
          <w:sz w:val="20"/>
        </w:rPr>
        <w:t>Code</w:t>
      </w:r>
      <w:r>
        <w:rPr>
          <w:rFonts w:ascii="Times New Roman" w:hAnsi="Times New Roman"/>
          <w:color w:val="000000"/>
          <w:sz w:val="20"/>
        </w:rPr>
        <w:t>” means the Internal Revenue Code of 1986, as amended from time to time, including regulations thereunder and successor provisions and regulations thereto.</w:t>
      </w:r>
    </w:p>
    <w:p>
      <w:pPr>
        <w:pStyle w:val="TextBody"/>
        <w:bidi w:val="0"/>
        <w:spacing w:before="240" w:after="283"/>
        <w:jc w:val="both"/>
        <w:rPr>
          <w:rFonts w:ascii="Times New Roman" w:hAnsi="Times New Roman"/>
          <w:sz w:val="20"/>
        </w:rPr>
      </w:pPr>
      <w:r>
        <w:rPr>
          <w:rFonts w:ascii="Times New Roman" w:hAnsi="Times New Roman"/>
          <w:color w:val="000000"/>
          <w:sz w:val="20"/>
        </w:rPr>
        <w:t>(h) “</w:t>
      </w:r>
      <w:r>
        <w:rPr>
          <w:rFonts w:ascii="Times New Roman" w:hAnsi="Times New Roman"/>
          <w:b/>
          <w:i/>
          <w:color w:val="000000"/>
          <w:sz w:val="20"/>
        </w:rPr>
        <w:t>Committee</w:t>
      </w:r>
      <w:r>
        <w:rPr>
          <w:rFonts w:ascii="Times New Roman" w:hAnsi="Times New Roman"/>
          <w:color w:val="000000"/>
          <w:sz w:val="20"/>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pStyle w:val="TextBody"/>
        <w:bidi w:val="0"/>
        <w:spacing w:before="240" w:after="283"/>
        <w:jc w:val="both"/>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Consultant</w:t>
      </w:r>
      <w:r>
        <w:rPr>
          <w:rFonts w:ascii="Times New Roman" w:hAnsi="Times New Roman"/>
          <w:color w:val="000000"/>
          <w:sz w:val="20"/>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pStyle w:val="TextBody"/>
        <w:bidi w:val="0"/>
        <w:spacing w:before="240" w:after="283"/>
        <w:jc w:val="both"/>
        <w:rPr>
          <w:rFonts w:ascii="Times New Roman" w:hAnsi="Times New Roman"/>
          <w:sz w:val="20"/>
        </w:rPr>
      </w:pPr>
      <w:r>
        <w:rPr>
          <w:rFonts w:ascii="Times New Roman" w:hAnsi="Times New Roman"/>
          <w:color w:val="000000"/>
          <w:sz w:val="20"/>
        </w:rPr>
        <w:t>(j) “</w:t>
      </w:r>
      <w:r>
        <w:rPr>
          <w:rFonts w:ascii="Times New Roman" w:hAnsi="Times New Roman"/>
          <w:b/>
          <w:i/>
          <w:color w:val="000000"/>
          <w:sz w:val="20"/>
        </w:rPr>
        <w:t>Continuous Service</w:t>
      </w:r>
      <w:r>
        <w:rPr>
          <w:rFonts w:ascii="Times New Roman" w:hAnsi="Times New Roman"/>
          <w:color w:val="000000"/>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otherwise provided in the Award Agreement). An approved leave of absence shall include sick leave, military leave, or any other authorized personal leave.</w:t>
      </w:r>
    </w:p>
    <w:p>
      <w:pPr>
        <w:pStyle w:val="TextBody"/>
        <w:bidi w:val="0"/>
        <w:spacing w:before="240" w:after="283"/>
        <w:jc w:val="both"/>
        <w:rPr>
          <w:rFonts w:ascii="Times New Roman" w:hAnsi="Times New Roman"/>
          <w:sz w:val="20"/>
        </w:rPr>
      </w:pPr>
      <w:r>
        <w:rPr>
          <w:rFonts w:ascii="Times New Roman" w:hAnsi="Times New Roman"/>
          <w:color w:val="000000"/>
          <w:sz w:val="20"/>
        </w:rPr>
        <w:t>(k) “</w:t>
      </w:r>
      <w:r>
        <w:rPr>
          <w:rFonts w:ascii="Times New Roman" w:hAnsi="Times New Roman"/>
          <w:b/>
          <w:i/>
          <w:color w:val="000000"/>
          <w:sz w:val="20"/>
        </w:rPr>
        <w:t>Covered Employee</w:t>
      </w:r>
      <w:r>
        <w:rPr>
          <w:rFonts w:ascii="Times New Roman" w:hAnsi="Times New Roman"/>
          <w:color w:val="000000"/>
          <w:sz w:val="20"/>
        </w:rPr>
        <w:t>” means an Eligible Person who is a “covered employee” within the meaning of Section 162(m)(3) of the Code, or any successor provision thereto.</w:t>
      </w:r>
    </w:p>
    <w:p>
      <w:pPr>
        <w:pStyle w:val="TextBody"/>
        <w:bidi w:val="0"/>
        <w:spacing w:before="240" w:after="283"/>
        <w:jc w:val="both"/>
        <w:rPr>
          <w:rFonts w:ascii="Times New Roman" w:hAnsi="Times New Roman"/>
          <w:sz w:val="20"/>
        </w:rPr>
      </w:pPr>
      <w:r>
        <w:rPr>
          <w:rFonts w:ascii="Times New Roman" w:hAnsi="Times New Roman"/>
          <w:color w:val="000000"/>
          <w:sz w:val="20"/>
        </w:rPr>
        <w:t>(l) “</w:t>
      </w:r>
      <w:r>
        <w:rPr>
          <w:rFonts w:ascii="Times New Roman" w:hAnsi="Times New Roman"/>
          <w:b/>
          <w:i/>
          <w:color w:val="000000"/>
          <w:sz w:val="20"/>
        </w:rPr>
        <w:t>Deferred Sto</w:t>
      </w:r>
      <w:r>
        <w:rPr>
          <w:rFonts w:ascii="Times New Roman" w:hAnsi="Times New Roman"/>
          <w:color w:val="000000"/>
          <w:sz w:val="20"/>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pStyle w:val="TextBody"/>
        <w:bidi w:val="0"/>
        <w:spacing w:before="240" w:after="283"/>
        <w:jc w:val="both"/>
        <w:rPr>
          <w:rFonts w:ascii="Times New Roman" w:hAnsi="Times New Roman"/>
          <w:sz w:val="20"/>
        </w:rPr>
      </w:pPr>
      <w:r>
        <w:rPr>
          <w:rFonts w:ascii="Times New Roman" w:hAnsi="Times New Roman"/>
          <w:color w:val="000000"/>
          <w:sz w:val="20"/>
        </w:rPr>
        <w:t>(m) “</w:t>
      </w:r>
      <w:r>
        <w:rPr>
          <w:rFonts w:ascii="Times New Roman" w:hAnsi="Times New Roman"/>
          <w:b/>
          <w:i/>
          <w:color w:val="000000"/>
          <w:sz w:val="20"/>
        </w:rPr>
        <w:t>Deferred Award</w:t>
      </w:r>
      <w:r>
        <w:rPr>
          <w:rFonts w:ascii="Times New Roman" w:hAnsi="Times New Roman"/>
          <w:color w:val="000000"/>
          <w:sz w:val="20"/>
        </w:rPr>
        <w:t>” means an Award of Deferred Stock or Restricted Stock Units granted to a Participant under Section 7(e) hereof.</w:t>
      </w:r>
    </w:p>
    <w:p>
      <w:pPr>
        <w:pStyle w:val="TextBody"/>
        <w:bidi w:val="0"/>
        <w:spacing w:before="240" w:after="283"/>
        <w:jc w:val="both"/>
        <w:rPr>
          <w:rFonts w:ascii="Times New Roman" w:hAnsi="Times New Roman"/>
          <w:sz w:val="20"/>
        </w:rPr>
      </w:pPr>
      <w:r>
        <w:rPr>
          <w:rFonts w:ascii="Times New Roman" w:hAnsi="Times New Roman"/>
          <w:color w:val="000000"/>
          <w:sz w:val="20"/>
        </w:rPr>
        <w:t>(n) “</w:t>
      </w:r>
      <w:r>
        <w:rPr>
          <w:rFonts w:ascii="Times New Roman" w:hAnsi="Times New Roman"/>
          <w:b/>
          <w:i/>
          <w:color w:val="000000"/>
          <w:sz w:val="20"/>
        </w:rPr>
        <w:t>Director</w:t>
      </w:r>
      <w:r>
        <w:rPr>
          <w:rFonts w:ascii="Times New Roman" w:hAnsi="Times New Roman"/>
          <w:color w:val="000000"/>
          <w:sz w:val="20"/>
        </w:rPr>
        <w:t>” means a member of the Board or the board of directors of any Related Entity.</w:t>
      </w:r>
    </w:p>
    <w:p>
      <w:pPr>
        <w:pStyle w:val="TextBody"/>
        <w:bidi w:val="0"/>
        <w:spacing w:before="240" w:after="283"/>
        <w:jc w:val="both"/>
        <w:rPr>
          <w:rFonts w:ascii="Times New Roman" w:hAnsi="Times New Roman"/>
          <w:sz w:val="20"/>
        </w:rPr>
      </w:pPr>
      <w:r>
        <w:rPr>
          <w:rFonts w:ascii="Times New Roman" w:hAnsi="Times New Roman"/>
          <w:color w:val="000000"/>
          <w:sz w:val="20"/>
        </w:rPr>
        <w:t>(o) “</w:t>
      </w:r>
      <w:r>
        <w:rPr>
          <w:rFonts w:ascii="Times New Roman" w:hAnsi="Times New Roman"/>
          <w:b/>
          <w:i/>
          <w:color w:val="000000"/>
          <w:sz w:val="20"/>
        </w:rPr>
        <w:t>Disability</w:t>
      </w:r>
      <w:r>
        <w:rPr>
          <w:rFonts w:ascii="Times New Roman" w:hAnsi="Times New Roman"/>
          <w:color w:val="000000"/>
          <w:sz w:val="20"/>
        </w:rPr>
        <w:t>” means a permanent and total disability (within the meaning of Section 22(e) of the Code), as determined by a medical doctor satisfactory to the Committee.</w:t>
      </w:r>
    </w:p>
    <w:p>
      <w:pPr>
        <w:pStyle w:val="TextBody"/>
        <w:bidi w:val="0"/>
        <w:spacing w:before="240" w:after="283"/>
        <w:jc w:val="both"/>
        <w:rPr>
          <w:rFonts w:ascii="Times New Roman" w:hAnsi="Times New Roman"/>
          <w:sz w:val="20"/>
        </w:rPr>
      </w:pPr>
      <w:r>
        <w:rPr>
          <w:rFonts w:ascii="Times New Roman" w:hAnsi="Times New Roman"/>
          <w:color w:val="000000"/>
          <w:sz w:val="20"/>
        </w:rPr>
        <w:t>(p) “</w:t>
      </w:r>
      <w:r>
        <w:rPr>
          <w:rFonts w:ascii="Times New Roman" w:hAnsi="Times New Roman"/>
          <w:b/>
          <w:i/>
          <w:color w:val="000000"/>
          <w:sz w:val="20"/>
        </w:rPr>
        <w:t>Dividend Equivalent</w:t>
      </w:r>
      <w:r>
        <w:rPr>
          <w:rFonts w:ascii="Times New Roman" w:hAnsi="Times New Roman"/>
          <w:color w:val="000000"/>
          <w:sz w:val="20"/>
        </w:rPr>
        <w:t>” means a right, granted to a Participant under Section 7(g) hereof, to receive cash, Shares, other Awards or other property equal in value to dividends paid with respect to a specified number of Shares, or other periodic payments.</w:t>
      </w:r>
    </w:p>
    <w:p>
      <w:pPr>
        <w:pStyle w:val="TextBody"/>
        <w:bidi w:val="0"/>
        <w:spacing w:before="240" w:after="283"/>
        <w:jc w:val="both"/>
        <w:rPr>
          <w:rFonts w:ascii="Times New Roman" w:hAnsi="Times New Roman"/>
          <w:sz w:val="20"/>
        </w:rPr>
      </w:pPr>
      <w:r>
        <w:rPr>
          <w:rFonts w:ascii="Times New Roman" w:hAnsi="Times New Roman"/>
          <w:color w:val="000000"/>
          <w:sz w:val="20"/>
        </w:rPr>
        <w:t>(q) “</w:t>
      </w:r>
      <w:r>
        <w:rPr>
          <w:rFonts w:ascii="Times New Roman" w:hAnsi="Times New Roman"/>
          <w:b/>
          <w:i/>
          <w:color w:val="000000"/>
          <w:sz w:val="20"/>
        </w:rPr>
        <w:t>Effective Date</w:t>
      </w:r>
      <w:r>
        <w:rPr>
          <w:rFonts w:ascii="Times New Roman" w:hAnsi="Times New Roman"/>
          <w:color w:val="000000"/>
          <w:sz w:val="20"/>
        </w:rPr>
        <w:t>” means the effective date of the Plan, which shall be the Shareholder Approval Date.</w:t>
      </w:r>
    </w:p>
    <w:p>
      <w:pPr>
        <w:pStyle w:val="TextBody"/>
        <w:bidi w:val="0"/>
        <w:spacing w:before="240" w:after="283"/>
        <w:jc w:val="both"/>
        <w:rPr>
          <w:rFonts w:ascii="Times New Roman" w:hAnsi="Times New Roman"/>
          <w:sz w:val="20"/>
        </w:rPr>
      </w:pPr>
      <w:r>
        <w:rPr>
          <w:rFonts w:ascii="Times New Roman" w:hAnsi="Times New Roman"/>
          <w:color w:val="000000"/>
          <w:sz w:val="20"/>
        </w:rPr>
        <w:t>(r) “</w:t>
      </w:r>
      <w:r>
        <w:rPr>
          <w:rFonts w:ascii="Times New Roman" w:hAnsi="Times New Roman"/>
          <w:b/>
          <w:i/>
          <w:color w:val="000000"/>
          <w:sz w:val="20"/>
        </w:rPr>
        <w:t>Eligible Person</w:t>
      </w:r>
      <w:r>
        <w:rPr>
          <w:rFonts w:ascii="Times New Roman" w:hAnsi="Times New Roman"/>
          <w:color w:val="000000"/>
          <w:sz w:val="20"/>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pStyle w:val="TextBody"/>
        <w:bidi w:val="0"/>
        <w:spacing w:before="240" w:after="283"/>
        <w:jc w:val="both"/>
        <w:rPr>
          <w:rFonts w:ascii="Times New Roman" w:hAnsi="Times New Roman"/>
          <w:sz w:val="20"/>
        </w:rPr>
      </w:pPr>
      <w:r>
        <w:rPr>
          <w:rFonts w:ascii="Times New Roman" w:hAnsi="Times New Roman"/>
          <w:color w:val="000000"/>
          <w:sz w:val="20"/>
        </w:rPr>
        <w:t>(s) “</w:t>
      </w:r>
      <w:r>
        <w:rPr>
          <w:rFonts w:ascii="Times New Roman" w:hAnsi="Times New Roman"/>
          <w:b/>
          <w:i/>
          <w:color w:val="000000"/>
          <w:sz w:val="20"/>
        </w:rPr>
        <w:t>Employee</w:t>
      </w:r>
      <w:r>
        <w:rPr>
          <w:rFonts w:ascii="Times New Roman" w:hAnsi="Times New Roman"/>
          <w:color w:val="000000"/>
          <w:sz w:val="20"/>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pStyle w:val="TextBody"/>
        <w:bidi w:val="0"/>
        <w:spacing w:before="240" w:after="283"/>
        <w:jc w:val="both"/>
        <w:rPr>
          <w:rFonts w:ascii="Times New Roman" w:hAnsi="Times New Roman"/>
          <w:sz w:val="20"/>
        </w:rPr>
      </w:pPr>
      <w:r>
        <w:rPr>
          <w:rFonts w:ascii="Times New Roman" w:hAnsi="Times New Roman"/>
          <w:color w:val="000000"/>
          <w:sz w:val="20"/>
        </w:rPr>
        <w:t>(t) “</w:t>
      </w:r>
      <w:r>
        <w:rPr>
          <w:rFonts w:ascii="Times New Roman" w:hAnsi="Times New Roman"/>
          <w:b/>
          <w:i/>
          <w:color w:val="000000"/>
          <w:sz w:val="20"/>
        </w:rPr>
        <w:t>Exchange Act</w:t>
      </w:r>
      <w:r>
        <w:rPr>
          <w:rFonts w:ascii="Times New Roman" w:hAnsi="Times New Roman"/>
          <w:color w:val="000000"/>
          <w:sz w:val="20"/>
        </w:rPr>
        <w:t>” means the Securities Exchange Act of 1934, as amended from time to time, including rules thereunder and successor provisions and rules thereto.</w:t>
      </w:r>
    </w:p>
    <w:p>
      <w:pPr>
        <w:pStyle w:val="TextBody"/>
        <w:bidi w:val="0"/>
        <w:spacing w:before="240" w:after="283"/>
        <w:jc w:val="both"/>
        <w:rPr>
          <w:rFonts w:ascii="Times New Roman" w:hAnsi="Times New Roman"/>
          <w:sz w:val="20"/>
        </w:rPr>
      </w:pPr>
      <w:r>
        <w:rPr>
          <w:rFonts w:ascii="Times New Roman" w:hAnsi="Times New Roman"/>
          <w:color w:val="000000"/>
          <w:sz w:val="20"/>
        </w:rPr>
        <w:t>(u) “</w:t>
      </w:r>
      <w:r>
        <w:rPr>
          <w:rFonts w:ascii="Times New Roman" w:hAnsi="Times New Roman"/>
          <w:b/>
          <w:i/>
          <w:color w:val="000000"/>
          <w:sz w:val="20"/>
        </w:rPr>
        <w:t>Fair Market Value</w:t>
      </w:r>
      <w:r>
        <w:rPr>
          <w:rFonts w:ascii="Times New Roman" w:hAnsi="Times New Roman"/>
          <w:color w:val="000000"/>
          <w:sz w:val="20"/>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pStyle w:val="TextBody"/>
        <w:bidi w:val="0"/>
        <w:spacing w:before="240" w:after="283"/>
        <w:jc w:val="both"/>
        <w:rPr>
          <w:rFonts w:ascii="Times New Roman" w:hAnsi="Times New Roman"/>
          <w:sz w:val="20"/>
        </w:rPr>
      </w:pPr>
      <w:r>
        <w:rPr>
          <w:rFonts w:ascii="Times New Roman" w:hAnsi="Times New Roman"/>
          <w:color w:val="000000"/>
          <w:sz w:val="20"/>
        </w:rPr>
        <w:t>(v) “</w:t>
      </w:r>
      <w:r>
        <w:rPr>
          <w:rFonts w:ascii="Times New Roman" w:hAnsi="Times New Roman"/>
          <w:b/>
          <w:i/>
          <w:color w:val="000000"/>
          <w:sz w:val="20"/>
        </w:rPr>
        <w:t>Full Value Award</w:t>
      </w:r>
      <w:r>
        <w:rPr>
          <w:rFonts w:ascii="Times New Roman" w:hAnsi="Times New Roman"/>
          <w:color w:val="000000"/>
          <w:sz w:val="20"/>
        </w:rPr>
        <w:t>” means any Award other than an option or a Stock Appreciation Right and that is settled in Shares.</w:t>
      </w:r>
    </w:p>
    <w:p>
      <w:pPr>
        <w:pStyle w:val="TextBody"/>
        <w:bidi w:val="0"/>
        <w:spacing w:before="240" w:after="283"/>
        <w:jc w:val="both"/>
        <w:rPr>
          <w:rFonts w:ascii="Times New Roman" w:hAnsi="Times New Roman"/>
          <w:sz w:val="20"/>
        </w:rPr>
      </w:pPr>
      <w:r>
        <w:rPr>
          <w:rFonts w:ascii="Times New Roman" w:hAnsi="Times New Roman"/>
          <w:color w:val="000000"/>
          <w:sz w:val="20"/>
        </w:rPr>
        <w:t>(w) “</w:t>
      </w:r>
      <w:r>
        <w:rPr>
          <w:rFonts w:ascii="Times New Roman" w:hAnsi="Times New Roman"/>
          <w:b/>
          <w:i/>
          <w:color w:val="000000"/>
          <w:sz w:val="20"/>
        </w:rPr>
        <w:t>Good Reason</w:t>
      </w:r>
      <w:r>
        <w:rPr>
          <w:rFonts w:ascii="Times New Roman" w:hAnsi="Times New Roman"/>
          <w:color w:val="000000"/>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pStyle w:val="TextBody"/>
        <w:bidi w:val="0"/>
        <w:spacing w:before="240" w:after="283"/>
        <w:jc w:val="both"/>
        <w:rPr>
          <w:rFonts w:ascii="Times New Roman" w:hAnsi="Times New Roman"/>
          <w:sz w:val="20"/>
        </w:rPr>
      </w:pPr>
      <w:r>
        <w:rPr>
          <w:rFonts w:ascii="Times New Roman" w:hAnsi="Times New Roman"/>
          <w:color w:val="000000"/>
          <w:sz w:val="20"/>
        </w:rPr>
        <w:t>(x) “</w:t>
      </w:r>
      <w:r>
        <w:rPr>
          <w:rFonts w:ascii="Times New Roman" w:hAnsi="Times New Roman"/>
          <w:b/>
          <w:i/>
          <w:color w:val="000000"/>
          <w:sz w:val="20"/>
        </w:rPr>
        <w:t>Incentive Stock Option</w:t>
      </w:r>
      <w:r>
        <w:rPr>
          <w:rFonts w:ascii="Times New Roman" w:hAnsi="Times New Roman"/>
          <w:color w:val="000000"/>
          <w:sz w:val="20"/>
        </w:rPr>
        <w:t>” means any Option intended to be designated as an incentive stock option within the meaning of Section 422 of the Code or any successor provision thereto.</w:t>
      </w:r>
    </w:p>
    <w:p>
      <w:pPr>
        <w:pStyle w:val="TextBody"/>
        <w:bidi w:val="0"/>
        <w:spacing w:before="240" w:after="283"/>
        <w:jc w:val="both"/>
        <w:rPr>
          <w:rFonts w:ascii="Times New Roman" w:hAnsi="Times New Roman"/>
          <w:sz w:val="20"/>
        </w:rPr>
      </w:pPr>
      <w:r>
        <w:rPr>
          <w:rFonts w:ascii="Times New Roman" w:hAnsi="Times New Roman"/>
          <w:color w:val="000000"/>
          <w:sz w:val="20"/>
        </w:rPr>
        <w:t>(y) “</w:t>
      </w:r>
      <w:r>
        <w:rPr>
          <w:rFonts w:ascii="Times New Roman" w:hAnsi="Times New Roman"/>
          <w:b/>
          <w:i/>
          <w:color w:val="000000"/>
          <w:sz w:val="20"/>
        </w:rPr>
        <w:t>Independent</w:t>
      </w:r>
      <w:r>
        <w:rPr>
          <w:rFonts w:ascii="Times New Roman" w:hAnsi="Times New Roman"/>
          <w:color w:val="000000"/>
          <w:sz w:val="20"/>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pStyle w:val="TextBody"/>
        <w:bidi w:val="0"/>
        <w:spacing w:before="240" w:after="283"/>
        <w:jc w:val="both"/>
        <w:rPr>
          <w:rFonts w:ascii="Times New Roman" w:hAnsi="Times New Roman"/>
          <w:sz w:val="20"/>
        </w:rPr>
      </w:pPr>
      <w:r>
        <w:rPr>
          <w:rFonts w:ascii="Times New Roman" w:hAnsi="Times New Roman"/>
          <w:color w:val="000000"/>
          <w:sz w:val="20"/>
        </w:rPr>
        <w:t>(z) “</w:t>
      </w:r>
      <w:r>
        <w:rPr>
          <w:rFonts w:ascii="Times New Roman" w:hAnsi="Times New Roman"/>
          <w:b/>
          <w:i/>
          <w:color w:val="000000"/>
          <w:sz w:val="20"/>
        </w:rPr>
        <w:t>Incumbent Board</w:t>
      </w:r>
      <w:r>
        <w:rPr>
          <w:rFonts w:ascii="Times New Roman" w:hAnsi="Times New Roman"/>
          <w:color w:val="000000"/>
          <w:sz w:val="20"/>
        </w:rPr>
        <w:t>” means the Incumbent Board as defined in Section 10(b)(ii) of the Plan.</w:t>
      </w:r>
    </w:p>
    <w:p>
      <w:pPr>
        <w:pStyle w:val="TextBody"/>
        <w:bidi w:val="0"/>
        <w:spacing w:before="240" w:after="283"/>
        <w:jc w:val="both"/>
        <w:rPr>
          <w:rFonts w:ascii="Times New Roman" w:hAnsi="Times New Roman"/>
          <w:sz w:val="20"/>
        </w:rPr>
      </w:pPr>
      <w:r>
        <w:rPr>
          <w:rFonts w:ascii="Times New Roman" w:hAnsi="Times New Roman"/>
          <w:color w:val="000000"/>
          <w:sz w:val="20"/>
        </w:rPr>
        <w:t>(aa) “</w:t>
      </w:r>
      <w:r>
        <w:rPr>
          <w:rFonts w:ascii="Times New Roman" w:hAnsi="Times New Roman"/>
          <w:b/>
          <w:i/>
          <w:color w:val="000000"/>
          <w:sz w:val="20"/>
        </w:rPr>
        <w:t>Justifiable Cause</w:t>
      </w:r>
      <w:r>
        <w:rPr>
          <w:rFonts w:ascii="Times New Roman" w:hAnsi="Times New Roman"/>
          <w:color w:val="000000"/>
          <w:sz w:val="20"/>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pStyle w:val="TextBody"/>
        <w:bidi w:val="0"/>
        <w:spacing w:before="240" w:after="283"/>
        <w:jc w:val="both"/>
        <w:rPr>
          <w:rFonts w:ascii="Times New Roman" w:hAnsi="Times New Roman"/>
          <w:sz w:val="20"/>
        </w:rPr>
      </w:pPr>
      <w:r>
        <w:rPr>
          <w:rFonts w:ascii="Times New Roman" w:hAnsi="Times New Roman"/>
          <w:color w:val="000000"/>
          <w:sz w:val="20"/>
        </w:rPr>
        <w:t>(bb) “</w:t>
      </w:r>
      <w:r>
        <w:rPr>
          <w:rFonts w:ascii="Times New Roman" w:hAnsi="Times New Roman"/>
          <w:b/>
          <w:i/>
          <w:color w:val="000000"/>
          <w:sz w:val="20"/>
        </w:rPr>
        <w:t>Listing Market</w:t>
      </w:r>
      <w:r>
        <w:rPr>
          <w:rFonts w:ascii="Times New Roman" w:hAnsi="Times New Roman"/>
          <w:color w:val="000000"/>
          <w:sz w:val="20"/>
        </w:rPr>
        <w:t>” means the Nasdaq Stock Market or any national securities exchange on which the Company’s securities are listed for trading and, if not listed for trading on the Nasdaq Stock Market or a national securities exchange, then the Nasdaq Stock Market.</w:t>
      </w:r>
    </w:p>
    <w:p>
      <w:pPr>
        <w:pStyle w:val="TextBody"/>
        <w:bidi w:val="0"/>
        <w:spacing w:before="240" w:after="283"/>
        <w:jc w:val="both"/>
        <w:rPr>
          <w:rFonts w:ascii="Times New Roman" w:hAnsi="Times New Roman"/>
          <w:sz w:val="20"/>
        </w:rPr>
      </w:pPr>
      <w:r>
        <w:rPr>
          <w:rFonts w:ascii="Times New Roman" w:hAnsi="Times New Roman"/>
          <w:color w:val="000000"/>
          <w:sz w:val="20"/>
        </w:rPr>
        <w:t>(cc) “</w:t>
      </w:r>
      <w:r>
        <w:rPr>
          <w:rFonts w:ascii="Times New Roman" w:hAnsi="Times New Roman"/>
          <w:b/>
          <w:i/>
          <w:color w:val="000000"/>
          <w:sz w:val="20"/>
        </w:rPr>
        <w:t>Option</w:t>
      </w:r>
      <w:r>
        <w:rPr>
          <w:rFonts w:ascii="Times New Roman" w:hAnsi="Times New Roman"/>
          <w:color w:val="000000"/>
          <w:sz w:val="20"/>
        </w:rPr>
        <w:t>” means a right granted to a Participant under Section 7(b) hereof, to purchase Shares or other Awards at a specified price during specified time periods.</w:t>
      </w:r>
    </w:p>
    <w:p>
      <w:pPr>
        <w:pStyle w:val="TextBody"/>
        <w:bidi w:val="0"/>
        <w:spacing w:before="240" w:after="283"/>
        <w:jc w:val="both"/>
        <w:rPr>
          <w:rFonts w:ascii="Times New Roman" w:hAnsi="Times New Roman"/>
          <w:sz w:val="20"/>
        </w:rPr>
      </w:pPr>
      <w:r>
        <w:rPr>
          <w:rFonts w:ascii="Times New Roman" w:hAnsi="Times New Roman"/>
          <w:color w:val="000000"/>
          <w:sz w:val="20"/>
        </w:rPr>
        <w:t>(dd) “</w:t>
      </w:r>
      <w:r>
        <w:rPr>
          <w:rFonts w:ascii="Times New Roman" w:hAnsi="Times New Roman"/>
          <w:b/>
          <w:i/>
          <w:color w:val="000000"/>
          <w:sz w:val="20"/>
        </w:rPr>
        <w:t>Optionee</w:t>
      </w:r>
      <w:r>
        <w:rPr>
          <w:rFonts w:ascii="Times New Roman" w:hAnsi="Times New Roman"/>
          <w:color w:val="000000"/>
          <w:sz w:val="20"/>
        </w:rPr>
        <w:t>” means a person to whom an Option is granted under this Plan or any person who succeeds to the rights of such person under this Plan.</w:t>
      </w:r>
    </w:p>
    <w:p>
      <w:pPr>
        <w:pStyle w:val="TextBody"/>
        <w:bidi w:val="0"/>
        <w:spacing w:before="240" w:after="283"/>
        <w:jc w:val="both"/>
        <w:rPr>
          <w:rFonts w:ascii="Times New Roman" w:hAnsi="Times New Roman"/>
          <w:sz w:val="20"/>
        </w:rPr>
      </w:pPr>
      <w:r>
        <w:rPr>
          <w:rFonts w:ascii="Times New Roman" w:hAnsi="Times New Roman"/>
          <w:color w:val="000000"/>
          <w:sz w:val="20"/>
        </w:rPr>
        <w:t>(ee) “</w:t>
      </w:r>
      <w:r>
        <w:rPr>
          <w:rFonts w:ascii="Times New Roman" w:hAnsi="Times New Roman"/>
          <w:b/>
          <w:i/>
          <w:color w:val="000000"/>
          <w:sz w:val="20"/>
        </w:rPr>
        <w:t>Other Stock-Based Awards</w:t>
      </w:r>
      <w:r>
        <w:rPr>
          <w:rFonts w:ascii="Times New Roman" w:hAnsi="Times New Roman"/>
          <w:color w:val="000000"/>
          <w:sz w:val="20"/>
        </w:rPr>
        <w:t>” means Awards granted to a Participant under Section 7(i) hereof.</w:t>
      </w:r>
    </w:p>
    <w:p>
      <w:pPr>
        <w:pStyle w:val="TextBody"/>
        <w:bidi w:val="0"/>
        <w:spacing w:before="240" w:after="283"/>
        <w:jc w:val="both"/>
        <w:rPr>
          <w:rFonts w:ascii="Times New Roman" w:hAnsi="Times New Roman"/>
          <w:sz w:val="20"/>
        </w:rPr>
      </w:pPr>
      <w:r>
        <w:rPr>
          <w:rFonts w:ascii="Times New Roman" w:hAnsi="Times New Roman"/>
          <w:color w:val="000000"/>
          <w:sz w:val="20"/>
        </w:rPr>
        <w:t>(ff) “</w:t>
      </w:r>
      <w:r>
        <w:rPr>
          <w:rFonts w:ascii="Times New Roman" w:hAnsi="Times New Roman"/>
          <w:b/>
          <w:i/>
          <w:color w:val="000000"/>
          <w:sz w:val="20"/>
        </w:rPr>
        <w:t>Participant</w:t>
      </w:r>
      <w:r>
        <w:rPr>
          <w:rFonts w:ascii="Times New Roman" w:hAnsi="Times New Roman"/>
          <w:color w:val="000000"/>
          <w:sz w:val="20"/>
        </w:rPr>
        <w:t>” means a person who has been granted an Award under the Plan which remains outstanding, including a person who is no longer an Eligible Person.</w:t>
      </w:r>
    </w:p>
    <w:p>
      <w:pPr>
        <w:pStyle w:val="TextBody"/>
        <w:bidi w:val="0"/>
        <w:spacing w:before="240" w:after="283"/>
        <w:jc w:val="both"/>
        <w:rPr>
          <w:rFonts w:ascii="Times New Roman" w:hAnsi="Times New Roman"/>
          <w:sz w:val="20"/>
        </w:rPr>
      </w:pPr>
      <w:r>
        <w:rPr>
          <w:rFonts w:ascii="Times New Roman" w:hAnsi="Times New Roman"/>
          <w:color w:val="000000"/>
          <w:sz w:val="20"/>
        </w:rPr>
        <w:t>(gg) “</w:t>
      </w:r>
      <w:r>
        <w:rPr>
          <w:rFonts w:ascii="Times New Roman" w:hAnsi="Times New Roman"/>
          <w:b/>
          <w:i/>
          <w:color w:val="000000"/>
          <w:sz w:val="20"/>
        </w:rPr>
        <w:t>Performance Award</w:t>
      </w:r>
      <w:r>
        <w:rPr>
          <w:rFonts w:ascii="Times New Roman" w:hAnsi="Times New Roman"/>
          <w:color w:val="000000"/>
          <w:sz w:val="20"/>
        </w:rPr>
        <w:t>” means any Award of Performance Shares or Performance Units granted pursuant to Section 7(h).</w:t>
      </w:r>
    </w:p>
    <w:p>
      <w:pPr>
        <w:pStyle w:val="TextBody"/>
        <w:bidi w:val="0"/>
        <w:spacing w:before="240" w:after="283"/>
        <w:jc w:val="both"/>
        <w:rPr>
          <w:rFonts w:ascii="Times New Roman" w:hAnsi="Times New Roman"/>
          <w:sz w:val="20"/>
        </w:rPr>
      </w:pPr>
      <w:r>
        <w:rPr>
          <w:rFonts w:ascii="Times New Roman" w:hAnsi="Times New Roman"/>
          <w:color w:val="000000"/>
          <w:sz w:val="20"/>
        </w:rPr>
        <w:t>(hh) “</w:t>
      </w:r>
      <w:r>
        <w:rPr>
          <w:rFonts w:ascii="Times New Roman" w:hAnsi="Times New Roman"/>
          <w:b/>
          <w:i/>
          <w:color w:val="000000"/>
          <w:sz w:val="20"/>
        </w:rPr>
        <w:t>Performance Period</w:t>
      </w:r>
      <w:r>
        <w:rPr>
          <w:rFonts w:ascii="Times New Roman" w:hAnsi="Times New Roman"/>
          <w:color w:val="000000"/>
          <w:sz w:val="20"/>
        </w:rPr>
        <w:t>” means that period established by the Committee at the time any Performance Award is granted or at any time thereafter during which any performance goals specified by the Committee with respect to such Award are to be measured.</w:t>
      </w:r>
    </w:p>
    <w:p>
      <w:pPr>
        <w:pStyle w:val="TextBody"/>
        <w:bidi w:val="0"/>
        <w:spacing w:before="240" w:after="283"/>
        <w:jc w:val="both"/>
        <w:rPr>
          <w:rFonts w:ascii="Times New Roman" w:hAnsi="Times New Roman"/>
          <w:sz w:val="20"/>
        </w:rPr>
      </w:pPr>
      <w:r>
        <w:rPr>
          <w:rFonts w:ascii="Times New Roman" w:hAnsi="Times New Roman"/>
          <w:color w:val="000000"/>
          <w:sz w:val="20"/>
        </w:rPr>
        <w:t>(ii) “</w:t>
      </w:r>
      <w:r>
        <w:rPr>
          <w:rFonts w:ascii="Times New Roman" w:hAnsi="Times New Roman"/>
          <w:b/>
          <w:i/>
          <w:color w:val="000000"/>
          <w:sz w:val="20"/>
        </w:rPr>
        <w:t>Performance Share</w:t>
      </w:r>
      <w:r>
        <w:rPr>
          <w:rFonts w:ascii="Times New Roman" w:hAnsi="Times New Roman"/>
          <w:color w:val="000000"/>
          <w:sz w:val="20"/>
        </w:rPr>
        <w:t xml:space="preserve">” means any grant pursuant to Section 7(h) of a unit valued by reference to a designated number of Shares, which value may be paid to the Participant by delivery of such property as the Committee shall determine, including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Shares, other property, or any combination thereof, upon achievement of such performance goals during the Performance Period as the Committee shall establish at the time of such grant or thereafter.</w:t>
      </w:r>
    </w:p>
    <w:p>
      <w:pPr>
        <w:pStyle w:val="TextBody"/>
        <w:bidi w:val="0"/>
        <w:spacing w:before="240" w:after="283"/>
        <w:jc w:val="both"/>
        <w:rPr>
          <w:rFonts w:ascii="Times New Roman" w:hAnsi="Times New Roman"/>
          <w:sz w:val="20"/>
        </w:rPr>
      </w:pPr>
      <w:r>
        <w:rPr>
          <w:rFonts w:ascii="Times New Roman" w:hAnsi="Times New Roman"/>
          <w:color w:val="000000"/>
          <w:sz w:val="20"/>
        </w:rPr>
        <w:t>(jj) “</w:t>
      </w:r>
      <w:r>
        <w:rPr>
          <w:rFonts w:ascii="Times New Roman" w:hAnsi="Times New Roman"/>
          <w:b/>
          <w:i/>
          <w:color w:val="000000"/>
          <w:sz w:val="20"/>
        </w:rPr>
        <w:t>Performance Unit</w:t>
      </w:r>
      <w:r>
        <w:rPr>
          <w:rFonts w:ascii="Times New Roman" w:hAnsi="Times New Roman"/>
          <w:color w:val="000000"/>
          <w:sz w:val="20"/>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pStyle w:val="TextBody"/>
        <w:bidi w:val="0"/>
        <w:spacing w:before="240" w:after="283"/>
        <w:jc w:val="both"/>
        <w:rPr>
          <w:rFonts w:ascii="Times New Roman" w:hAnsi="Times New Roman"/>
          <w:sz w:val="20"/>
        </w:rPr>
      </w:pPr>
      <w:r>
        <w:rPr>
          <w:rFonts w:ascii="Times New Roman" w:hAnsi="Times New Roman"/>
          <w:color w:val="000000"/>
          <w:sz w:val="20"/>
        </w:rPr>
        <w:t>(kk) “</w:t>
      </w:r>
      <w:r>
        <w:rPr>
          <w:rFonts w:ascii="Times New Roman" w:hAnsi="Times New Roman"/>
          <w:b/>
          <w:i/>
          <w:color w:val="000000"/>
          <w:sz w:val="20"/>
        </w:rPr>
        <w:t>Person</w:t>
      </w:r>
      <w:r>
        <w:rPr>
          <w:rFonts w:ascii="Times New Roman" w:hAnsi="Times New Roman"/>
          <w:color w:val="000000"/>
          <w:sz w:val="20"/>
        </w:rPr>
        <w:t>” shall have the meaning ascribed to such term in Section 3(a)(9) of the Exchange Act and used in Sections 13(d) and 14(d) thereof, and shall include a “group” as defined in Section 13(d) thereof.</w:t>
      </w:r>
    </w:p>
    <w:p>
      <w:pPr>
        <w:pStyle w:val="TextBody"/>
        <w:bidi w:val="0"/>
        <w:spacing w:before="240" w:after="283"/>
        <w:jc w:val="both"/>
        <w:rPr>
          <w:rFonts w:ascii="Times New Roman" w:hAnsi="Times New Roman"/>
          <w:sz w:val="20"/>
        </w:rPr>
      </w:pPr>
      <w:r>
        <w:rPr>
          <w:rFonts w:ascii="Times New Roman" w:hAnsi="Times New Roman"/>
          <w:color w:val="000000"/>
          <w:sz w:val="20"/>
        </w:rPr>
        <w:t>(ll) “</w:t>
      </w:r>
      <w:r>
        <w:rPr>
          <w:rFonts w:ascii="Times New Roman" w:hAnsi="Times New Roman"/>
          <w:b/>
          <w:i/>
          <w:color w:val="000000"/>
          <w:sz w:val="20"/>
        </w:rPr>
        <w:t>Prior Plan</w:t>
      </w:r>
      <w:r>
        <w:rPr>
          <w:rFonts w:ascii="Times New Roman" w:hAnsi="Times New Roman"/>
          <w:color w:val="000000"/>
          <w:sz w:val="20"/>
        </w:rPr>
        <w:t>” means the Company’s 2006 Incentive Compensation Plan.</w:t>
      </w:r>
    </w:p>
    <w:p>
      <w:pPr>
        <w:pStyle w:val="TextBody"/>
        <w:bidi w:val="0"/>
        <w:spacing w:before="240" w:after="283"/>
        <w:jc w:val="both"/>
        <w:rPr>
          <w:rFonts w:ascii="Times New Roman" w:hAnsi="Times New Roman"/>
          <w:sz w:val="20"/>
        </w:rPr>
      </w:pPr>
      <w:r>
        <w:rPr>
          <w:rFonts w:ascii="Times New Roman" w:hAnsi="Times New Roman"/>
          <w:color w:val="000000"/>
          <w:sz w:val="20"/>
        </w:rPr>
        <w:t>(mm) “</w:t>
      </w:r>
      <w:r>
        <w:rPr>
          <w:rFonts w:ascii="Times New Roman" w:hAnsi="Times New Roman"/>
          <w:b/>
          <w:i/>
          <w:color w:val="000000"/>
          <w:sz w:val="20"/>
        </w:rPr>
        <w:t>Related Entity</w:t>
      </w:r>
      <w:r>
        <w:rPr>
          <w:rFonts w:ascii="Times New Roman" w:hAnsi="Times New Roman"/>
          <w:color w:val="000000"/>
          <w:sz w:val="20"/>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pStyle w:val="TextBody"/>
        <w:bidi w:val="0"/>
        <w:spacing w:before="240" w:after="283"/>
        <w:jc w:val="both"/>
        <w:rPr>
          <w:rFonts w:ascii="Times New Roman" w:hAnsi="Times New Roman"/>
          <w:sz w:val="20"/>
        </w:rPr>
      </w:pPr>
      <w:r>
        <w:rPr>
          <w:rFonts w:ascii="Times New Roman" w:hAnsi="Times New Roman"/>
          <w:color w:val="000000"/>
          <w:sz w:val="20"/>
        </w:rPr>
        <w:t>(nn) “</w:t>
      </w:r>
      <w:r>
        <w:rPr>
          <w:rFonts w:ascii="Times New Roman" w:hAnsi="Times New Roman"/>
          <w:b/>
          <w:i/>
          <w:color w:val="000000"/>
          <w:sz w:val="20"/>
        </w:rPr>
        <w:t>Restricted Stock</w:t>
      </w:r>
      <w:r>
        <w:rPr>
          <w:rFonts w:ascii="Times New Roman" w:hAnsi="Times New Roman"/>
          <w:color w:val="000000"/>
          <w:sz w:val="20"/>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pStyle w:val="TextBody"/>
        <w:bidi w:val="0"/>
        <w:spacing w:before="240" w:after="283"/>
        <w:jc w:val="both"/>
        <w:rPr>
          <w:rFonts w:ascii="Times New Roman" w:hAnsi="Times New Roman"/>
          <w:sz w:val="20"/>
        </w:rPr>
      </w:pPr>
      <w:r>
        <w:rPr>
          <w:rFonts w:ascii="Times New Roman" w:hAnsi="Times New Roman"/>
          <w:color w:val="000000"/>
          <w:sz w:val="20"/>
        </w:rPr>
        <w:t>(oo) “</w:t>
      </w:r>
      <w:r>
        <w:rPr>
          <w:rFonts w:ascii="Times New Roman" w:hAnsi="Times New Roman"/>
          <w:b/>
          <w:i/>
          <w:color w:val="000000"/>
          <w:sz w:val="20"/>
        </w:rPr>
        <w:t>Restricted Stock Award</w:t>
      </w:r>
      <w:r>
        <w:rPr>
          <w:rFonts w:ascii="Times New Roman" w:hAnsi="Times New Roman"/>
          <w:color w:val="000000"/>
          <w:sz w:val="20"/>
        </w:rPr>
        <w:t>” means an Award of Restricted Stock granted to a Participant under Section 7(d) hereof.</w:t>
      </w:r>
    </w:p>
    <w:p>
      <w:pPr>
        <w:pStyle w:val="TextBody"/>
        <w:bidi w:val="0"/>
        <w:spacing w:before="240" w:after="283"/>
        <w:jc w:val="both"/>
        <w:rPr>
          <w:rFonts w:ascii="Times New Roman" w:hAnsi="Times New Roman"/>
          <w:sz w:val="20"/>
        </w:rPr>
      </w:pPr>
      <w:r>
        <w:rPr>
          <w:rFonts w:ascii="Times New Roman" w:hAnsi="Times New Roman"/>
          <w:color w:val="000000"/>
          <w:sz w:val="20"/>
        </w:rPr>
        <w:t>(pp) “</w:t>
      </w:r>
      <w:r>
        <w:rPr>
          <w:rFonts w:ascii="Times New Roman" w:hAnsi="Times New Roman"/>
          <w:b/>
          <w:i/>
          <w:color w:val="000000"/>
          <w:sz w:val="20"/>
        </w:rPr>
        <w:t>Restricted Stock Unit</w:t>
      </w:r>
      <w:r>
        <w:rPr>
          <w:rFonts w:ascii="Times New Roman" w:hAnsi="Times New Roman"/>
          <w:color w:val="000000"/>
          <w:sz w:val="20"/>
        </w:rPr>
        <w:t>” means a right to receive Shares, including Restricted Stock, cash measured based upon the value of Shares or a combination thereof, at the end of a specified deferral period, which right is subject to a risk of forfeiture.</w:t>
      </w:r>
    </w:p>
    <w:p>
      <w:pPr>
        <w:pStyle w:val="TextBody"/>
        <w:bidi w:val="0"/>
        <w:spacing w:before="240" w:after="283"/>
        <w:jc w:val="both"/>
        <w:rPr>
          <w:rFonts w:ascii="Times New Roman" w:hAnsi="Times New Roman"/>
          <w:sz w:val="20"/>
        </w:rPr>
      </w:pPr>
      <w:r>
        <w:rPr>
          <w:rFonts w:ascii="Times New Roman" w:hAnsi="Times New Roman"/>
          <w:color w:val="000000"/>
          <w:sz w:val="20"/>
        </w:rPr>
        <w:t>(qq) “</w:t>
      </w:r>
      <w:r>
        <w:rPr>
          <w:rFonts w:ascii="Times New Roman" w:hAnsi="Times New Roman"/>
          <w:b/>
          <w:i/>
          <w:color w:val="000000"/>
          <w:sz w:val="20"/>
        </w:rPr>
        <w:t>Restricted Stock Unit Award</w:t>
      </w:r>
      <w:r>
        <w:rPr>
          <w:rFonts w:ascii="Times New Roman" w:hAnsi="Times New Roman"/>
          <w:color w:val="000000"/>
          <w:sz w:val="20"/>
        </w:rPr>
        <w:t>” means an Award of Restricted Stock Unit granted to a Participant under Section 7(e) hereof.</w:t>
      </w:r>
    </w:p>
    <w:p>
      <w:pPr>
        <w:pStyle w:val="TextBody"/>
        <w:bidi w:val="0"/>
        <w:spacing w:before="240" w:after="283"/>
        <w:jc w:val="both"/>
        <w:rPr>
          <w:rFonts w:ascii="Times New Roman" w:hAnsi="Times New Roman"/>
          <w:sz w:val="20"/>
        </w:rPr>
      </w:pPr>
      <w:r>
        <w:rPr>
          <w:rFonts w:ascii="Times New Roman" w:hAnsi="Times New Roman"/>
          <w:color w:val="000000"/>
          <w:sz w:val="20"/>
        </w:rPr>
        <w:t>(rr) “</w:t>
      </w:r>
      <w:r>
        <w:rPr>
          <w:rFonts w:ascii="Times New Roman" w:hAnsi="Times New Roman"/>
          <w:b/>
          <w:i/>
          <w:color w:val="000000"/>
          <w:sz w:val="20"/>
        </w:rPr>
        <w:t>Rule 16b-3</w:t>
      </w:r>
      <w:r>
        <w:rPr>
          <w:rFonts w:ascii="Times New Roman" w:hAnsi="Times New Roman"/>
          <w:color w:val="000000"/>
          <w:sz w:val="20"/>
        </w:rPr>
        <w:t>” means Rule 16b-3, as from time to time in effect and applicable to the Plan and Participants, promulgated by the Securities and Exchange Commission under Section 16 of the Exchange Act.</w:t>
      </w:r>
    </w:p>
    <w:p>
      <w:pPr>
        <w:pStyle w:val="TextBody"/>
        <w:bidi w:val="0"/>
        <w:spacing w:before="240" w:after="283"/>
        <w:jc w:val="both"/>
        <w:rPr>
          <w:rFonts w:ascii="Times New Roman" w:hAnsi="Times New Roman"/>
          <w:sz w:val="20"/>
        </w:rPr>
      </w:pPr>
      <w:r>
        <w:rPr>
          <w:rFonts w:ascii="Times New Roman" w:hAnsi="Times New Roman"/>
          <w:color w:val="000000"/>
          <w:sz w:val="20"/>
        </w:rPr>
        <w:t>(ss) “</w:t>
      </w:r>
      <w:r>
        <w:rPr>
          <w:rFonts w:ascii="Times New Roman" w:hAnsi="Times New Roman"/>
          <w:b/>
          <w:i/>
          <w:color w:val="000000"/>
          <w:sz w:val="20"/>
        </w:rPr>
        <w:t>Shareholder Approval Date</w:t>
      </w:r>
      <w:r>
        <w:rPr>
          <w:rFonts w:ascii="Times New Roman" w:hAnsi="Times New Roman"/>
          <w:color w:val="000000"/>
          <w:sz w:val="20"/>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pStyle w:val="TextBody"/>
        <w:bidi w:val="0"/>
        <w:spacing w:before="240" w:after="283"/>
        <w:jc w:val="both"/>
        <w:rPr>
          <w:rFonts w:ascii="Times New Roman" w:hAnsi="Times New Roman"/>
          <w:sz w:val="20"/>
        </w:rPr>
      </w:pPr>
      <w:r>
        <w:rPr>
          <w:rFonts w:ascii="Times New Roman" w:hAnsi="Times New Roman"/>
          <w:color w:val="000000"/>
          <w:sz w:val="20"/>
        </w:rPr>
        <w:t>(tt) “</w:t>
      </w:r>
      <w:r>
        <w:rPr>
          <w:rFonts w:ascii="Times New Roman" w:hAnsi="Times New Roman"/>
          <w:b/>
          <w:i/>
          <w:color w:val="000000"/>
          <w:sz w:val="20"/>
        </w:rPr>
        <w:t>Shares</w:t>
      </w:r>
      <w:r>
        <w:rPr>
          <w:rFonts w:ascii="Times New Roman" w:hAnsi="Times New Roman"/>
          <w:color w:val="000000"/>
          <w:sz w:val="20"/>
        </w:rPr>
        <w:t>” means the shares of common stock of the Company, par value $.01 per share, and such other securities as may be substituted (or resubstituted) for Shares pursuant to Section 11(c) hereof.</w:t>
      </w:r>
    </w:p>
    <w:p>
      <w:pPr>
        <w:pStyle w:val="TextBody"/>
        <w:bidi w:val="0"/>
        <w:spacing w:before="240" w:after="283"/>
        <w:jc w:val="both"/>
        <w:rPr>
          <w:rFonts w:ascii="Times New Roman" w:hAnsi="Times New Roman"/>
          <w:sz w:val="20"/>
        </w:rPr>
      </w:pPr>
      <w:r>
        <w:rPr>
          <w:rFonts w:ascii="Times New Roman" w:hAnsi="Times New Roman"/>
          <w:color w:val="000000"/>
          <w:sz w:val="20"/>
        </w:rPr>
        <w:t>(uu) “</w:t>
      </w:r>
      <w:r>
        <w:rPr>
          <w:rFonts w:ascii="Times New Roman" w:hAnsi="Times New Roman"/>
          <w:b/>
          <w:i/>
          <w:color w:val="000000"/>
          <w:sz w:val="20"/>
        </w:rPr>
        <w:t>Stock Appreciation Right</w:t>
      </w:r>
      <w:r>
        <w:rPr>
          <w:rFonts w:ascii="Times New Roman" w:hAnsi="Times New Roman"/>
          <w:color w:val="000000"/>
          <w:sz w:val="20"/>
        </w:rPr>
        <w:t>” means a right granted to a Participant under Section 7(c) hereof.</w:t>
      </w:r>
    </w:p>
    <w:p>
      <w:pPr>
        <w:pStyle w:val="TextBody"/>
        <w:bidi w:val="0"/>
        <w:spacing w:before="240" w:after="283"/>
        <w:jc w:val="both"/>
        <w:rPr>
          <w:rFonts w:ascii="Times New Roman" w:hAnsi="Times New Roman"/>
          <w:sz w:val="20"/>
        </w:rPr>
      </w:pPr>
      <w:r>
        <w:rPr>
          <w:rFonts w:ascii="Times New Roman" w:hAnsi="Times New Roman"/>
          <w:color w:val="000000"/>
          <w:sz w:val="20"/>
        </w:rPr>
        <w:t>(vv) “</w:t>
      </w:r>
      <w:r>
        <w:rPr>
          <w:rFonts w:ascii="Times New Roman" w:hAnsi="Times New Roman"/>
          <w:b/>
          <w:i/>
          <w:color w:val="000000"/>
          <w:sz w:val="20"/>
        </w:rPr>
        <w:t>Subsidiary</w:t>
      </w:r>
      <w:r>
        <w:rPr>
          <w:rFonts w:ascii="Times New Roman" w:hAnsi="Times New Roman"/>
          <w:color w:val="000000"/>
          <w:sz w:val="20"/>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pStyle w:val="TextBody"/>
        <w:bidi w:val="0"/>
        <w:spacing w:before="240" w:after="283"/>
        <w:jc w:val="both"/>
        <w:rPr>
          <w:rFonts w:ascii="Times New Roman" w:hAnsi="Times New Roman"/>
          <w:sz w:val="20"/>
        </w:rPr>
      </w:pPr>
      <w:r>
        <w:rPr>
          <w:rFonts w:ascii="Times New Roman" w:hAnsi="Times New Roman"/>
          <w:color w:val="000000"/>
          <w:sz w:val="20"/>
        </w:rPr>
        <w:t>(ww) “</w:t>
      </w:r>
      <w:r>
        <w:rPr>
          <w:rFonts w:ascii="Times New Roman" w:hAnsi="Times New Roman"/>
          <w:b/>
          <w:i/>
          <w:color w:val="000000"/>
          <w:sz w:val="20"/>
        </w:rPr>
        <w:t>Substitute Awards</w:t>
      </w:r>
      <w:r>
        <w:rPr>
          <w:rFonts w:ascii="Times New Roman" w:hAnsi="Times New Roman"/>
          <w:color w:val="000000"/>
          <w:sz w:val="20"/>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50" w:name="administration"/>
      <w:bookmarkEnd w:id="50"/>
      <w:r>
        <w:rPr>
          <w:rFonts w:ascii="Times New Roman" w:hAnsi="Times New Roman"/>
          <w:color w:val="000000"/>
          <w:sz w:val="20"/>
        </w:rPr>
        <w:t xml:space="preserve">3. </w:t>
      </w:r>
      <w:r>
        <w:rPr>
          <w:rFonts w:ascii="Times New Roman" w:hAnsi="Times New Roman"/>
          <w:b/>
          <w:i/>
          <w:color w:val="000000"/>
          <w:sz w:val="20"/>
        </w:rPr>
        <w:t>Administration</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Authority of the Committee</w:t>
      </w:r>
      <w:r>
        <w:rPr>
          <w:rFonts w:ascii="Times New Roman" w:hAnsi="Times New Roman"/>
          <w:color w:val="000000"/>
          <w:sz w:val="20"/>
        </w:rPr>
        <w:t>.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Manner of Exercise of Committee Authority</w:t>
      </w:r>
      <w:r>
        <w:rPr>
          <w:rFonts w:ascii="Times New Roman" w:hAnsi="Times New Roman"/>
          <w:color w:val="000000"/>
          <w:sz w:val="20"/>
        </w:rPr>
        <w:t>. The Committee, and not the Board, shall exercise sole and exclusive 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Limitation of Liability</w:t>
      </w:r>
      <w:r>
        <w:rPr>
          <w:rFonts w:ascii="Times New Roman" w:hAnsi="Times New Roman"/>
          <w:color w:val="000000"/>
          <w:sz w:val="20"/>
        </w:rPr>
        <w:t>.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pStyle w:val="TextBody"/>
        <w:bidi w:val="0"/>
        <w:spacing w:before="240" w:after="283"/>
        <w:jc w:val="both"/>
        <w:rPr>
          <w:rFonts w:ascii="Times New Roman" w:hAnsi="Times New Roman"/>
          <w:sz w:val="20"/>
        </w:rPr>
      </w:pPr>
      <w:bookmarkStart w:id="51" w:name="shares_subject_to_plan"/>
      <w:bookmarkEnd w:id="51"/>
      <w:r>
        <w:rPr>
          <w:rFonts w:ascii="Times New Roman" w:hAnsi="Times New Roman"/>
          <w:color w:val="000000"/>
          <w:sz w:val="20"/>
        </w:rPr>
        <w:t xml:space="preserve">4. </w:t>
      </w:r>
      <w:r>
        <w:rPr>
          <w:rFonts w:ascii="Times New Roman" w:hAnsi="Times New Roman"/>
          <w:b/>
          <w:i/>
          <w:color w:val="000000"/>
          <w:sz w:val="20"/>
        </w:rPr>
        <w:t>Shares Subject to Plan</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Limitation on Overall Number of Shares Available for Delivery Under Plan</w:t>
      </w:r>
      <w:r>
        <w:rPr>
          <w:rFonts w:ascii="Times New Roman" w:hAnsi="Times New Roman"/>
          <w:color w:val="000000"/>
          <w:sz w:val="20"/>
        </w:rPr>
        <w:t>. Subject to adjustment as provided in Section 11(c) hereof, the aggregate number of Shares reserved and available for delivery under the Plan shall be equal to the sum of (i) 14,595,000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Application of Limitation to Grants of Award</w:t>
      </w:r>
      <w:r>
        <w:rPr>
          <w:rFonts w:ascii="Times New Roman" w:hAnsi="Times New Roman"/>
          <w:color w:val="000000"/>
          <w:sz w:val="20"/>
        </w:rPr>
        <w:t>.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Availability of Shares Not Delivered under Awards and Adjustments to Limits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 Notwithstanding anything in this Section 4(c) to the contrary but subject to adjustment as provided in Section 11(c) hereof, the maximum aggregate number of Shares that may be delivered under the Plan as a result of the exercise of the Incentive Stock Options shall be 14,595,000 Shares. In no event shall any Incentive Stock Options be granted under the Plan after the tenth anniversary of the date on which the Board adopts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 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No Further Awards Under Prior Plan</w:t>
      </w:r>
      <w:r>
        <w:rPr>
          <w:rFonts w:ascii="Times New Roman" w:hAnsi="Times New Roman"/>
          <w:color w:val="000000"/>
          <w:sz w:val="20"/>
        </w:rPr>
        <w:t>. No further awards shall be made under the Prior Plan after July 31, 2016.</w:t>
      </w:r>
    </w:p>
    <w:p>
      <w:pPr>
        <w:pStyle w:val="TextBody"/>
        <w:bidi w:val="0"/>
        <w:spacing w:before="240" w:after="283"/>
        <w:jc w:val="both"/>
        <w:rPr>
          <w:rFonts w:ascii="Times New Roman" w:hAnsi="Times New Roman"/>
          <w:sz w:val="20"/>
        </w:rPr>
      </w:pPr>
      <w:bookmarkStart w:id="52" w:name="eligibility_perparticipant_limitations"/>
      <w:bookmarkEnd w:id="52"/>
      <w:r>
        <w:rPr>
          <w:rFonts w:ascii="Times New Roman" w:hAnsi="Times New Roman"/>
          <w:color w:val="000000"/>
          <w:sz w:val="20"/>
        </w:rPr>
        <w:t xml:space="preserve">5. </w:t>
      </w:r>
      <w:r>
        <w:rPr>
          <w:rFonts w:ascii="Times New Roman" w:hAnsi="Times New Roman"/>
          <w:b/>
          <w:i/>
          <w:color w:val="000000"/>
          <w:sz w:val="20"/>
        </w:rPr>
        <w:t>Eligibility; Per-Participant Limitations</w:t>
      </w:r>
      <w:r>
        <w:rPr>
          <w:rFonts w:ascii="Times New Roman" w:hAnsi="Times New Roman"/>
          <w:color w:val="000000"/>
          <w:sz w:val="20"/>
        </w:rPr>
        <w:t>. Awards may be granted under the Plan only to Eligible Persons. Subject to adjustment as 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pStyle w:val="TextBody"/>
        <w:bidi w:val="0"/>
        <w:spacing w:before="240" w:after="283"/>
        <w:jc w:val="both"/>
        <w:rPr>
          <w:rFonts w:ascii="Times New Roman" w:hAnsi="Times New Roman"/>
          <w:sz w:val="20"/>
        </w:rPr>
      </w:pPr>
      <w:bookmarkStart w:id="53" w:name="award_vesting_limitations"/>
      <w:bookmarkEnd w:id="53"/>
      <w:r>
        <w:rPr>
          <w:rFonts w:ascii="Times New Roman" w:hAnsi="Times New Roman"/>
          <w:color w:val="000000"/>
          <w:sz w:val="20"/>
        </w:rPr>
        <w:t xml:space="preserve">6. </w:t>
      </w:r>
      <w:r>
        <w:rPr>
          <w:rFonts w:ascii="Times New Roman" w:hAnsi="Times New Roman"/>
          <w:b/>
          <w:i/>
          <w:color w:val="000000"/>
          <w:sz w:val="20"/>
        </w:rPr>
        <w:t>Award Vesting Limitations</w:t>
      </w:r>
      <w:r>
        <w:rPr>
          <w:rFonts w:ascii="Times New Roman" w:hAnsi="Times New Roman"/>
          <w:color w:val="000000"/>
          <w:sz w:val="20"/>
        </w:rPr>
        <w:t>. Notwithstanding any other provision of the Plan to the contrary, but subject to Section 10 of the Plan, 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pStyle w:val="TextBody"/>
        <w:bidi w:val="0"/>
        <w:spacing w:before="240" w:after="283"/>
        <w:jc w:val="both"/>
        <w:rPr>
          <w:rFonts w:ascii="Times New Roman" w:hAnsi="Times New Roman"/>
          <w:sz w:val="20"/>
        </w:rPr>
      </w:pPr>
      <w:bookmarkStart w:id="54" w:name="specific_terms_of_awards"/>
      <w:bookmarkEnd w:id="54"/>
      <w:r>
        <w:rPr>
          <w:rFonts w:ascii="Times New Roman" w:hAnsi="Times New Roman"/>
          <w:color w:val="000000"/>
          <w:sz w:val="20"/>
        </w:rPr>
        <w:t xml:space="preserve">7. </w:t>
      </w:r>
      <w:r>
        <w:rPr>
          <w:rFonts w:ascii="Times New Roman" w:hAnsi="Times New Roman"/>
          <w:b/>
          <w:i/>
          <w:color w:val="000000"/>
          <w:sz w:val="20"/>
        </w:rPr>
        <w:t>Specific Terms of Awards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General</w:t>
      </w:r>
      <w:r>
        <w:rPr>
          <w:rFonts w:ascii="Times New Roman" w:hAnsi="Times New Roman"/>
          <w:color w:val="000000"/>
          <w:sz w:val="20"/>
        </w:rPr>
        <w:t xml:space="preserve">. Awards may be granted on the terms and conditions set forth in this Section 7. In addition, the Committee may impose on any Award or the exercise thereof, at the date of grant or thereafter (subject to Section 11(e)), such additional terms and conditions, not inconsistent with the provisions of the Plan, as the Committee shall determine, including terms requiring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Options</w:t>
      </w:r>
      <w:r>
        <w:rPr>
          <w:rFonts w:ascii="Times New Roman" w:hAnsi="Times New Roman"/>
          <w:color w:val="000000"/>
          <w:sz w:val="20"/>
        </w:rPr>
        <w:t>. The Committee is authorized to grant Options to any Eligible Person on the following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Exercise Price</w:t>
      </w:r>
      <w:r>
        <w:rPr>
          <w:rFonts w:ascii="Times New Roman" w:hAnsi="Times New Roman"/>
          <w:color w:val="000000"/>
          <w:sz w:val="20"/>
        </w:rPr>
        <w:t>.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Time and Method of Exercise</w:t>
      </w:r>
      <w:r>
        <w:rPr>
          <w:rFonts w:ascii="Times New Roman" w:hAnsi="Times New Roman"/>
          <w:color w:val="000000"/>
          <w:sz w:val="20"/>
        </w:rPr>
        <w:t>. Subject to the maximum term of any Option set forth in Section 7(b),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Form of Settlement</w:t>
      </w:r>
      <w:r>
        <w:rPr>
          <w:rFonts w:ascii="Times New Roman" w:hAnsi="Times New Roman"/>
          <w:color w:val="000000"/>
          <w:sz w:val="20"/>
        </w:rPr>
        <w:t>. The Committee may, in its sole discretion, provide that the Shares to be issued upon exercise of an Option shall be in the form of Restricted Stock or other similar securities.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(iv) </w:t>
      </w:r>
      <w:r>
        <w:rPr>
          <w:rFonts w:ascii="Times New Roman" w:hAnsi="Times New Roman"/>
          <w:b/>
          <w:i/>
          <w:color w:val="000000"/>
          <w:sz w:val="20"/>
        </w:rPr>
        <w:t>Incentive Stock Options</w:t>
      </w:r>
      <w:r>
        <w:rPr>
          <w:rFonts w:ascii="Times New Roman" w:hAnsi="Times New Roman"/>
          <w:color w:val="000000"/>
          <w:sz w:val="20"/>
        </w:rPr>
        <w:t>.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respectively) that become exercisable for the first time by the Participant during any calendar year shall not (to the extent required by the Code at the time of the grant) exceed $100,000;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Stock Appreciation Rights</w:t>
      </w:r>
      <w:r>
        <w:rPr>
          <w:rFonts w:ascii="Times New Roman" w:hAnsi="Times New Roman"/>
          <w:color w:val="000000"/>
          <w:sz w:val="20"/>
        </w:rPr>
        <w:t>. The Committee may grant Stock Appreciation Rights to any Eligible Person (a “Freestanding Stock Appreciation Right”), upon such terms and conditions as the Committee may establish in its sole discretion, not inconsistent with the provisions of the Plan, including the following: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Right to Payment</w:t>
      </w:r>
      <w:r>
        <w:rPr>
          <w:rFonts w:ascii="Times New Roman" w:hAnsi="Times New Roman"/>
          <w:color w:val="000000"/>
          <w:sz w:val="20"/>
        </w:rPr>
        <w:t>. A Stock Appreciation Right shall confer on the Participant to whom it is granted a right to 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Other Terms</w:t>
      </w:r>
      <w:r>
        <w:rPr>
          <w:rFonts w:ascii="Times New Roman" w:hAnsi="Times New Roman"/>
          <w:color w:val="000000"/>
          <w:sz w:val="20"/>
        </w:rPr>
        <w:t>. Subject to the maximum term of any Stock Appreciation Right set forth in Section 7(c),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Restricted Stock Awards</w:t>
      </w:r>
      <w:r>
        <w:rPr>
          <w:rFonts w:ascii="Times New Roman" w:hAnsi="Times New Roman"/>
          <w:color w:val="000000"/>
          <w:sz w:val="20"/>
        </w:rPr>
        <w:t>. The Committee is authorized to grant Restricted Stock Awards to any Eligible Person on the following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Grant and Restrictions</w:t>
      </w:r>
      <w:r>
        <w:rPr>
          <w:rFonts w:ascii="Times New Roman" w:hAnsi="Times New Roman"/>
          <w:color w:val="000000"/>
          <w:sz w:val="20"/>
        </w:rPr>
        <w:t>.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Forfeiture</w:t>
      </w:r>
      <w:r>
        <w:rPr>
          <w:rFonts w:ascii="Times New Roman" w:hAnsi="Times New Roman"/>
          <w:color w:val="000000"/>
          <w:sz w:val="20"/>
        </w:rPr>
        <w:t>.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Certificates for Stock</w:t>
      </w:r>
      <w:r>
        <w:rPr>
          <w:rFonts w:ascii="Times New Roman" w:hAnsi="Times New Roman"/>
          <w:color w:val="000000"/>
          <w:sz w:val="20"/>
        </w:rPr>
        <w:t>.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(iv) </w:t>
      </w:r>
      <w:r>
        <w:rPr>
          <w:rFonts w:ascii="Times New Roman" w:hAnsi="Times New Roman"/>
          <w:b/>
          <w:i/>
          <w:color w:val="000000"/>
          <w:sz w:val="20"/>
        </w:rPr>
        <w:t>Dividends and Splits</w:t>
      </w:r>
      <w:r>
        <w:rPr>
          <w:rFonts w:ascii="Times New Roman" w:hAnsi="Times New Roman"/>
          <w:color w:val="000000"/>
          <w:sz w:val="20"/>
        </w:rPr>
        <w:t>.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Deferred Award</w:t>
      </w:r>
      <w:r>
        <w:rPr>
          <w:rFonts w:ascii="Times New Roman" w:hAnsi="Times New Roman"/>
          <w:color w:val="000000"/>
          <w:sz w:val="20"/>
        </w:rPr>
        <w:t>. The Committee is authorized to grant “Deferred Awards,” which include Deferred Stock and Restricted Stock Unit Awards, to any Eligible Person on the following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Award and Restrictions</w:t>
      </w:r>
      <w:r>
        <w:rPr>
          <w:rFonts w:ascii="Times New Roman" w:hAnsi="Times New Roman"/>
          <w:color w:val="000000"/>
          <w:sz w:val="20"/>
        </w:rPr>
        <w:t>.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Forfeiture</w:t>
      </w:r>
      <w:r>
        <w:rPr>
          <w:rFonts w:ascii="Times New Roman" w:hAnsi="Times New Roman"/>
          <w:color w:val="000000"/>
          <w:sz w:val="20"/>
        </w:rPr>
        <w:t>.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Dividend Equivalents</w:t>
      </w:r>
      <w:r>
        <w:rPr>
          <w:rFonts w:ascii="Times New Roman" w:hAnsi="Times New Roman"/>
          <w:color w:val="000000"/>
          <w:sz w:val="20"/>
        </w:rPr>
        <w:t>. Unless otherwise determined by the Committee at the date of grant, and except as otherwise provided in the last sentence of Section 7(h)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b/>
          <w:i/>
          <w:color w:val="000000"/>
          <w:sz w:val="20"/>
        </w:rPr>
        <w:t>Bonus Stock and Awards in Lieu of Obligations</w:t>
      </w:r>
      <w:r>
        <w:rPr>
          <w:rFonts w:ascii="Times New Roman" w:hAnsi="Times New Roman"/>
          <w:color w:val="000000"/>
          <w:sz w:val="20"/>
        </w:rPr>
        <w:t>.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(g) </w:t>
      </w:r>
      <w:r>
        <w:rPr>
          <w:rFonts w:ascii="Times New Roman" w:hAnsi="Times New Roman"/>
          <w:b/>
          <w:i/>
          <w:color w:val="000000"/>
          <w:sz w:val="20"/>
        </w:rPr>
        <w:t>Dividend Equivalents</w:t>
      </w:r>
      <w:r>
        <w:rPr>
          <w:rFonts w:ascii="Times New Roman" w:hAnsi="Times New Roman"/>
          <w:color w:val="000000"/>
          <w:sz w:val="20"/>
        </w:rPr>
        <w:t>.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(h) </w:t>
      </w:r>
      <w:r>
        <w:rPr>
          <w:rFonts w:ascii="Times New Roman" w:hAnsi="Times New Roman"/>
          <w:b/>
          <w:i/>
          <w:color w:val="000000"/>
          <w:sz w:val="20"/>
        </w:rPr>
        <w:t>Performance Awards</w:t>
      </w:r>
      <w:r>
        <w:rPr>
          <w:rFonts w:ascii="Times New Roman" w:hAnsi="Times New Roman"/>
          <w:color w:val="000000"/>
          <w:sz w:val="20"/>
        </w:rPr>
        <w:t>. The Committee is authorized to grant Performance Awards to any Eligible Person payable in cash, 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Other Stock-Based Awards</w:t>
      </w:r>
      <w:r>
        <w:rPr>
          <w:rFonts w:ascii="Times New Roman" w:hAnsi="Times New Roman"/>
          <w:color w:val="000000"/>
          <w:sz w:val="20"/>
        </w:rPr>
        <w:t>.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pStyle w:val="TextBody"/>
        <w:bidi w:val="0"/>
        <w:spacing w:before="240" w:after="283"/>
        <w:jc w:val="both"/>
        <w:rPr>
          <w:rFonts w:ascii="Times New Roman" w:hAnsi="Times New Roman"/>
          <w:sz w:val="20"/>
        </w:rPr>
      </w:pPr>
      <w:bookmarkStart w:id="55" w:name="certain_provisions"/>
      <w:bookmarkEnd w:id="55"/>
      <w:r>
        <w:rPr>
          <w:rFonts w:ascii="Times New Roman" w:hAnsi="Times New Roman"/>
          <w:color w:val="000000"/>
          <w:sz w:val="20"/>
        </w:rPr>
        <w:t xml:space="preserve">8. </w:t>
      </w:r>
      <w:r>
        <w:rPr>
          <w:rFonts w:ascii="Times New Roman" w:hAnsi="Times New Roman"/>
          <w:b/>
          <w:i/>
          <w:color w:val="000000"/>
          <w:sz w:val="20"/>
        </w:rPr>
        <w:t>Certain Provisions Applicable to Awards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Stand-Alone, Additional, Tandem, and Substitute Awards</w:t>
      </w:r>
      <w:r>
        <w:rPr>
          <w:rFonts w:ascii="Times New Roman" w:hAnsi="Times New Roman"/>
          <w:color w:val="000000"/>
          <w:sz w:val="20"/>
        </w:rPr>
        <w:t>.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Term of Awards</w:t>
      </w:r>
      <w:r>
        <w:rPr>
          <w:rFonts w:ascii="Times New Roman" w:hAnsi="Times New Roman"/>
          <w:color w:val="000000"/>
          <w:sz w:val="20"/>
        </w:rPr>
        <w:t>.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Form and Timing of Payment Under Awards; Deferrals</w:t>
      </w:r>
      <w:r>
        <w:rPr>
          <w:rFonts w:ascii="Times New Roman" w:hAnsi="Times New Roman"/>
          <w:color w:val="000000"/>
          <w:sz w:val="20"/>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Exemptions from Section 16(b) Liability</w:t>
      </w:r>
      <w:r>
        <w:rPr>
          <w:rFonts w:ascii="Times New Roman" w:hAnsi="Times New Roman"/>
          <w:color w:val="000000"/>
          <w:sz w:val="20"/>
        </w:rPr>
        <w:t>.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Code Section 409A</w:t>
      </w:r>
      <w:r>
        <w:rPr>
          <w:rFonts w:ascii="Times New Roman" w:hAnsi="Times New Roman"/>
          <w:color w:val="000000"/>
          <w:sz w:val="20"/>
        </w:rPr>
        <w:t>. The following provisions shall apply to any Award that is or may potentially be subject to the requirements of Section 409A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If any Award constitutes a Section 409A Plan, then the Award shall be subject to the following additional requirements, if and to the extent required to comply with Section 409A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The time or schedule for any payment of the deferred compensation may not be accelerated, except to the extent provided in applicable Treasury Regulations or other applicable guidance issued by the Internal Revenue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Any elections with respect to the deferral of such compensation or the time and form of distribution of such deferred compensation shall comply with the requirements of Section 409A(a)(4) of the Code;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(iii) 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incur in the event that any provision of this Plan, or any Award Agreement, or any amendment or modification thereof, or any other action taken with respect thereto, is deemed to violate any of the requirements of Section 409A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b/>
          <w:i/>
          <w:color w:val="000000"/>
          <w:sz w:val="20"/>
        </w:rPr>
        <w:t>Clawback of Certain Compensation and Benefits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pStyle w:val="TextBody"/>
        <w:bidi w:val="0"/>
        <w:spacing w:before="240" w:after="283"/>
        <w:jc w:val="both"/>
        <w:rPr>
          <w:rFonts w:ascii="Times New Roman" w:hAnsi="Times New Roman"/>
          <w:sz w:val="20"/>
        </w:rPr>
      </w:pPr>
      <w:bookmarkStart w:id="56" w:name="code_section"/>
      <w:bookmarkEnd w:id="56"/>
      <w:r>
        <w:rPr>
          <w:rFonts w:ascii="Times New Roman" w:hAnsi="Times New Roman"/>
          <w:color w:val="000000"/>
          <w:sz w:val="20"/>
        </w:rPr>
        <w:t xml:space="preserve">9. </w:t>
      </w:r>
      <w:r>
        <w:rPr>
          <w:rFonts w:ascii="Times New Roman" w:hAnsi="Times New Roman"/>
          <w:b/>
          <w:i/>
          <w:color w:val="000000"/>
          <w:sz w:val="20"/>
        </w:rPr>
        <w:t>Code Section 162(m) Provisions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Covered Employees</w:t>
      </w:r>
      <w:r>
        <w:rPr>
          <w:rFonts w:ascii="Times New Roman" w:hAnsi="Times New Roman"/>
          <w:color w:val="000000"/>
          <w:sz w:val="20"/>
        </w:rPr>
        <w:t>. The Committee, in its discretion, may determine at the time an Award is granted to an Eligible Person who is, or is likely to be, as of the end of the tax year in which the Company would claim a tax deduction in connection with such Award, a Covered Employee, that the provisions of this Section 9 shall be applicable to such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Performance Criteria</w:t>
      </w:r>
      <w:r>
        <w:rPr>
          <w:rFonts w:ascii="Times New Roman" w:hAnsi="Times New Roman"/>
          <w:color w:val="000000"/>
          <w:sz w:val="20"/>
        </w:rPr>
        <w:t>. If an Award is subject to this Section 9, then the payment or distribution thereof or lapsing of 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Performance Period; Timing For Establishing Performance Goals</w:t>
      </w:r>
      <w:r>
        <w:rPr>
          <w:rFonts w:ascii="Times New Roman" w:hAnsi="Times New Roman"/>
          <w:color w:val="000000"/>
          <w:sz w:val="20"/>
        </w:rPr>
        <w:t xml:space="preserve">. Achievement of performance goals in respect of such Performance Awards subject to this Section 9 shall be measured over a Performance Period no shorter than 12 months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Adjustments</w:t>
      </w:r>
      <w:r>
        <w:rPr>
          <w:rFonts w:ascii="Times New Roman" w:hAnsi="Times New Roman"/>
          <w:color w:val="000000"/>
          <w:sz w:val="20"/>
        </w:rPr>
        <w:t>. The Committee may, in its discretion, reduce the amount of a settlement otherwise to be made in connection 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Committee Certification</w:t>
      </w:r>
      <w:r>
        <w:rPr>
          <w:rFonts w:ascii="Times New Roman" w:hAnsi="Times New Roman"/>
          <w:color w:val="000000"/>
          <w:sz w:val="20"/>
        </w:rPr>
        <w:t>. No Participant shall receive any payment under the Plan that is subject to this Section 9 unless 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pStyle w:val="TextBody"/>
        <w:bidi w:val="0"/>
        <w:spacing w:before="240" w:after="283"/>
        <w:jc w:val="both"/>
        <w:rPr>
          <w:rFonts w:ascii="Times New Roman" w:hAnsi="Times New Roman"/>
          <w:sz w:val="20"/>
        </w:rPr>
      </w:pPr>
      <w:bookmarkStart w:id="57" w:name="change_in_control"/>
      <w:bookmarkEnd w:id="57"/>
      <w:r>
        <w:rPr>
          <w:rFonts w:ascii="Times New Roman" w:hAnsi="Times New Roman"/>
          <w:color w:val="000000"/>
          <w:sz w:val="20"/>
        </w:rPr>
        <w:t xml:space="preserve">10. </w:t>
      </w:r>
      <w:r>
        <w:rPr>
          <w:rFonts w:ascii="Times New Roman" w:hAnsi="Times New Roman"/>
          <w:b/>
          <w:i/>
          <w:color w:val="000000"/>
          <w:sz w:val="20"/>
        </w:rPr>
        <w:t>Change in Control</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Effect of “Change in Control”</w:t>
      </w:r>
      <w:r>
        <w:rPr>
          <w:rFonts w:ascii="Times New Roman" w:hAnsi="Times New Roman"/>
          <w:color w:val="000000"/>
          <w:sz w:val="20"/>
        </w:rPr>
        <w:t>.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Definition of “Change in Control”</w:t>
      </w:r>
      <w:r>
        <w:rPr>
          <w:rFonts w:ascii="Times New Roman" w:hAnsi="Times New Roman"/>
          <w:color w:val="000000"/>
          <w:sz w:val="20"/>
        </w:rPr>
        <w:t>. Unless otherwise specified in any employment or other agreement for services between the Participant and the Company or any Subsidiary, or in an Award Agreement, a “Change in Control” shall mean the occurrence of any of the following: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(y) any acquisition by any employee benefit plan (or related trust) sponsored or maintained by the Company or any Subsidiary; or (z) any acquisition by any entity pursuant to a transaction which complies with clauses (1), (2) and (3) of subsection (iii) below;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 Approval by the shareholders of the Company of a complete liquidation or dissolution of the Company.</w:t>
      </w:r>
    </w:p>
    <w:p>
      <w:pPr>
        <w:pStyle w:val="TextBody"/>
        <w:bidi w:val="0"/>
        <w:spacing w:before="240" w:after="283"/>
        <w:jc w:val="both"/>
        <w:rPr>
          <w:rFonts w:ascii="Times New Roman" w:hAnsi="Times New Roman"/>
          <w:sz w:val="20"/>
        </w:rPr>
      </w:pPr>
      <w:bookmarkStart w:id="58" w:name="general_provisions"/>
      <w:bookmarkEnd w:id="58"/>
      <w:r>
        <w:rPr>
          <w:rFonts w:ascii="Times New Roman" w:hAnsi="Times New Roman"/>
          <w:color w:val="000000"/>
          <w:sz w:val="20"/>
        </w:rPr>
        <w:t xml:space="preserve">11. </w:t>
      </w:r>
      <w:r>
        <w:rPr>
          <w:rFonts w:ascii="Times New Roman" w:hAnsi="Times New Roman"/>
          <w:b/>
          <w:i/>
          <w:color w:val="000000"/>
          <w:sz w:val="20"/>
        </w:rPr>
        <w:t>General Provisions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Compliance With Legal and Other Requirements</w:t>
      </w:r>
      <w:r>
        <w:rPr>
          <w:rFonts w:ascii="Times New Roman" w:hAnsi="Times New Roman"/>
          <w:color w:val="000000"/>
          <w:sz w:val="20"/>
        </w:rPr>
        <w:t>.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Limits on Transferability; Beneficiaries</w:t>
      </w:r>
      <w:r>
        <w:rPr>
          <w:rFonts w:ascii="Times New Roman" w:hAnsi="Times New Roman"/>
          <w:color w:val="000000"/>
          <w:sz w:val="20"/>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Adjustments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Adjustments to Awards</w:t>
      </w:r>
      <w:r>
        <w:rPr>
          <w:rFonts w:ascii="Times New Roman" w:hAnsi="Times New Roman"/>
          <w:color w:val="000000"/>
          <w:sz w:val="20"/>
        </w:rPr>
        <w:t>.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Adjustments in Case of Certain Transactions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determination of such substantial equality of value of consideration shall be made by the Committee in its sole discretion and its determination shall be conclusive and binding.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Other Adjustments</w:t>
      </w:r>
      <w:r>
        <w:rPr>
          <w:rFonts w:ascii="Times New Roman" w:hAnsi="Times New Roman"/>
          <w:color w:val="000000"/>
          <w:sz w:val="20"/>
        </w:rPr>
        <w:t>. The Committee (and the Board if and only to the extent such authority is not required to be 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Award Agreements</w:t>
      </w:r>
      <w:r>
        <w:rPr>
          <w:rFonts w:ascii="Times New Roman" w:hAnsi="Times New Roman"/>
          <w:color w:val="000000"/>
          <w:sz w:val="20"/>
        </w:rPr>
        <w:t>.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Taxes</w:t>
      </w:r>
      <w:r>
        <w:rPr>
          <w:rFonts w:ascii="Times New Roman" w:hAnsi="Times New Roman"/>
          <w:color w:val="000000"/>
          <w:sz w:val="20"/>
        </w:rPr>
        <w:t>. The Company and any Related Entity are authorized to withhold from any Award granted, any payment relating to 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b/>
          <w:i/>
          <w:color w:val="000000"/>
          <w:sz w:val="20"/>
        </w:rPr>
        <w:t>Changes to the Plan and Awards</w:t>
      </w:r>
      <w:r>
        <w:rPr>
          <w:rFonts w:ascii="Times New Roman" w:hAnsi="Times New Roman"/>
          <w:color w:val="000000"/>
          <w:sz w:val="20"/>
        </w:rPr>
        <w:t>.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(g) </w:t>
      </w:r>
      <w:r>
        <w:rPr>
          <w:rFonts w:ascii="Times New Roman" w:hAnsi="Times New Roman"/>
          <w:b/>
          <w:i/>
          <w:color w:val="000000"/>
          <w:sz w:val="20"/>
        </w:rPr>
        <w:t>Limitation on Rights Conferred Under Plan</w:t>
      </w:r>
      <w:r>
        <w:rPr>
          <w:rFonts w:ascii="Times New Roman" w:hAnsi="Times New Roman"/>
          <w:color w:val="000000"/>
          <w:sz w:val="20"/>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(h) </w:t>
      </w:r>
      <w:r>
        <w:rPr>
          <w:rFonts w:ascii="Times New Roman" w:hAnsi="Times New Roman"/>
          <w:b/>
          <w:i/>
          <w:color w:val="000000"/>
          <w:sz w:val="20"/>
        </w:rPr>
        <w:t>Unfunded Status of Awards; Creation of Trusts</w:t>
      </w:r>
      <w:r>
        <w:rPr>
          <w:rFonts w:ascii="Times New Roman" w:hAnsi="Times New Roman"/>
          <w:color w:val="000000"/>
          <w:sz w:val="20"/>
        </w:rPr>
        <w:t>.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Nonexclusivity of the Plan</w:t>
      </w:r>
      <w:r>
        <w:rPr>
          <w:rFonts w:ascii="Times New Roman" w:hAnsi="Times New Roman"/>
          <w:color w:val="000000"/>
          <w:sz w:val="20"/>
        </w:rPr>
        <w:t>. Neither the adoption of the Plan by the Board nor its submission to the shareholders of the 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(j) </w:t>
      </w:r>
      <w:r>
        <w:rPr>
          <w:rFonts w:ascii="Times New Roman" w:hAnsi="Times New Roman"/>
          <w:b/>
          <w:i/>
          <w:color w:val="000000"/>
          <w:sz w:val="20"/>
        </w:rPr>
        <w:t>Payments in the Event of Forfeitures; Fractional Shares</w:t>
      </w:r>
      <w:r>
        <w:rPr>
          <w:rFonts w:ascii="Times New Roman" w:hAnsi="Times New Roman"/>
          <w:color w:val="000000"/>
          <w:sz w:val="20"/>
        </w:rPr>
        <w:t>.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(k) </w:t>
      </w:r>
      <w:r>
        <w:rPr>
          <w:rFonts w:ascii="Times New Roman" w:hAnsi="Times New Roman"/>
          <w:b/>
          <w:i/>
          <w:color w:val="000000"/>
          <w:sz w:val="20"/>
        </w:rPr>
        <w:t>Governing Law</w:t>
      </w:r>
      <w:r>
        <w:rPr>
          <w:rFonts w:ascii="Times New Roman" w:hAnsi="Times New Roman"/>
          <w:color w:val="000000"/>
          <w:sz w:val="20"/>
        </w:rPr>
        <w:t>.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 </w:t>
      </w:r>
      <w:r>
        <w:rPr>
          <w:rFonts w:ascii="Times New Roman" w:hAnsi="Times New Roman"/>
          <w:b/>
          <w:i/>
          <w:color w:val="000000"/>
          <w:sz w:val="20"/>
        </w:rPr>
        <w:t>Non-U.S. Laws</w:t>
      </w:r>
      <w:r>
        <w:rPr>
          <w:rFonts w:ascii="Times New Roman" w:hAnsi="Times New Roman"/>
          <w:color w:val="000000"/>
          <w:sz w:val="20"/>
        </w:rPr>
        <w:t>.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 </w:t>
      </w:r>
      <w:r>
        <w:rPr>
          <w:rFonts w:ascii="Times New Roman" w:hAnsi="Times New Roman"/>
          <w:b/>
          <w:i/>
          <w:color w:val="000000"/>
          <w:sz w:val="20"/>
        </w:rPr>
        <w:t>Plan Effective Date and Shareholder Approval; Termination of Plan</w:t>
      </w:r>
      <w:r>
        <w:rPr>
          <w:rFonts w:ascii="Times New Roman" w:hAnsi="Times New Roman"/>
          <w:color w:val="000000"/>
          <w:sz w:val="20"/>
        </w:rPr>
        <w:t>. The Plan shall become effective on the Effective 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(n) </w:t>
      </w:r>
      <w:r>
        <w:rPr>
          <w:rFonts w:ascii="Times New Roman" w:hAnsi="Times New Roman"/>
          <w:b/>
          <w:i/>
          <w:color w:val="000000"/>
          <w:sz w:val="20"/>
        </w:rPr>
        <w:t>Construction and Interpretation</w:t>
      </w:r>
      <w:r>
        <w:rPr>
          <w:rFonts w:ascii="Times New Roman" w:hAnsi="Times New Roman"/>
          <w:color w:val="000000"/>
          <w:sz w:val="20"/>
        </w:rPr>
        <w:t>. Whenever used herein, nouns in the singular shall include the plural, and the masculine pronoun shall include the feminine gender. Headings of Articles and Sections hereof are inserted for convenience and reference and constitute no part of the Plan.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 </w:t>
      </w:r>
      <w:r>
        <w:rPr>
          <w:rFonts w:ascii="Times New Roman" w:hAnsi="Times New Roman"/>
          <w:b/>
          <w:i/>
          <w:color w:val="000000"/>
          <w:sz w:val="20"/>
        </w:rPr>
        <w:t>Severability</w:t>
      </w:r>
      <w:r>
        <w:rPr>
          <w:rFonts w:ascii="Times New Roman" w:hAnsi="Times New Roman"/>
          <w:color w:val="000000"/>
          <w:sz w:val="20"/>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9" w:name="dxlg-ex10_11.htm"/>
      <w:bookmarkStart w:id="60" w:name="ksdxlgex10_11"/>
      <w:bookmarkEnd w:id="59"/>
      <w:bookmarkEnd w:id="60"/>
      <w:r>
        <w:rPr/>
        <w:t> </w:t>
      </w:r>
      <w:r>
        <w:br w:type="page"/>
      </w:r>
    </w:p>
    <w:p>
      <w:pPr>
        <w:pStyle w:val="TextBody"/>
        <w:bidi w:val="0"/>
        <w:jc w:val="right"/>
        <w:rPr>
          <w:rFonts w:ascii="Times New Roman" w:hAnsi="Times New Roman"/>
          <w:color w:val="000000"/>
          <w:sz w:val="24"/>
        </w:rPr>
      </w:pPr>
      <w:r>
        <w:rPr>
          <w:rFonts w:ascii="Times New Roman" w:hAnsi="Times New Roman"/>
          <w:color w:val="000000"/>
          <w:sz w:val="24"/>
        </w:rPr>
        <w:t>Exhibit 10.11</w:t>
      </w:r>
    </w:p>
    <w:p>
      <w:pPr>
        <w:pStyle w:val="TextBody"/>
        <w:bidi w:val="0"/>
        <w:jc w:val="center"/>
        <w:rPr>
          <w:rFonts w:ascii="Times New Roman" w:hAnsi="Times New Roman"/>
          <w:color w:val="000000"/>
          <w:sz w:val="24"/>
        </w:rPr>
      </w:pPr>
      <w:r>
        <w:rPr>
          <w:rFonts w:ascii="Times New Roman" w:hAnsi="Times New Roman"/>
          <w:color w:val="000000"/>
          <w:sz w:val="24"/>
        </w:rPr>
        <w:t>DESTINATION XL GROUP, INC.</w:t>
      </w:r>
    </w:p>
    <w:p>
      <w:pPr>
        <w:pStyle w:val="TextBody"/>
        <w:bidi w:val="0"/>
        <w:jc w:val="center"/>
        <w:rPr>
          <w:rFonts w:ascii="Times New Roman" w:hAnsi="Times New Roman"/>
          <w:color w:val="000000"/>
          <w:sz w:val="24"/>
        </w:rPr>
      </w:pPr>
      <w:r>
        <w:rPr>
          <w:rFonts w:ascii="Times New Roman" w:hAnsi="Times New Roman"/>
          <w:color w:val="000000"/>
          <w:sz w:val="24"/>
        </w:rPr>
        <w:t>SEVENTH AMENDED AND RESTATED</w:t>
      </w:r>
    </w:p>
    <w:p>
      <w:pPr>
        <w:pStyle w:val="TextBody"/>
        <w:bidi w:val="0"/>
        <w:jc w:val="center"/>
        <w:rPr>
          <w:rFonts w:ascii="Times New Roman" w:hAnsi="Times New Roman"/>
          <w:color w:val="000000"/>
          <w:sz w:val="24"/>
        </w:rPr>
      </w:pPr>
      <w:r>
        <w:rPr>
          <w:rFonts w:ascii="Times New Roman" w:hAnsi="Times New Roman"/>
          <w:color w:val="000000"/>
          <w:sz w:val="24"/>
        </w:rPr>
        <w:t>NON-EMPLOYEE DIRECTOR COMPENSATION PLAN</w:t>
      </w:r>
    </w:p>
    <w:p>
      <w:pPr>
        <w:pStyle w:val="TextBody"/>
        <w:bidi w:val="0"/>
        <w:jc w:val="left"/>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Section 1. Establishment and Purpose.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Destination XL Group,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hereby amends and restates the Destination XL Group, Inc. Sixth Amended and Restated Non-Employee Director Compensation Plan (as amended from time to time,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for the purpose of supporting the Company’s ongoing efforts to attract and retain exceptional directors to provide strategic guidance to the Company. The Plan provides a convenient method by which Non-Employee Directors may acquire shares of Common Stock of the Company (“</w:t>
      </w:r>
      <w:r>
        <w:rPr>
          <w:rFonts w:ascii="Times New Roman" w:hAnsi="Times New Roman"/>
          <w:color w:val="000000"/>
          <w:sz w:val="24"/>
          <w:u w:val="single"/>
        </w:rPr>
        <w:t>Shares</w:t>
      </w:r>
      <w:r>
        <w:rPr>
          <w:rFonts w:ascii="Times New Roman" w:hAnsi="Times New Roman"/>
          <w:color w:val="000000"/>
          <w:sz w:val="20"/>
        </w:rPr>
        <w:t>”</w:t>
      </w:r>
      <w:r>
        <w:rPr>
          <w:rFonts w:ascii="Times New Roman" w:hAnsi="Times New Roman"/>
          <w:color w:val="000000"/>
          <w:sz w:val="24"/>
        </w:rPr>
        <w:t>) at fair market value by voluntarily electing to receive Shares in lieu of fees otherwise payable to them in Cash for service as a non-employee member of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The Plan also provides for share ownership guidelines for Non-Employee Directors. The Board requires that each Participant who has not met the ownership guidelines as set forth in the Plan receive a specified percentage of the Participant’s Retainer hereunder in Shares and/or Deferred Stock (referred to as “</w:t>
      </w:r>
      <w:r>
        <w:rPr>
          <w:rFonts w:ascii="Times New Roman" w:hAnsi="Times New Roman"/>
          <w:color w:val="000000"/>
          <w:sz w:val="24"/>
          <w:u w:val="single"/>
        </w:rPr>
        <w:t>Required Equity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Required Shares</w:t>
      </w:r>
      <w:r>
        <w:rPr>
          <w:rFonts w:ascii="Times New Roman" w:hAnsi="Times New Roman"/>
          <w:color w:val="000000"/>
          <w:sz w:val="20"/>
        </w:rPr>
        <w:t>”</w:t>
      </w:r>
      <w:r>
        <w:rPr>
          <w:rFonts w:ascii="Times New Roman" w:hAnsi="Times New Roman"/>
          <w:color w:val="000000"/>
          <w:sz w:val="24"/>
        </w:rPr>
        <w:t>). In addition, each Participant, at his/her discretion, will be able to elect to receive Shares and/or Deferred Stock in lieu of Cash for any remaining portion of the Compensation (“</w:t>
      </w:r>
      <w:r>
        <w:rPr>
          <w:rFonts w:ascii="Times New Roman" w:hAnsi="Times New Roman"/>
          <w:color w:val="000000"/>
          <w:sz w:val="24"/>
          <w:u w:val="single"/>
        </w:rPr>
        <w:t>Discretionary Equity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Discretionary Shares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Shares acquired by a Participant pursuant to this Plan as part of Required Equity and any Deferred Stock shall come from the Incentive Compensation Plan. Any Shares acquired by a Participant pursuant to this Plan as part of Discretionary Equity (other than as part of a grant of Deferred Stock) shall come out of the pool of Shares reserved for issuance under Section 4 of this Plan, subject to adjustment as the Board may from time to time determine, and not from the Incentive Compensation Plan. The Plan shall be effective as of December 11, 2023. Elections for fiscal 2024 and thereafter must be submitted to the Company in accordance with Section 3(d) no later than December 31 of the year preceding the fiscal year for which the election is to be effective.</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Section 2. Definitions.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color w:val="000000"/>
          <w:sz w:val="24"/>
          <w:u w:val="single"/>
        </w:rPr>
        <w:t>Board Chair/Lead Director</w:t>
      </w:r>
      <w:r>
        <w:rPr>
          <w:color w:val="000000"/>
        </w:rPr>
        <w:t xml:space="preserve">” </w:t>
      </w:r>
      <w:r>
        <w:rPr>
          <w:rFonts w:ascii="Times New Roman" w:hAnsi="Times New Roman"/>
          <w:color w:val="000000"/>
          <w:sz w:val="24"/>
        </w:rPr>
        <w:t xml:space="preserve">means an independent director whose responsibilities, if the Board Chair, shall be as set forth for the Chairman of the Board in the Company’s By-laws, and, if the Lead Director, shall include the following and any other responsibilities determined by the Board: (i) presiding at all meetings of the Board at which the Chairman is not present, including executive sessions of the independent directors; (ii) serving as liaison between the Chairman and the independent directors; (iii) reviewing and approving materials to be sent to the Board; (iv) approving the meeting agendas for the Board; (v) approving meeting schedules to assure that there is sufficient time for discussion of all agenda items; (vi) having the authority to call meetings of the independent directors;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(vii) if requested by major shareholders, ensuring that he or she is available for consultation and direct communication.</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color w:val="000000"/>
          <w:sz w:val="24"/>
          <w:u w:val="single"/>
        </w:rPr>
        <w:t>Cash</w:t>
      </w:r>
      <w:r>
        <w:rPr>
          <w:color w:val="000000"/>
        </w:rPr>
        <w:t xml:space="preserve">” </w:t>
      </w:r>
      <w:r>
        <w:rPr>
          <w:rFonts w:ascii="Times New Roman" w:hAnsi="Times New Roman"/>
          <w:color w:val="000000"/>
          <w:sz w:val="24"/>
        </w:rPr>
        <w:t>means U.S. dollars.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 par value $.01 per share.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color w:val="000000"/>
        </w:rPr>
        <w:t>“</w:t>
      </w:r>
      <w:r>
        <w:rPr>
          <w:rFonts w:ascii="Times New Roman" w:hAnsi="Times New Roman"/>
          <w:color w:val="000000"/>
          <w:sz w:val="24"/>
          <w:u w:val="single"/>
        </w:rPr>
        <w:t>Compensation</w:t>
      </w:r>
      <w:r>
        <w:rPr>
          <w:color w:val="000000"/>
        </w:rPr>
        <w:t xml:space="preserve">” </w:t>
      </w:r>
      <w:r>
        <w:rPr>
          <w:rFonts w:ascii="Times New Roman" w:hAnsi="Times New Roman"/>
          <w:color w:val="000000"/>
          <w:sz w:val="24"/>
        </w:rPr>
        <w:t>means the Retainer and other fees paid to Non-Employee Directors pursuant to this Plan. Compensation is payable in the form of Cash, Shares and/or Deferred Stock pursuant to the terms and conditions set forth in this Plan.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color w:val="000000"/>
        </w:rPr>
        <w:t>“</w:t>
      </w:r>
      <w:r>
        <w:rPr>
          <w:rFonts w:ascii="Times New Roman" w:hAnsi="Times New Roman"/>
          <w:color w:val="000000"/>
          <w:sz w:val="24"/>
          <w:u w:val="single"/>
        </w:rPr>
        <w:t>Compensation Payment Choice</w:t>
      </w:r>
      <w:r>
        <w:rPr>
          <w:color w:val="000000"/>
        </w:rPr>
        <w:t xml:space="preserve">” </w:t>
      </w:r>
      <w:r>
        <w:rPr>
          <w:rFonts w:ascii="Times New Roman" w:hAnsi="Times New Roman"/>
          <w:color w:val="000000"/>
          <w:sz w:val="24"/>
        </w:rPr>
        <w:t>means the form of payment of Compensation that a Participant selects in accordance with the terms 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Securities Exchange Act of 1934, as amended from time to time, including rules thereunder and successor provisions and rules thereto.</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color w:val="000000"/>
        </w:rPr>
        <w:t>“</w:t>
      </w:r>
      <w:r>
        <w:rPr>
          <w:rFonts w:ascii="Times New Roman" w:hAnsi="Times New Roman"/>
          <w:color w:val="000000"/>
          <w:sz w:val="24"/>
          <w:u w:val="single"/>
        </w:rPr>
        <w:t>Grant Date</w:t>
      </w:r>
      <w:r>
        <w:rPr>
          <w:color w:val="000000"/>
        </w:rPr>
        <w:t xml:space="preserve">” </w:t>
      </w:r>
      <w:r>
        <w:rPr>
          <w:rFonts w:ascii="Times New Roman" w:hAnsi="Times New Roman"/>
          <w:color w:val="000000"/>
          <w:sz w:val="24"/>
        </w:rPr>
        <w:t xml:space="preserve">means, with respect to the award of Compensation, the first business day of the fiscal quarter to which the Compensation relates.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color w:val="000000"/>
        </w:rPr>
        <w:t>“</w:t>
      </w:r>
      <w:r>
        <w:rPr>
          <w:rFonts w:ascii="Times New Roman" w:hAnsi="Times New Roman"/>
          <w:color w:val="000000"/>
          <w:sz w:val="24"/>
          <w:u w:val="single"/>
        </w:rPr>
        <w:t>Incentive Compensation Plan</w:t>
      </w:r>
      <w:r>
        <w:rPr>
          <w:color w:val="000000"/>
        </w:rPr>
        <w:t xml:space="preserve">” </w:t>
      </w:r>
      <w:r>
        <w:rPr>
          <w:rFonts w:ascii="Times New Roman" w:hAnsi="Times New Roman"/>
          <w:color w:val="000000"/>
          <w:sz w:val="24"/>
        </w:rPr>
        <w:t xml:space="preserve">means the Company’s 2016 Incentive Compensation Plan, as amended from time to time, or any shareholder-approved successor plan to the Company’s 2016 Incentive Compensation Plan.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color w:val="000000"/>
        </w:rPr>
        <w:t>“</w:t>
      </w:r>
      <w:r>
        <w:rPr>
          <w:rFonts w:ascii="Times New Roman" w:hAnsi="Times New Roman"/>
          <w:color w:val="000000"/>
          <w:sz w:val="24"/>
          <w:u w:val="single"/>
        </w:rPr>
        <w:t>Irrevocable Election Agreement</w:t>
      </w:r>
      <w:r>
        <w:rPr>
          <w:color w:val="000000"/>
        </w:rPr>
        <w:t xml:space="preserve">” </w:t>
      </w:r>
      <w:r>
        <w:rPr>
          <w:rFonts w:ascii="Times New Roman" w:hAnsi="Times New Roman"/>
          <w:color w:val="000000"/>
          <w:sz w:val="24"/>
        </w:rPr>
        <w:t xml:space="preserve">means the written agreement, substantially in the form of </w:t>
      </w:r>
      <w:r>
        <w:rPr>
          <w:rFonts w:ascii="Times New Roman" w:hAnsi="Times New Roman"/>
          <w:color w:val="000000"/>
          <w:sz w:val="24"/>
          <w:u w:val="single"/>
        </w:rPr>
        <w:t>Exhibit A</w:t>
      </w:r>
      <w:r>
        <w:rPr>
          <w:rFonts w:ascii="Times New Roman" w:hAnsi="Times New Roman"/>
          <w:color w:val="000000"/>
          <w:sz w:val="24"/>
        </w:rPr>
        <w:t>, between the Company and a Participant, which, together with the Plan and the Incentive Compensation Plan, governs the Participant’s rights to payment of Compensation under the Plan.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color w:val="000000"/>
        </w:rPr>
        <w:t>“</w:t>
      </w:r>
      <w:r>
        <w:rPr>
          <w:rFonts w:ascii="Times New Roman" w:hAnsi="Times New Roman"/>
          <w:color w:val="000000"/>
          <w:sz w:val="24"/>
          <w:u w:val="single"/>
        </w:rPr>
        <w:t>Minimum Ownership Threshold</w:t>
      </w:r>
      <w:r>
        <w:rPr>
          <w:color w:val="000000"/>
        </w:rPr>
        <w:t xml:space="preserve">” </w:t>
      </w:r>
      <w:r>
        <w:rPr>
          <w:rFonts w:ascii="Times New Roman" w:hAnsi="Times New Roman"/>
          <w:color w:val="000000"/>
          <w:sz w:val="24"/>
        </w:rPr>
        <w:t>means owning Ownership Shares (as defined in Section 3(e) of the Plan) equal in value to at least a minimum of three times the aggregate Retainer amount paid in a fiscal year pursuant to Section 3(a)(i).</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color w:val="000000"/>
        </w:rPr>
        <w:t>“</w:t>
      </w:r>
      <w:r>
        <w:rPr>
          <w:rFonts w:ascii="Times New Roman" w:hAnsi="Times New Roman"/>
          <w:color w:val="000000"/>
          <w:sz w:val="24"/>
          <w:u w:val="single"/>
        </w:rPr>
        <w:t>NASDAQ</w:t>
      </w:r>
      <w:r>
        <w:rPr>
          <w:color w:val="000000"/>
        </w:rPr>
        <w:t xml:space="preserve">” </w:t>
      </w:r>
      <w:r>
        <w:rPr>
          <w:rFonts w:ascii="Times New Roman" w:hAnsi="Times New Roman"/>
          <w:color w:val="000000"/>
          <w:sz w:val="24"/>
        </w:rPr>
        <w:t xml:space="preserve">means The Nasdaq Stock Market, LLC, or other securities exchange on which the Common Stock may be traded.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color w:val="000000"/>
        </w:rPr>
        <w:t>“</w:t>
      </w:r>
      <w:r>
        <w:rPr>
          <w:rFonts w:ascii="Times New Roman" w:hAnsi="Times New Roman"/>
          <w:color w:val="000000"/>
          <w:sz w:val="24"/>
          <w:u w:val="single"/>
        </w:rPr>
        <w:t>Non-Employee Director</w:t>
      </w:r>
      <w:r>
        <w:rPr>
          <w:color w:val="000000"/>
        </w:rPr>
        <w:t xml:space="preserve">” </w:t>
      </w:r>
      <w:r>
        <w:rPr>
          <w:rFonts w:ascii="Times New Roman" w:hAnsi="Times New Roman"/>
          <w:color w:val="000000"/>
          <w:sz w:val="24"/>
        </w:rPr>
        <w:t>means a Director who satisfies the requirements set forth in Rule 16b-3(b)(3)(i) under the Exchange Act.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a Non-Employee Director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w:t>
      </w:r>
    </w:p>
    <w:p>
      <w:pPr>
        <w:pStyle w:val="TextBody"/>
        <w:bidi w:val="0"/>
        <w:jc w:val="both"/>
        <w:rPr/>
      </w:pPr>
      <w:r>
        <w:rPr>
          <w:color w:val="000000"/>
        </w:rPr>
        <w:t>“</w:t>
      </w:r>
      <w:r>
        <w:rPr>
          <w:rFonts w:ascii="Times New Roman" w:hAnsi="Times New Roman"/>
          <w:color w:val="000000"/>
          <w:sz w:val="24"/>
          <w:u w:val="single"/>
        </w:rPr>
        <w:t>Separation from Service</w:t>
      </w:r>
      <w:r>
        <w:rPr>
          <w:color w:val="000000"/>
        </w:rPr>
        <w:t xml:space="preserve">” </w:t>
      </w:r>
      <w:r>
        <w:rPr>
          <w:rFonts w:ascii="Times New Roman" w:hAnsi="Times New Roman"/>
          <w:color w:val="000000"/>
          <w:sz w:val="24"/>
        </w:rPr>
        <w:t>means the earliest date on which a Participant has incurred a separation from service, within the meaning of Section 409A(a)(2) of the Code, with the Service Recipient.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pPr>
      <w:r>
        <w:rPr>
          <w:color w:val="000000"/>
        </w:rPr>
        <w:t>“</w:t>
      </w:r>
      <w:r>
        <w:rPr>
          <w:rFonts w:ascii="Times New Roman" w:hAnsi="Times New Roman"/>
          <w:color w:val="000000"/>
          <w:sz w:val="24"/>
          <w:u w:val="single"/>
        </w:rPr>
        <w:t>Service Recipient</w:t>
      </w:r>
      <w:r>
        <w:rPr>
          <w:color w:val="000000"/>
        </w:rPr>
        <w:t xml:space="preserve">” </w:t>
      </w:r>
      <w:r>
        <w:rPr>
          <w:rFonts w:ascii="Times New Roman" w:hAnsi="Times New Roman"/>
          <w:color w:val="000000"/>
          <w:sz w:val="24"/>
        </w:rPr>
        <w:t>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w:t>
      </w:r>
    </w:p>
    <w:p>
      <w:pPr>
        <w:pStyle w:val="TextBody"/>
        <w:bidi w:val="0"/>
        <w:jc w:val="both"/>
        <w:rPr/>
      </w:pPr>
      <w:r>
        <w:rPr>
          <w:color w:val="000000"/>
        </w:rPr>
        <w:t>“</w:t>
      </w:r>
      <w:r>
        <w:rPr>
          <w:rFonts w:ascii="Times New Roman" w:hAnsi="Times New Roman"/>
          <w:color w:val="000000"/>
          <w:sz w:val="24"/>
          <w:u w:val="single"/>
        </w:rPr>
        <w:t>Treasury Regulations</w:t>
      </w:r>
      <w:r>
        <w:rPr>
          <w:color w:val="000000"/>
        </w:rPr>
        <w:t xml:space="preserve">” </w:t>
      </w:r>
      <w:r>
        <w:rPr>
          <w:rFonts w:ascii="Times New Roman" w:hAnsi="Times New Roman"/>
          <w:color w:val="000000"/>
          <w:sz w:val="24"/>
        </w:rPr>
        <w:t>means the regulations promulgated by the United States Treasury Department with respect to the Code, as amended from time to time.</w:t>
      </w:r>
    </w:p>
    <w:p>
      <w:pPr>
        <w:pStyle w:val="TextBody"/>
        <w:bidi w:val="0"/>
        <w:jc w:val="left"/>
        <w:rPr>
          <w:rFonts w:ascii="Times New Roman" w:hAnsi="Times New Roman"/>
          <w:sz w:val="20"/>
        </w:rPr>
      </w:pPr>
      <w:r>
        <w:rPr>
          <w:rFonts w:ascii="Times New Roman" w:hAnsi="Times New Roman"/>
          <w:color w:val="000000"/>
          <w:sz w:val="24"/>
          <w:u w:val="single"/>
        </w:rPr>
        <w:t>Section 3. Compensation; Irrevocable Election; Holding Requirement; Valuation.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color w:val="000000"/>
          <w:sz w:val="24"/>
          <w:u w:val="single"/>
        </w:rPr>
        <w:t>Compensation</w:t>
      </w:r>
      <w:r>
        <w:rPr>
          <w:rFonts w:ascii="Times New Roman" w:hAnsi="Times New Roman"/>
          <w:color w:val="000000"/>
          <w:sz w:val="24"/>
        </w:rPr>
        <w:t>. The Compensation paid to the Participants pursuant to this Plan as consideration for service as a Non-Employee Director shall be as follows: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0"/>
        <w:jc w:val="left"/>
        <w:rPr/>
      </w:pPr>
      <w:r>
        <w:rPr>
          <w:rFonts w:ascii="Times New Roman" w:hAnsi="Times New Roman"/>
          <w:color w:val="000000"/>
          <w:sz w:val="24"/>
        </w:rPr>
        <w:t>a retainer equal to $33,750 per fiscal quarter (“</w:t>
      </w:r>
      <w:r>
        <w:rPr>
          <w:rFonts w:ascii="Times New Roman" w:hAnsi="Times New Roman"/>
          <w:color w:val="000000"/>
          <w:sz w:val="24"/>
          <w:u w:val="single"/>
        </w:rPr>
        <w:t>Retainer</w:t>
      </w:r>
      <w:r>
        <w:rPr>
          <w:color w:val="000000"/>
        </w:rPr>
        <w:t>”</w:t>
      </w: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to the Board Chair/Lead Director, a fee equal to $10,000 per fiscal quarter;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to the chairperson of the Company’s audit committee, a fee equal to $5,000 per fiscal quarter;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iv.</w:t>
      </w:r>
    </w:p>
    <w:p>
      <w:pPr>
        <w:pStyle w:val="TextBody"/>
        <w:bidi w:val="0"/>
        <w:jc w:val="left"/>
        <w:rPr>
          <w:rFonts w:ascii="Times New Roman" w:hAnsi="Times New Roman"/>
          <w:color w:val="000000"/>
          <w:sz w:val="24"/>
        </w:rPr>
      </w:pPr>
      <w:r>
        <w:rPr>
          <w:rFonts w:ascii="Times New Roman" w:hAnsi="Times New Roman"/>
          <w:color w:val="000000"/>
          <w:sz w:val="24"/>
        </w:rPr>
        <w:t>to the chairperson of any of the Company’s other committees, a fee equal to $2,500 per fiscal quarter.</w:t>
      </w:r>
    </w:p>
    <w:p>
      <w:pPr>
        <w:pStyle w:val="TextBody"/>
        <w:bidi w:val="0"/>
        <w:jc w:val="left"/>
        <w:rPr/>
      </w:pPr>
      <w:r>
        <w:rPr/>
        <w:t> </w:t>
      </w:r>
    </w:p>
    <w:p>
      <w:pPr>
        <w:pStyle w:val="TextBody"/>
        <w:bidi w:val="0"/>
        <w:jc w:val="left"/>
        <w:rPr>
          <w:rFonts w:ascii="Times New Roman" w:hAnsi="Times New Roman"/>
          <w:color w:val="212121"/>
          <w:sz w:val="24"/>
        </w:rPr>
      </w:pPr>
      <w:r>
        <w:rPr>
          <w:rFonts w:ascii="Times New Roman" w:hAnsi="Times New Roman"/>
          <w:color w:val="212121"/>
          <w:sz w:val="24"/>
        </w:rPr>
        <w:t>The Compensation shall be earned on a quarterly basis based on the Company’s fiscal year.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pPr>
      <w:r>
        <w:rPr>
          <w:rFonts w:ascii="Times New Roman" w:hAnsi="Times New Roman"/>
          <w:color w:val="212121"/>
          <w:sz w:val="24"/>
          <w:u w:val="single"/>
        </w:rPr>
        <w:t>Payment or Grant</w:t>
      </w:r>
      <w:r>
        <w:rPr>
          <w:rFonts w:ascii="Times New Roman" w:hAnsi="Times New Roman"/>
          <w:color w:val="212121"/>
          <w:sz w:val="24"/>
        </w:rPr>
        <w:t>. The Compensation shall be paid or granted, as applicable, on the second business day of the fiscal quarter that includes the Grant Date. If a Participant is initially elected or appointed to the Board after the Election deadline preceding the commencement of the fiscal year as discussed in Section 3(d) (the “</w:t>
      </w:r>
      <w:r>
        <w:rPr>
          <w:rFonts w:ascii="Times New Roman" w:hAnsi="Times New Roman"/>
          <w:color w:val="212121"/>
          <w:sz w:val="24"/>
          <w:u w:val="single"/>
        </w:rPr>
        <w:t>Start Date</w:t>
      </w:r>
      <w:r>
        <w:rPr>
          <w:color w:val="212121"/>
        </w:rPr>
        <w:t>”</w:t>
      </w:r>
      <w:r>
        <w:rPr>
          <w:rFonts w:ascii="Times New Roman" w:hAnsi="Times New Roman"/>
          <w:color w:val="212121"/>
          <w:sz w:val="24"/>
        </w:rPr>
        <w:t>), such Participant shall receive in Cash, on or as soon as practicable following such Start Date, a prorated portion of the Retainer, Board Chair/Lead Director and chairperson fees, if applicable, otherwise payable to such Participant for such fiscal quarter, with such prorated portion determined by multiplying the Retainer, Board Chair/Lead Director and any applicable chairperson fees by a fraction, the numerator of which is the number of days remaining from the Start Date until the end of the applicable fiscal quarter and the denominator of which is the number of days in the applicable fiscal quarter. If a Participant notifies the Company that he or she will not stand for re-election at the Company’s Annual Meeting of Stockholders (the “</w:t>
      </w:r>
      <w:r>
        <w:rPr>
          <w:rFonts w:ascii="Times New Roman" w:hAnsi="Times New Roman"/>
          <w:color w:val="212121"/>
          <w:sz w:val="24"/>
          <w:u w:val="single"/>
        </w:rPr>
        <w:t>Annual Meeting</w:t>
      </w:r>
      <w:r>
        <w:rPr>
          <w:color w:val="212121"/>
        </w:rPr>
        <w:t>”</w:t>
      </w:r>
      <w:r>
        <w:rPr>
          <w:rFonts w:ascii="Times New Roman" w:hAnsi="Times New Roman"/>
          <w:color w:val="212121"/>
          <w:sz w:val="24"/>
        </w:rPr>
        <w:t xml:space="preserve">) and will experience a Separation from Service as a result, but will serve as a Participant up until the date of the Annual Meeting, Participant will receive a pro-rated portion of his or her quarterly Retainer, Board Chair/Lead Director and chairperson fees, as applicable, for the fiscal quarter in which the Annual Meeting occurs, calculated from the first day of the fiscal quarter in which the Annual Meeting occurs until the date of the Annual Meeting, payable in Cash at the time required pursuant to this Plan and in accordance with Section 409A of the Code.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Source of Shares</w:t>
      </w:r>
      <w:r>
        <w:rPr>
          <w:rFonts w:ascii="Times New Roman" w:hAnsi="Times New Roman"/>
          <w:color w:val="000000"/>
          <w:sz w:val="24"/>
        </w:rPr>
        <w:t>. As provided in Section 1, Compensation paid in the form of Shares as part of any Required Equity or in the form of Deferred Stock shall come from the Incentive Compensation Plan, but will only be made in the form of Shares or Deferred Stock if there is a sufficient number of shares of Common Stock available under the Incentive Compensation Plan. Compensation paid in the form of Shares as part of any Discretionary Equity shall come from the pool of Shares reserved for issuance under this Plan, but will only be made in the form of Shares if there is a sufficient number of shares of Common Stock available under this Plan. In the event that the Company does not have a sufficient number of Shares remaining under the Incentive Compensation Plan to satisfy elections to receive Shares that are part of any Required Equity or that are Deferred Stock, the payments will be made in Cash to the extent of such insufficiency. In the event that the Company does not have a sufficient number of Shares remaining under this Plan to satisfy discretionary elections to receive Shares, the payments will be made in Cash to the extent of such insufficiency. Notwithstanding any provision of the Plan to the contrary, in the event that an election to have Compensation paid in the form of Deferred Stock is replaced with Cash due to one of the foregoing limitations, such Cash payment will be made at the time the Deferred Stock would have been delivered had there been sufficient Shares available.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Election Procedures</w:t>
      </w:r>
      <w:r>
        <w:rPr>
          <w:rFonts w:ascii="Times New Roman" w:hAnsi="Times New Roman"/>
          <w:color w:val="000000"/>
          <w:sz w:val="24"/>
        </w:rPr>
        <w:t xml:space="preserve">. Subject to the Required Equity provisions of the Plan, Participants have the right to elect payment of Compensation in any combination of Cash, Shares, or Deferred Stock. Elections by the Participants made under this Plan must be made in writing substantially in the form of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attached hereto and submitted to the General Counsel of the Company (or such other person as the Committee shall designate) no later than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calendar year preceding the commencement of the fiscal year for which the Compensation will be earned. All elections (including elections to receive Deferred Stock), once submitted, are irrevocable for that fiscal year. During the fiscal year, to the extent the Minimum Ownership Threshold is met by a Participant, any additional Shares payable or Deferred Stock granted to such Participant shall be deemed Discretionary Equity. In the event a timely election is not made or a person does not become a Participant until after the deadline for the election to be made, the Participant shall receive Cash and may not make an election in the form of Exhibit A until the following year.</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Requirement to Hold Equity</w:t>
      </w:r>
      <w:r>
        <w:rPr>
          <w:rFonts w:ascii="Times New Roman" w:hAnsi="Times New Roman"/>
          <w:color w:val="000000"/>
          <w:sz w:val="24"/>
        </w:rPr>
        <w:t xml:space="preserve">. Within five years of a Participant’s election or appointment to the Board, a Participant is expected to own and maintain Shares meeting the Minimum Ownership Threshold. Beginning with the Participant’s first election as set forth in Section 3(d), until such time as the Participant meets the Minimum Ownership Threshold, the Participant will be required to receive 60% of his or her Retainer paid pursuant to Section 3(a)(i) in the form of Shares, subject to the Share limitations set forth in Sections 3 and 4. So long as a Participant meets the Minimum Ownership Threshold, a Participant will be permitted to sell Shares in excess of the Minimum Ownership Threshold, but only if such sale is effectuated in compliance with the Company’s Securities Trading Policy then in effect. A Participant is required to hold the Shares constituting the Minimum Ownership Threshold until his/her Separation from Service, unless otherwise approved by the Board.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Solely for purposes of determining whether the Minimum Ownership Threshold has been achieved, the following shall be deemed to be Shares held by a Participant (referred to as “</w:t>
      </w:r>
      <w:r>
        <w:rPr>
          <w:rFonts w:ascii="Times New Roman" w:hAnsi="Times New Roman"/>
          <w:color w:val="000000"/>
          <w:sz w:val="24"/>
          <w:u w:val="single"/>
        </w:rPr>
        <w:t>Ownership Shares</w:t>
      </w:r>
      <w:r>
        <w:rPr>
          <w:rFonts w:ascii="Times New Roman" w:hAnsi="Times New Roman"/>
          <w:color w:val="000000"/>
          <w:sz w:val="20"/>
        </w:rPr>
        <w:t>”</w:t>
      </w:r>
      <w:r>
        <w:rPr>
          <w:rFonts w:ascii="Times New Roman" w:hAnsi="Times New Roman"/>
          <w:color w:val="000000"/>
          <w:sz w:val="24"/>
        </w:rPr>
        <w:t>): (i) Shares owned directly (including through open market purchases or acquired pursuant to the Plan), (ii) Shares owned jointly with or separately by the Participant’s spouse, (iii) Deferred Stock that has been granted but not yet delivered; (iv) Shares held in trust for the benefit of the Participant or in trust for the benefit of the Participant’s spouse or children for which the Participant acts as trustee, and (v) Shares owned by a partnership, limited liability company or other entity to the extent of the Participant’s interest therein (or the interest therein of his or her immediate family members), but only if the Participant has or shares power to vote or dispose of the Shares. In determining compliance with the Minimum Ownership Threshold, the Committee may evaluate whether exceptions to the Minimum Ownership Threshold should be made for a particular Participant who would incur a hardship by complying with the Minimum Ownership Threshold, including, but not limited to, allowing Participants additional time to regain compliance and/or suspending ownership requirements in the event of significant declines in the price of Shares.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jc w:val="left"/>
        <w:rPr/>
      </w:pPr>
      <w:r>
        <w:rPr>
          <w:rFonts w:ascii="Times New Roman" w:hAnsi="Times New Roman"/>
          <w:color w:val="212121"/>
          <w:sz w:val="24"/>
          <w:u w:val="single"/>
        </w:rPr>
        <w:t>Valuation</w:t>
      </w:r>
      <w:r>
        <w:rPr>
          <w:rFonts w:ascii="Times New Roman" w:hAnsi="Times New Roman"/>
          <w:color w:val="212121"/>
          <w:sz w:val="24"/>
        </w:rPr>
        <w:t xml:space="preserve">. </w:t>
      </w:r>
      <w:r>
        <w:rPr>
          <w:rFonts w:ascii="Times New Roman" w:hAnsi="Times New Roman"/>
          <w:color w:val="000000"/>
          <w:sz w:val="24"/>
        </w:rPr>
        <w:t xml:space="preserve">For purposes of determining the number of Shares held by a Participant or to be granted to a Participant as of a Grant Date, each Share shall be assigned a value equal to the closing sale price of a Share as reported by NASDAQ, or other quotation system or securities exchange on which the Common Stock may be traded, on the </w:t>
      </w:r>
      <w:r>
        <w:rPr>
          <w:rFonts w:ascii="Times New Roman" w:hAnsi="Times New Roman"/>
          <w:color w:val="212121"/>
          <w:sz w:val="24"/>
        </w:rPr>
        <w:t>last trading day of the immediately prior fiscal quarter</w:t>
      </w:r>
      <w:r>
        <w:rPr>
          <w:rFonts w:ascii="Times New Roman" w:hAnsi="Times New Roman"/>
          <w:color w:val="000000"/>
          <w:sz w:val="24"/>
        </w:rPr>
        <w:t xml:space="preserve">. Any grant of Shares or Deferred Stock, pursuant to this Plan, shall be fully vested on the Grant Date. Grant of Shares and Deferred Stock under the Plan will be in the form of whole Shares only; the </w:t>
      </w:r>
      <w:r>
        <w:rPr>
          <w:rFonts w:ascii="Times New Roman" w:hAnsi="Times New Roman"/>
          <w:i/>
          <w:color w:val="000000"/>
          <w:sz w:val="24"/>
        </w:rPr>
        <w:t>de minimis</w:t>
      </w:r>
      <w:r>
        <w:rPr>
          <w:color w:val="000000"/>
        </w:rPr>
        <w:t xml:space="preserve"> </w:t>
      </w:r>
      <w:r>
        <w:rPr>
          <w:rFonts w:ascii="Times New Roman" w:hAnsi="Times New Roman"/>
          <w:color w:val="000000"/>
          <w:sz w:val="24"/>
        </w:rPr>
        <w:t>balance of any foregone fees not payable or grantable in whole Shares will not be paid or granted.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w:t>
      </w:r>
    </w:p>
    <w:p>
      <w:pPr>
        <w:pStyle w:val="TextBody"/>
        <w:bidi w:val="0"/>
        <w:jc w:val="left"/>
        <w:rPr/>
      </w:pPr>
      <w:r>
        <w:rPr>
          <w:rFonts w:ascii="Times New Roman" w:hAnsi="Times New Roman"/>
          <w:color w:val="000000"/>
          <w:sz w:val="24"/>
          <w:u w:val="single"/>
        </w:rPr>
        <w:t>Deferral Election</w:t>
      </w:r>
      <w:r>
        <w:rPr>
          <w:rFonts w:ascii="Times New Roman" w:hAnsi="Times New Roman"/>
          <w:color w:val="000000"/>
          <w:sz w:val="24"/>
        </w:rPr>
        <w:t xml:space="preserve">. If a Participant elects to be granted Deferred Stock, the Participant may irrevocably elect to have delivery of Shares in respect of such Deferred Stock occur within thirty (30) days following: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three-year anniversary of the Grant Date or upon the Participant’s Separation from Service, if earlier, OR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jc w:val="left"/>
        <w:rPr>
          <w:rFonts w:ascii="Times New Roman" w:hAnsi="Times New Roman"/>
          <w:color w:val="000000"/>
          <w:sz w:val="24"/>
        </w:rPr>
      </w:pPr>
      <w:r>
        <w:rPr>
          <w:rFonts w:ascii="Times New Roman" w:hAnsi="Times New Roman"/>
          <w:color w:val="000000"/>
          <w:sz w:val="24"/>
        </w:rPr>
        <w:t xml:space="preserve">The Participant’s Separation from Service.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If a Participant fails to make a timely election as to the date of delivery, then delivery of such Deferred Stock will be made within the thirty (30)-day period immediately following the Participant’s Separation from Service.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While it is not anticipated that any Participant will be deemed to be a “specified employee” as that term is defined in Section 409A(a)(2)(B)(i) of the Code, in the event that a Participant is deemed to be a specified employee of the Company, then notwithstanding the foregoing, any payment that is nonqualified deferred compensation under Section 409A of the Code that is payable on account of the Participant’s Separation from Service shall be made on the first day following the date that is six months after the Participant’s Separation from Service (or, if earlier, the date of the Participant’s death).</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4. Number of Shares Under the Plan and the Maximum Number of Shares Available for Compensation Under the Plan.</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Subject to adjustment as the Board may from time to time determine, the total number of Shares reserved and available under the Plan with respect to Discretionary Shares (other than Deferred Stock) shall be 1,500,000, as adjusted for any stock dividends, combinations, splits, recapitalizations and the like.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Subject to adjustment as the Board may from time to time determine, the maximum number of Shares (the aggregate of both Required Equity and Discretionary Equity) that can be granted in any fiscal quarter under the Plan is 250,000 Shares, including shares of Deferred Stock.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If the aggregate number of Shares needed for the payment of Compensation to all electing Participants in a given quarter exceeds 250,000 Shares, the 250,000 Shares shall first be allocated ratably in proportion towards the satisfaction of any Required Equity with any remaining Shares allocated ratably in proportion to the respective Discretionary Equity amounts which would otherwise be payable or granted to them absent such limitation or insufficiency. Notwithstanding any provision of the Plan to the contrary, in the event that an election to have Compensation paid in the form of Deferred Stock is replaced with Cash settlement due to one of the foregoing limitations, such Cash payment will be made at the time the Deferred Stock would have been delivered had there been sufficient Shares available.</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Section 5. Additional Compensation.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event of the creation of a special Board committee tasked with working on a significant corporate event (a “Special Committee”), the Board shall determine the amount, timing and form of payment of any additional Compensation which it determines should be paid to the Participants serving on the Special Committee.</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 Change in Control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and to the extent that it would not violate the requirements of Section 409A of the Code, in the event of a Change in Control prior to, or concurrently with, a Participant’s Separation from Service, Shares underlying any Deferred Stock Award shall be delivered as soon as administratively practicable after, and in all events within 30 days after, the Change of Control.</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Section 7. No Acceleration of Benefits.</w:t>
      </w:r>
    </w:p>
    <w:p>
      <w:pPr>
        <w:pStyle w:val="TextBody"/>
        <w:bidi w:val="0"/>
        <w:jc w:val="both"/>
        <w:rPr>
          <w:rFonts w:ascii="Times New Roman" w:hAnsi="Times New Roman"/>
          <w:color w:val="000000"/>
          <w:sz w:val="24"/>
        </w:rPr>
      </w:pPr>
      <w:r>
        <w:rPr>
          <w:rFonts w:ascii="Times New Roman" w:hAnsi="Times New Roman"/>
          <w:color w:val="000000"/>
          <w:sz w:val="24"/>
        </w:rPr>
        <w:t>In no event shall the acceleration of the time or schedule of any payment under the Plan that is subject to Section 409A of the Code be permitted, except to the extent permitted under Section 409A of the Code and the Treasury Regulations and other applicable guidance issued thereunder.</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8. Amendment and Termination.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9. Unfunded Obligation and Assignment.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(or would be permitted under the terms of the Incentive Compensation Plan if payment hereunder was being made under the Incentive Compensation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10. Withholding.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11. Applicable Law.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Plan shall be construed and enforced in accordance with the laws of the State of Delaware, except to the extent superseded by federal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12. Administration and Interpretation.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himself or herself entitled may file a written claim with the Committee, which shall act on the claim within thirty days. Any decisions or interpretations by the Committee relating to benefits under the Plan shall be binding and conclusive on all affected parties.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Section 13. Code Section 409A.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It is intended that the Compensation granted pursuant to this Plan, other than any Deferred Stock, be exempt from Section 409A of the Code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because it is believed the Compensation payable in Cash and Shares should qualify for the short-term deferral exception contained in Treasury Regulation §1.409A-1(b)(4). It also is intended that any Compensation payable in the form of Deferred Stock shall comply with the requirements of Section 409A. The provisions of the Plan shall be interpreted in a manner consistent with the foregoing intentions.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the extent that the Committee determines that the Compensation is not so exempt, to amend the Plan (and any agreements relating to any Compensation) in such manner as the Committee shall deem necessary or appropriate to comply with the requirements of Section 409A.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THIS SPACE IS LEFT BLANK INTENTIONALLY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A</w:t>
        <w:br/>
      </w:r>
      <w:r>
        <w:rPr>
          <w:rFonts w:ascii="Times New Roman" w:hAnsi="Times New Roman"/>
          <w:color w:val="000000"/>
          <w:sz w:val="20"/>
        </w:rPr>
        <w:t> </w:t>
      </w:r>
    </w:p>
    <w:p>
      <w:pPr>
        <w:pStyle w:val="TextBody"/>
        <w:bidi w:val="0"/>
        <w:jc w:val="center"/>
        <w:rPr>
          <w:rFonts w:ascii="Times New Roman" w:hAnsi="Times New Roman"/>
          <w:sz w:val="20"/>
        </w:rPr>
      </w:pPr>
      <w:r>
        <w:rPr>
          <w:rFonts w:ascii="Times New Roman" w:hAnsi="Times New Roman"/>
          <w:b/>
          <w:color w:val="000000"/>
          <w:sz w:val="20"/>
        </w:rPr>
        <w:t>DESTINATION XL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SEVENTH AMENDED AND RESTATED</w:t>
        <w:br/>
        <w:t>NON-EMPLOYEE DIRECTOR COMPENSATION PLAN (THE “PLAN”)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IRREVOCABLE ELECTION AGREEMENT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TO: General Counsel: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 _____________________________, hereby understand that, if the value of Ownership Shares (as defined in Section 3(e) of the Plan) that I own does not meet the Minimum Ownership Threshold, then I am required to receive 60% of the Retainer (as defined in Section 3(a)(i) of the Plan) in the form of Shares and/or Deferred Stock. Further, I understand that I am able to elect more than the 60% of the Retainer in the form of Shares and/or Deferred Stock. If, after meeting the Minimum Ownership Threshold, the value of the Ownership Shares that I own subsequently falls below the Minimum Ownership Threshold as of the Grant Date, I understand that I will again be required to receive 60% of the Retainer in Shares and/or Deferred Stock until the value of the Ownership Shares that I own meets the Minimum Ownership Threshold (determined as of each Grant Date). In the event that any portion of the Retainer I previously elected to receive in Cash is required to be provided in the form of Required Shares pursuant to the foregoing, such portion shall be paid in the form of Shares (and not in the form of Deferred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NOTE: You have the opportunity to decide the Compensation Payment Choice of Cash, Shares and/or Deferred Stock, subject to the terms and conditions of the Plan and the 2016 Incentive Compensation Plan. Your selected choice(s) for any given year must equal 100%.</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elect to receive my Compensation (as defined in the Plan) as follows, subject to the terms of the Plan and the 2016 Incentive Compensation Plan:</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PLEASE COMPLETE ALL COLUMNS*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1"/>
        <w:gridCol w:w="651"/>
        <w:gridCol w:w="715"/>
        <w:gridCol w:w="3255"/>
        <w:gridCol w:w="783"/>
      </w:tblGrid>
      <w:tr>
        <w:trPr/>
        <w:tc>
          <w:tcPr>
            <w:tcW w:w="480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8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to Which the Election Applies</w:t>
            </w:r>
          </w:p>
        </w:tc>
        <w:tc>
          <w:tcPr>
            <w:tcW w:w="6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Cash</w:t>
            </w:r>
          </w:p>
        </w:tc>
        <w:tc>
          <w:tcPr>
            <w:tcW w:w="7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Shares</w:t>
            </w:r>
          </w:p>
        </w:tc>
        <w:tc>
          <w:tcPr>
            <w:tcW w:w="32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Deferred Stock</w:t>
            </w:r>
          </w:p>
        </w:tc>
        <w:tc>
          <w:tcPr>
            <w:tcW w:w="78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r>
      <w:tr>
        <w:trPr/>
        <w:tc>
          <w:tcPr>
            <w:tcW w:w="48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u w:val="single"/>
              </w:rPr>
            </w:pPr>
            <w:r>
              <w:rPr>
                <w:rFonts w:ascii="Times New Roman" w:hAnsi="Times New Roman"/>
                <w:b/>
                <w:color w:val="000000"/>
                <w:sz w:val="16"/>
                <w:u w:val="single"/>
              </w:rPr>
              <w:t>60% of Retainer</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Note - Unless the Minimum Ownership Threshold is met, any Cash portion elected that is needed to satisfy the Required Equity will instead be paid in Shares</w:t>
            </w:r>
          </w:p>
        </w:tc>
        <w:tc>
          <w:tcPr>
            <w:tcW w:w="65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_______%</w:t>
            </w:r>
          </w:p>
        </w:tc>
        <w:tc>
          <w:tcPr>
            <w:tcW w:w="71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______%</w:t>
            </w:r>
          </w:p>
        </w:tc>
        <w:tc>
          <w:tcPr>
            <w:tcW w:w="325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w:t>
            </w:r>
          </w:p>
          <w:p>
            <w:pPr>
              <w:pStyle w:val="TableContents"/>
              <w:bidi w:val="0"/>
              <w:jc w:val="left"/>
              <w:rPr>
                <w:rFonts w:ascii="Times New Roman" w:hAnsi="Times New Roman"/>
                <w:sz w:val="16"/>
              </w:rPr>
            </w:pPr>
            <w:r>
              <w:rPr>
                <w:rFonts w:ascii="Times New Roman" w:hAnsi="Times New Roman"/>
                <w:color w:val="000000"/>
                <w:sz w:val="16"/>
              </w:rPr>
              <w:t>Deliver on 3</w:t>
            </w:r>
            <w:r>
              <w:rPr>
                <w:rFonts w:ascii="Times New Roman" w:hAnsi="Times New Roman"/>
                <w:color w:val="000000"/>
                <w:sz w:val="11"/>
              </w:rPr>
              <w:t>rd</w:t>
            </w:r>
            <w:r>
              <w:rPr>
                <w:rFonts w:ascii="Times New Roman" w:hAnsi="Times New Roman"/>
                <w:color w:val="000000"/>
                <w:sz w:val="16"/>
              </w:rPr>
              <w:t> Anniversary of Grant Date if Such Date Occurs Prior to Separation from Service:</w:t>
            </w:r>
          </w:p>
          <w:p>
            <w:pPr>
              <w:pStyle w:val="TableContents"/>
              <w:bidi w:val="0"/>
              <w:jc w:val="left"/>
              <w:rPr/>
            </w:pPr>
            <w:r>
              <w:rPr/>
              <w:t> </w:t>
            </w:r>
          </w:p>
          <w:p>
            <w:pPr>
              <w:pStyle w:val="TableContents"/>
              <w:bidi w:val="0"/>
              <w:jc w:val="left"/>
              <w:rPr>
                <w:rFonts w:ascii="Times New Roman" w:hAnsi="Times New Roman"/>
                <w:color w:val="000000"/>
                <w:sz w:val="16"/>
              </w:rPr>
            </w:pPr>
            <w:r>
              <w:rPr>
                <w:rFonts w:ascii="Times New Roman" w:hAnsi="Times New Roman"/>
                <w:color w:val="000000"/>
                <w:sz w:val="16"/>
              </w:rPr>
              <w:t>Yes__</w:t>
            </w:r>
          </w:p>
          <w:p>
            <w:pPr>
              <w:pStyle w:val="TableContents"/>
              <w:bidi w:val="0"/>
              <w:jc w:val="left"/>
              <w:rPr>
                <w:rFonts w:ascii="Times New Roman" w:hAnsi="Times New Roman"/>
                <w:color w:val="000000"/>
                <w:sz w:val="16"/>
              </w:rPr>
            </w:pPr>
            <w:r>
              <w:rPr>
                <w:rFonts w:ascii="Times New Roman" w:hAnsi="Times New Roman"/>
                <w:color w:val="000000"/>
                <w:sz w:val="16"/>
              </w:rPr>
              <w:t>No __</w:t>
            </w:r>
          </w:p>
          <w:p>
            <w:pPr>
              <w:pStyle w:val="TableContents"/>
              <w:bidi w:val="0"/>
              <w:jc w:val="left"/>
              <w:rPr/>
            </w:pPr>
            <w:r>
              <w:rPr/>
              <w:t> </w:t>
            </w:r>
          </w:p>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The delivery date will be Separation from Service unless Yes is elected above</w:t>
            </w:r>
          </w:p>
        </w:tc>
        <w:tc>
          <w:tcPr>
            <w:tcW w:w="78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w:t>
            </w:r>
          </w:p>
        </w:tc>
      </w:tr>
      <w:tr>
        <w:trPr/>
        <w:tc>
          <w:tcPr>
            <w:tcW w:w="4801" w:type="dxa"/>
            <w:tcBorders>
              <w:left w:val="single" w:sz="4" w:space="0" w:color="000000"/>
              <w:bottom w:val="single" w:sz="4" w:space="0" w:color="000000"/>
              <w:right w:val="single" w:sz="4" w:space="0" w:color="000000"/>
            </w:tcBorders>
            <w:shd w:fill="BFBFBF" w:val="clear"/>
            <w:tcMar>
              <w:top w:w="0" w:type="dxa"/>
              <w:left w:w="108" w:type="dxa"/>
              <w:right w:w="108" w:type="dxa"/>
            </w:tcMar>
            <w:vAlign w:val="center"/>
          </w:tcPr>
          <w:p>
            <w:pPr>
              <w:pStyle w:val="TableContents"/>
              <w:bidi w:val="0"/>
              <w:spacing w:before="0" w:after="283"/>
              <w:jc w:val="center"/>
              <w:rPr/>
            </w:pPr>
            <w:r>
              <w:rPr/>
              <w:t> </w:t>
            </w:r>
          </w:p>
        </w:tc>
        <w:tc>
          <w:tcPr>
            <w:tcW w:w="651"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pPr>
            <w:r>
              <w:rPr/>
              <w:t> </w:t>
            </w:r>
          </w:p>
        </w:tc>
        <w:tc>
          <w:tcPr>
            <w:tcW w:w="715"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pPr>
            <w:r>
              <w:rPr/>
              <w:t> </w:t>
            </w:r>
          </w:p>
        </w:tc>
        <w:tc>
          <w:tcPr>
            <w:tcW w:w="3255"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pPr>
            <w:r>
              <w:rPr/>
              <w:t> </w:t>
            </w:r>
          </w:p>
        </w:tc>
        <w:tc>
          <w:tcPr>
            <w:tcW w:w="783"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pPr>
            <w:r>
              <w:rPr/>
              <w:t> </w:t>
            </w:r>
          </w:p>
        </w:tc>
      </w:tr>
      <w:tr>
        <w:trPr/>
        <w:tc>
          <w:tcPr>
            <w:tcW w:w="48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Cash</w:t>
            </w:r>
          </w:p>
        </w:tc>
        <w:tc>
          <w:tcPr>
            <w:tcW w:w="7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Shares</w:t>
            </w:r>
          </w:p>
        </w:tc>
        <w:tc>
          <w:tcPr>
            <w:tcW w:w="32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Deferred Stock</w:t>
            </w:r>
          </w:p>
        </w:tc>
        <w:tc>
          <w:tcPr>
            <w:tcW w:w="78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48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40% of Retainer</w:t>
            </w:r>
          </w:p>
        </w:tc>
        <w:tc>
          <w:tcPr>
            <w:tcW w:w="65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______%</w:t>
            </w:r>
          </w:p>
        </w:tc>
        <w:tc>
          <w:tcPr>
            <w:tcW w:w="71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_____%</w:t>
            </w:r>
          </w:p>
        </w:tc>
        <w:tc>
          <w:tcPr>
            <w:tcW w:w="325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______%</w:t>
            </w:r>
          </w:p>
          <w:p>
            <w:pPr>
              <w:pStyle w:val="TableContents"/>
              <w:bidi w:val="0"/>
              <w:jc w:val="left"/>
              <w:rPr/>
            </w:pPr>
            <w:r>
              <w:rPr/>
              <w:t> </w:t>
            </w:r>
          </w:p>
          <w:p>
            <w:pPr>
              <w:pStyle w:val="TableContents"/>
              <w:bidi w:val="0"/>
              <w:jc w:val="left"/>
              <w:rPr>
                <w:rFonts w:ascii="Times New Roman" w:hAnsi="Times New Roman"/>
                <w:sz w:val="16"/>
              </w:rPr>
            </w:pPr>
            <w:r>
              <w:rPr>
                <w:rFonts w:ascii="Times New Roman" w:hAnsi="Times New Roman"/>
                <w:color w:val="000000"/>
                <w:sz w:val="16"/>
              </w:rPr>
              <w:t>Deliver on 3</w:t>
            </w:r>
            <w:r>
              <w:rPr>
                <w:rFonts w:ascii="Times New Roman" w:hAnsi="Times New Roman"/>
                <w:color w:val="000000"/>
                <w:sz w:val="11"/>
              </w:rPr>
              <w:t>rd</w:t>
            </w:r>
            <w:r>
              <w:rPr>
                <w:rFonts w:ascii="Times New Roman" w:hAnsi="Times New Roman"/>
                <w:color w:val="000000"/>
                <w:sz w:val="16"/>
              </w:rPr>
              <w:t> Anniversary of Grant Date if Such Date Occurs Prior to Separation from Service:</w:t>
            </w:r>
          </w:p>
          <w:p>
            <w:pPr>
              <w:pStyle w:val="TableContents"/>
              <w:bidi w:val="0"/>
              <w:jc w:val="left"/>
              <w:rPr/>
            </w:pPr>
            <w:r>
              <w:rPr/>
              <w:t> </w:t>
            </w:r>
          </w:p>
          <w:p>
            <w:pPr>
              <w:pStyle w:val="TableContents"/>
              <w:bidi w:val="0"/>
              <w:jc w:val="left"/>
              <w:rPr>
                <w:rFonts w:ascii="Times New Roman" w:hAnsi="Times New Roman"/>
                <w:color w:val="000000"/>
                <w:sz w:val="16"/>
              </w:rPr>
            </w:pPr>
            <w:r>
              <w:rPr>
                <w:rFonts w:ascii="Times New Roman" w:hAnsi="Times New Roman"/>
                <w:color w:val="000000"/>
                <w:sz w:val="16"/>
              </w:rPr>
              <w:t>Yes__</w:t>
            </w:r>
          </w:p>
          <w:p>
            <w:pPr>
              <w:pStyle w:val="TableContents"/>
              <w:bidi w:val="0"/>
              <w:jc w:val="left"/>
              <w:rPr>
                <w:rFonts w:ascii="Times New Roman" w:hAnsi="Times New Roman"/>
                <w:color w:val="000000"/>
                <w:sz w:val="16"/>
              </w:rPr>
            </w:pPr>
            <w:r>
              <w:rPr>
                <w:rFonts w:ascii="Times New Roman" w:hAnsi="Times New Roman"/>
                <w:color w:val="000000"/>
                <w:sz w:val="16"/>
              </w:rPr>
              <w:t>No __</w:t>
            </w:r>
          </w:p>
          <w:p>
            <w:pPr>
              <w:pStyle w:val="TableContents"/>
              <w:bidi w:val="0"/>
              <w:jc w:val="left"/>
              <w:rPr/>
            </w:pPr>
            <w:r>
              <w:rPr/>
              <w:t> </w:t>
            </w:r>
          </w:p>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The delivery date will be Separation from Service unless Yes is elected above</w:t>
            </w:r>
          </w:p>
        </w:tc>
        <w:tc>
          <w:tcPr>
            <w:tcW w:w="78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4"/>
        <w:gridCol w:w="858"/>
        <w:gridCol w:w="839"/>
        <w:gridCol w:w="6312"/>
        <w:gridCol w:w="572"/>
      </w:tblGrid>
      <w:tr>
        <w:trPr/>
        <w:tc>
          <w:tcPr>
            <w:tcW w:w="162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31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62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pPr>
            <w:r>
              <w:rPr/>
              <w:t> </w:t>
            </w:r>
          </w:p>
        </w:tc>
        <w:tc>
          <w:tcPr>
            <w:tcW w:w="85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Cash</w:t>
            </w:r>
          </w:p>
        </w:tc>
        <w:tc>
          <w:tcPr>
            <w:tcW w:w="83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Shares</w:t>
            </w:r>
          </w:p>
        </w:tc>
        <w:tc>
          <w:tcPr>
            <w:tcW w:w="631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Deferred Stock</w:t>
            </w:r>
          </w:p>
        </w:tc>
        <w:tc>
          <w:tcPr>
            <w:tcW w:w="57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162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sz w:val="16"/>
              </w:rPr>
            </w:pPr>
            <w:r>
              <w:rPr>
                <w:rFonts w:ascii="Times New Roman" w:hAnsi="Times New Roman"/>
                <w:b/>
                <w:color w:val="000000"/>
                <w:sz w:val="16"/>
                <w:u w:val="single"/>
              </w:rPr>
              <w:t>Board Chair /</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Lead Director Fee</w:t>
            </w:r>
          </w:p>
        </w:tc>
        <w:tc>
          <w:tcPr>
            <w:tcW w:w="858"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_______%</w:t>
            </w:r>
          </w:p>
          <w:p>
            <w:pPr>
              <w:pStyle w:val="TableContents"/>
              <w:bidi w:val="0"/>
              <w:spacing w:before="0" w:after="283"/>
              <w:jc w:val="left"/>
              <w:rPr/>
            </w:pPr>
            <w:r>
              <w:rPr/>
              <w:t> </w:t>
            </w:r>
          </w:p>
        </w:tc>
        <w:tc>
          <w:tcPr>
            <w:tcW w:w="839"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______%</w:t>
            </w:r>
          </w:p>
        </w:tc>
        <w:tc>
          <w:tcPr>
            <w:tcW w:w="631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______%</w:t>
            </w:r>
          </w:p>
          <w:p>
            <w:pPr>
              <w:pStyle w:val="TableContents"/>
              <w:bidi w:val="0"/>
              <w:jc w:val="left"/>
              <w:rPr/>
            </w:pPr>
            <w:r>
              <w:rPr/>
              <w:t> </w:t>
            </w:r>
          </w:p>
          <w:p>
            <w:pPr>
              <w:pStyle w:val="TableContents"/>
              <w:bidi w:val="0"/>
              <w:jc w:val="left"/>
              <w:rPr>
                <w:rFonts w:ascii="Times New Roman" w:hAnsi="Times New Roman"/>
                <w:sz w:val="16"/>
              </w:rPr>
            </w:pPr>
            <w:r>
              <w:rPr>
                <w:rFonts w:ascii="Times New Roman" w:hAnsi="Times New Roman"/>
                <w:color w:val="000000"/>
                <w:sz w:val="16"/>
              </w:rPr>
              <w:t>Deliver on 3</w:t>
            </w:r>
            <w:r>
              <w:rPr>
                <w:rFonts w:ascii="Times New Roman" w:hAnsi="Times New Roman"/>
                <w:color w:val="000000"/>
                <w:sz w:val="11"/>
              </w:rPr>
              <w:t>rd</w:t>
            </w:r>
            <w:r>
              <w:rPr>
                <w:rFonts w:ascii="Times New Roman" w:hAnsi="Times New Roman"/>
                <w:color w:val="000000"/>
                <w:sz w:val="16"/>
              </w:rPr>
              <w:t> Anniversary of Grant Date if Such Date Occurs Prior to Separation from Service:</w:t>
            </w:r>
          </w:p>
          <w:p>
            <w:pPr>
              <w:pStyle w:val="TableContents"/>
              <w:bidi w:val="0"/>
              <w:jc w:val="left"/>
              <w:rPr/>
            </w:pPr>
            <w:r>
              <w:rPr/>
              <w:t> </w:t>
            </w:r>
          </w:p>
          <w:p>
            <w:pPr>
              <w:pStyle w:val="TableContents"/>
              <w:bidi w:val="0"/>
              <w:jc w:val="left"/>
              <w:rPr>
                <w:rFonts w:ascii="Times New Roman" w:hAnsi="Times New Roman"/>
                <w:color w:val="000000"/>
                <w:sz w:val="16"/>
              </w:rPr>
            </w:pPr>
            <w:r>
              <w:rPr>
                <w:rFonts w:ascii="Times New Roman" w:hAnsi="Times New Roman"/>
                <w:color w:val="000000"/>
                <w:sz w:val="16"/>
              </w:rPr>
              <w:t>Yes__</w:t>
            </w:r>
          </w:p>
          <w:p>
            <w:pPr>
              <w:pStyle w:val="TableContents"/>
              <w:bidi w:val="0"/>
              <w:jc w:val="left"/>
              <w:rPr>
                <w:rFonts w:ascii="Times New Roman" w:hAnsi="Times New Roman"/>
                <w:color w:val="000000"/>
                <w:sz w:val="16"/>
              </w:rPr>
            </w:pPr>
            <w:r>
              <w:rPr>
                <w:rFonts w:ascii="Times New Roman" w:hAnsi="Times New Roman"/>
                <w:color w:val="000000"/>
                <w:sz w:val="16"/>
              </w:rPr>
              <w:t>No __</w:t>
            </w:r>
          </w:p>
          <w:p>
            <w:pPr>
              <w:pStyle w:val="TableContents"/>
              <w:bidi w:val="0"/>
              <w:jc w:val="left"/>
              <w:rPr/>
            </w:pPr>
            <w:r>
              <w:rPr/>
              <w:t> </w:t>
            </w:r>
          </w:p>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The delivery date will be Separation from Service unless Yes is elected above</w:t>
            </w:r>
          </w:p>
        </w:tc>
        <w:tc>
          <w:tcPr>
            <w:tcW w:w="57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w:t>
            </w:r>
          </w:p>
        </w:tc>
      </w:tr>
      <w:tr>
        <w:trPr/>
        <w:tc>
          <w:tcPr>
            <w:tcW w:w="162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Committee Chair Fee</w:t>
            </w:r>
          </w:p>
        </w:tc>
        <w:tc>
          <w:tcPr>
            <w:tcW w:w="858"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_______%</w:t>
            </w:r>
          </w:p>
          <w:p>
            <w:pPr>
              <w:pStyle w:val="TableContents"/>
              <w:bidi w:val="0"/>
              <w:spacing w:before="0" w:after="283"/>
              <w:jc w:val="left"/>
              <w:rPr/>
            </w:pPr>
            <w:r>
              <w:rPr/>
              <w:t> </w:t>
            </w:r>
          </w:p>
        </w:tc>
        <w:tc>
          <w:tcPr>
            <w:tcW w:w="839"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______%</w:t>
            </w:r>
          </w:p>
          <w:p>
            <w:pPr>
              <w:pStyle w:val="TableContents"/>
              <w:bidi w:val="0"/>
              <w:spacing w:before="0" w:after="283"/>
              <w:jc w:val="left"/>
              <w:rPr/>
            </w:pPr>
            <w:r>
              <w:rPr/>
              <w:t> </w:t>
            </w:r>
          </w:p>
        </w:tc>
        <w:tc>
          <w:tcPr>
            <w:tcW w:w="631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______%</w:t>
            </w:r>
          </w:p>
          <w:p>
            <w:pPr>
              <w:pStyle w:val="TableContents"/>
              <w:bidi w:val="0"/>
              <w:jc w:val="left"/>
              <w:rPr/>
            </w:pPr>
            <w:r>
              <w:rPr/>
              <w:t> </w:t>
            </w:r>
          </w:p>
          <w:p>
            <w:pPr>
              <w:pStyle w:val="TableContents"/>
              <w:bidi w:val="0"/>
              <w:jc w:val="left"/>
              <w:rPr>
                <w:rFonts w:ascii="Times New Roman" w:hAnsi="Times New Roman"/>
                <w:sz w:val="16"/>
              </w:rPr>
            </w:pPr>
            <w:r>
              <w:rPr>
                <w:rFonts w:ascii="Times New Roman" w:hAnsi="Times New Roman"/>
                <w:color w:val="000000"/>
                <w:sz w:val="16"/>
              </w:rPr>
              <w:t>Deliver on 3</w:t>
            </w:r>
            <w:r>
              <w:rPr>
                <w:rFonts w:ascii="Times New Roman" w:hAnsi="Times New Roman"/>
                <w:color w:val="000000"/>
                <w:sz w:val="11"/>
              </w:rPr>
              <w:t>rd</w:t>
            </w:r>
            <w:r>
              <w:rPr>
                <w:rFonts w:ascii="Times New Roman" w:hAnsi="Times New Roman"/>
                <w:color w:val="000000"/>
                <w:sz w:val="16"/>
              </w:rPr>
              <w:t> Anniversary of Grant Date if Such Date Occurs Prior to Separation from Service:</w:t>
            </w:r>
          </w:p>
          <w:p>
            <w:pPr>
              <w:pStyle w:val="TableContents"/>
              <w:bidi w:val="0"/>
              <w:jc w:val="left"/>
              <w:rPr/>
            </w:pPr>
            <w:r>
              <w:rPr/>
              <w:t> </w:t>
            </w:r>
          </w:p>
          <w:p>
            <w:pPr>
              <w:pStyle w:val="TableContents"/>
              <w:bidi w:val="0"/>
              <w:jc w:val="left"/>
              <w:rPr>
                <w:rFonts w:ascii="Times New Roman" w:hAnsi="Times New Roman"/>
                <w:color w:val="000000"/>
                <w:sz w:val="16"/>
              </w:rPr>
            </w:pPr>
            <w:r>
              <w:rPr>
                <w:rFonts w:ascii="Times New Roman" w:hAnsi="Times New Roman"/>
                <w:color w:val="000000"/>
                <w:sz w:val="16"/>
              </w:rPr>
              <w:t>Yes__</w:t>
            </w:r>
          </w:p>
          <w:p>
            <w:pPr>
              <w:pStyle w:val="TableContents"/>
              <w:bidi w:val="0"/>
              <w:jc w:val="left"/>
              <w:rPr>
                <w:rFonts w:ascii="Times New Roman" w:hAnsi="Times New Roman"/>
                <w:color w:val="000000"/>
                <w:sz w:val="16"/>
              </w:rPr>
            </w:pPr>
            <w:r>
              <w:rPr>
                <w:rFonts w:ascii="Times New Roman" w:hAnsi="Times New Roman"/>
                <w:color w:val="000000"/>
                <w:sz w:val="16"/>
              </w:rPr>
              <w:t>No __</w:t>
            </w:r>
          </w:p>
          <w:p>
            <w:pPr>
              <w:pStyle w:val="TableContents"/>
              <w:bidi w:val="0"/>
              <w:jc w:val="left"/>
              <w:rPr/>
            </w:pPr>
            <w:r>
              <w:rPr/>
              <w:t> </w:t>
            </w:r>
          </w:p>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The delivery date will be Separation from Service unless Yes is elected above</w:t>
            </w:r>
          </w:p>
        </w:tc>
        <w:tc>
          <w:tcPr>
            <w:tcW w:w="57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Note that in the case of Deferred Stock actual delivery will be made within thirty (30) days following the applicable delivery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 </w:t>
      </w:r>
      <w:r>
        <w:rPr>
          <w:rFonts w:ascii="Times New Roman" w:hAnsi="Times New Roman"/>
          <w:b/>
          <w:color w:val="000000"/>
          <w:sz w:val="18"/>
        </w:rPr>
        <w:t>Every row must be completed by each Participant.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 understand and acknowledge that as discussed in Section 4 of the Plan, if the aggregate Required Equity and Discretionary Equity to be granted to all Participants in a quarter exceeds the maximum number of Shares permitted,</w:t>
      </w:r>
      <w:r>
        <w:rPr>
          <w:rFonts w:ascii="Times New Roman" w:hAnsi="Times New Roman"/>
          <w:color w:val="000000"/>
          <w:sz w:val="20"/>
        </w:rPr>
        <w:t xml:space="preserve"> </w:t>
      </w:r>
      <w:r>
        <w:rPr>
          <w:rFonts w:ascii="Times New Roman" w:hAnsi="Times New Roman"/>
          <w:color w:val="000000"/>
          <w:sz w:val="18"/>
        </w:rPr>
        <w:t>Shares shall first be allocated to Participants ratably in proportion towards the satisfaction of any Required Equity with any remaining Equity allocated ratably in proportion to the respective Discretionary Equity amounts that would otherwise be payable to the Participant absent such limitation or insufficiency, with the shortfall to be paid in Cash. Notwithstanding any provision of the Plan to the contrary, in the event that an election to have Compensation paid in the form of Deferred Stock is replaced with Cash settlement due to the foregoing limitations, such Cash payment will be made at the time the Deferred Stock would have been delivered had there been sufficient Shares available.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 understand and acknowledge that I may not sell Shares unless the value of Shares that I own exceeds the Minimum Ownership Threshold. If I meet the Minimum Ownership Threshold, I understand and acknowledge that I may sell Shares provided such sales do not result in my no longer meeting the Minimum Ownership Threshold, and that any such sales must be effectuated in compliance with the Company’s Securities Trading Policy then in effect.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 understand and acknowledge that this election is irrevocable. I understand and acknowledge that I must be a Non-Employee Director on the dates each portion of the Compensation is paid/granted in order to qualify for such payment/grant.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 understand and acknowledge that this form is subject to the terms and conditions of the Plan and the 2016 Incentive Compensation Plan and that if there is any conflict between this form or any part of it and the Plan and the 2016 Incentive Compensation Plan, the provisions of the Plan and the 2016 Incentive Compensation Plan shall govern.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 have hereunto set my hand and seal this ____ day of ___________, 202__.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_____________________________ ____________________________</w:t>
      </w:r>
    </w:p>
    <w:p>
      <w:pPr>
        <w:pStyle w:val="TextBody"/>
        <w:bidi w:val="0"/>
        <w:jc w:val="left"/>
        <w:rPr>
          <w:rFonts w:ascii="Times New Roman" w:hAnsi="Times New Roman"/>
          <w:sz w:val="20"/>
        </w:rPr>
      </w:pPr>
      <w:r>
        <w:rPr>
          <w:rFonts w:ascii="Times New Roman" w:hAnsi="Times New Roman"/>
          <w:color w:val="000000"/>
          <w:sz w:val="18"/>
        </w:rPr>
        <w:t>(Signature) (Printed name)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left"/>
        <w:rPr>
          <w:rFonts w:ascii="Arial" w:hAnsi="Arial"/>
          <w:color w:val="000000"/>
          <w:sz w:val="16"/>
        </w:rPr>
      </w:pPr>
      <w:r>
        <w:rPr>
          <w:rFonts w:ascii="Arial" w:hAnsi="Arial"/>
          <w:color w:val="000000"/>
          <w:sz w:val="16"/>
        </w:rPr>
        <w:t>DOCVARIABLE ndGeneratedStamp \* MERGEFORMAT 4890-9734-3873, v. 8</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61" w:name="dxlg-ex10_18.htm"/>
      <w:bookmarkStart w:id="62" w:name="ksdxlgex10_18"/>
      <w:bookmarkEnd w:id="61"/>
      <w:bookmarkEnd w:id="62"/>
      <w:r>
        <w:rPr>
          <w:rFonts w:ascii="Times New Roman" w:hAnsi="Times New Roman"/>
          <w:b/>
          <w:color w:val="000000"/>
          <w:sz w:val="24"/>
        </w:rPr>
        <w:t>Exhibit 10.18</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EMPLOYMENT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Employment Agreement ("Agreement") is made effective as of November 27, 2023 (the “Effective Date”) between DESTINATION XL GROUP, Inc. (the “Company”), a Delaware corporation with an office at 555 Turnpike Street, Canton, Massachusetts 02021 (“DXLG”, which term includes any affiliates and subsidiaries), and ROBERT A. BOGAN (the “Executive”) having an address at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WITNESSETH: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WHEREAS, the Company desires that Executive work for the Company and Executive desires to be so employed by</w:t>
      </w:r>
      <w:r>
        <w:rPr>
          <w:rFonts w:ascii="Times New Roman" w:hAnsi="Times New Roman"/>
          <w:color w:val="000000"/>
          <w:sz w:val="20"/>
        </w:rPr>
        <w:t xml:space="preserve"> </w:t>
      </w:r>
      <w:r>
        <w:rPr>
          <w:rFonts w:ascii="Times New Roman" w:hAnsi="Times New Roman"/>
          <w:color w:val="000000"/>
          <w:sz w:val="24"/>
        </w:rPr>
        <w:t>the Company as its Chief Technology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WHEREAS, Executive and the Company desire to set forth in writing the terms and conditions of the Executive's employment with the Company from the date hereof.</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the promises and the mutual promises, representations and covenants herein contained, the parties hereto agree as follows: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EMPLOYMENT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 hereby employs Executive and Executive hereby accepts such employment, subject to the terms and conditions herein set forth.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TERM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term of employment under this Agreement (the “Term of Employment”) shall begin on the Effective Date and shall continue until terminated by either party as hereinafter set forth.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COMPENSATION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Thousand Dollars and 00/100 Cents ($400,000.00)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50% of Executive’s actual annual base earnings (which shall be the total Base Salary as may be paid during the fiscal year (“Base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year-to-year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 In consideration for the promises in Paragraph 10 below, the Company shall pay Executive a sign-on award consisting of $100,000 cash payable as of December 15, 2023 (the “Sign-on Award”) and a grant of $150,000 of restricted stock units of the Common Stock of Destination XL Group, Inc. (“RSUs”) effective November 27, 2023 (the “Stock Award”). The RSUs granted in the Stock Award shall be determined based on the close price of the Company’s stock on Friday, November 24, 2023 and shall vest ratably over three (3) years on the anniversary of the date of grant. Details will be provided in a formal Stand-Alone Restricted Stock Unit Agreement. The Sign-on Award and Stock Award are subject to clawback as set forth in Paragraph 7(j).</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EXPENSES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Notwithstanding the foregoing, Executive shall bear the cost of travel to and from the Company’s offices in Canton, Massachusetts twice per month and, during each 12-month period from the Effective Date, Executive is entitled to be reimbursed for expenses up to $48,000 for such travel (e.g., airfare, taxi, ride share and/or rental car, hotel and meals). Executive shall comply with such restrictions and shall keep such records as the Company may reasonably deem necessary to meet the requirements of the Internal Revenue Code of 1986, as amended from time to time, and regulations promulgated thereunder.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OTHER BENEFITS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 In connection with medical benefits, the Company will bear the expense of Cobra to bridge Executive’s medical benefits coverage if Executive elects it.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Executive will be eligible to participate in the Company’s annual performance appraisal process.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DUTIES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 Executive shall perform such duties and functions consistent with the position of Chief Technology Officer and/or as the Company shall from time to time determine and Executive shall comply in the performance of his duties with the policies of, and be subject to the direction of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During the Term of Employment, Executive shall devote substantially all of his time and attention, vacation time and absences for sickness excepted, to the business of the Company, as necessary to fulfill</w:t>
      </w:r>
      <w:r>
        <w:rPr>
          <w:rFonts w:ascii="Times New Roman" w:hAnsi="Times New Roman"/>
          <w:color w:val="000000"/>
          <w:sz w:val="20"/>
        </w:rPr>
        <w:t xml:space="preserve"> </w:t>
      </w:r>
      <w:r>
        <w:rPr>
          <w:rFonts w:ascii="Times New Roman" w:hAnsi="Times New Roman"/>
          <w:color w:val="000000"/>
          <w:sz w:val="24"/>
        </w:rPr>
        <w:t>his duties. Executive shall perform the duties assigned to his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(c) The principal location at which the Executive shall perform his duties hereunder shall be in Mooresville, North Carolina or at such other location as may be designated from time to time by the Company. Notwithstanding the foregoing, Executive shall perform such</w:t>
      </w:r>
      <w:r>
        <w:rPr>
          <w:rFonts w:ascii="Times New Roman" w:hAnsi="Times New Roman"/>
          <w:color w:val="000000"/>
          <w:sz w:val="20"/>
        </w:rPr>
        <w:t xml:space="preserve"> </w:t>
      </w:r>
      <w:r>
        <w:rPr>
          <w:rFonts w:ascii="Times New Roman" w:hAnsi="Times New Roman"/>
          <w:color w:val="000000"/>
          <w:sz w:val="24"/>
        </w:rPr>
        <w:t>services at such other locations as may be required for the proper performance of his duties hereunder, and Executive recognizes that such duties may involve travel.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TERMINATION OF EMPLOYMENT; EFFECT OF TERMINATION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The Term of Employment may be terminated by the Company at any time: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 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(ii) upon the determination of the Company that there is justifiable cause (as hereinafter defined) for such termination.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The Term of Employment shall terminate upon: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 the death of Executive;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(ii) the date on which the Company elects to terminate the Term of Employment by reason of the "disability" of Executive (as hereinafter defined in subsection (c) herein) pursuant to subsection (g) hereof;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(iii) Executive’s resignation of employment.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(c) 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If the Company terminates this Agreement without "justifiable cause" as provided in subsection 7(a)(i), the Company shall pay Executive his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 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(g) Upon Executive's "disability", the Company shall have the right to terminate Executive's employment. Any termination pursuant to this subsection (g) shall be effective on the earlier of (i) the date 30 days after which Executive shall have received written notice of the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Company's election to terminate or (ii) the date he begins to receive long-term disability insurance benefits under the policy provided by the Company pursuant to paragraph 5 hereof.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(h) 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 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hAnsi="Times New Roman"/>
          <w:color w:val="000000"/>
          <w:sz w:val="20"/>
        </w:rPr>
        <w:t>“</w:t>
      </w:r>
      <w:r>
        <w:rPr>
          <w:rFonts w:ascii="Times New Roman" w:hAnsi="Times New Roman"/>
          <w:i/>
          <w:color w:val="000000"/>
          <w:sz w:val="24"/>
        </w:rPr>
        <w:t>Good Reason”</w:t>
      </w:r>
      <w:r>
        <w:rPr>
          <w:rFonts w:ascii="Times New Roman" w:hAnsi="Times New Roman"/>
          <w:color w:val="000000"/>
          <w:sz w:val="20"/>
        </w:rPr>
        <w:t xml:space="preserve"> </w:t>
      </w:r>
      <w:r>
        <w:rPr>
          <w:rFonts w:ascii="Times New Roman" w:hAnsi="Times New Roman"/>
          <w:color w:val="000000"/>
          <w:sz w:val="24"/>
        </w:rPr>
        <w:t>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Clawback of Certain Compensation and Benefits. If, after the termination of the Term of Employment for any reason other than by the Company for “justifiable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Executive breaches any of the provisions of paragraph 10, then, in addition to any other remedy that may be available to the Company in law or equity and/or pursuant to any other provisions of this Agreement, the Executive’s employment shall be deemed to have </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been terminated for justifiable cause retroactively to the Termination Date and the Executive also shall be subject to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vested and unvested Awards (as that term is defined in the 2016 Incentive Compensation Plan) then held by the Executive shall immediately expire;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pStyle w:val="TextBody"/>
        <w:bidi w:val="0"/>
        <w:jc w:val="left"/>
        <w:rPr>
          <w:rFonts w:ascii="Times New Roman" w:hAnsi="Times New Roman"/>
          <w:color w:val="000000"/>
          <w:sz w:val="24"/>
        </w:rPr>
      </w:pPr>
      <w:r>
        <w:rPr>
          <w:rFonts w:ascii="Times New Roman" w:hAnsi="Times New Roman"/>
          <w:color w:val="000000"/>
          <w:sz w:val="24"/>
        </w:rPr>
        <w:t>(k) 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pStyle w:val="TextBody"/>
        <w:bidi w:val="0"/>
        <w:jc w:val="left"/>
        <w:rPr/>
      </w:pPr>
      <w:bookmarkStart w:id="63" w:name="wherewasi"/>
      <w:bookmarkEnd w:id="63"/>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COMPLIANCE WITH SECTION 409A</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pStyle w:val="TextBody"/>
        <w:bidi w:val="0"/>
        <w:spacing w:before="0" w:after="240"/>
        <w:jc w:val="both"/>
        <w:rPr>
          <w:rFonts w:ascii="Times New Roman" w:hAnsi="Times New Roman"/>
          <w:sz w:val="20"/>
        </w:rPr>
      </w:pPr>
      <w:r>
        <w:rPr>
          <w:rFonts w:ascii="Times New Roman" w:hAnsi="Times New Roman"/>
          <w:color w:val="000000"/>
          <w:sz w:val="24"/>
        </w:rPr>
        <w:t>(c) 6 Month Delay for “Specified Employees”.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before="0" w:after="240"/>
        <w:jc w:val="both"/>
        <w:rPr>
          <w:rFonts w:ascii="Times New Roman" w:hAnsi="Times New Roman"/>
          <w:sz w:val="20"/>
        </w:rPr>
      </w:pPr>
      <w:r>
        <w:rPr>
          <w:rFonts w:ascii="Times New Roman" w:hAnsi="Times New Roman"/>
          <w:color w:val="000000"/>
          <w:sz w:val="24"/>
        </w:rPr>
        <w:t>(e) Treatment of Each Installment as a Separate Payment. For purposes of applying the provisions of Section 409A to this Agreement, each separately identified amount to which the Executive is entitled under this Agreement shall be treated as a separate payment. In addition, to</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extent permissible under Section 409A, any series of installment payments under this Agreement shall be treated as a right to a series of separate payments.</w:t>
      </w:r>
    </w:p>
    <w:p>
      <w:pPr>
        <w:pStyle w:val="TextBody"/>
        <w:bidi w:val="0"/>
        <w:spacing w:before="0" w:after="240"/>
        <w:jc w:val="both"/>
        <w:rPr>
          <w:rFonts w:ascii="Times New Roman" w:hAnsi="Times New Roman"/>
          <w:sz w:val="20"/>
        </w:rPr>
      </w:pPr>
      <w:r>
        <w:rPr>
          <w:rFonts w:ascii="Times New Roman" w:hAnsi="Times New Roman"/>
          <w:color w:val="000000"/>
          <w:sz w:val="24"/>
        </w:rPr>
        <w:t>(f) Taxable Reimbursements.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The amount of any Taxable Reimbursements to be provided to the Executive during any taxable year of the Executive shall not affect the expenses eligible for reimbursement to be provided in any other taxable year of the Executive.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right to Taxable Reimbursements shall not be subject to liquidation or exchange for another benefit.</w:t>
      </w:r>
    </w:p>
    <w:p>
      <w:pPr>
        <w:pStyle w:val="TextBody"/>
        <w:bidi w:val="0"/>
        <w:jc w:val="left"/>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REPRESENTATION AND AGREEMENTS OF EXECUTIVE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(b) 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 Executive represents and warrants that he has never been convicted of a felony and he has not been convicted or incarcerated for a misdemeanor within the past five years, other than a first</w:t>
      </w:r>
      <w:r>
        <w:rPr>
          <w:rFonts w:ascii="Times New Roman" w:hAnsi="Times New Roman"/>
          <w:color w:val="000000"/>
          <w:sz w:val="20"/>
        </w:rPr>
        <w:t xml:space="preserve"> </w:t>
      </w:r>
      <w:r>
        <w:rPr>
          <w:rFonts w:ascii="Times New Roman" w:hAnsi="Times New Roman"/>
          <w:color w:val="000000"/>
          <w:sz w:val="24"/>
        </w:rPr>
        <w:t>conviction for drunkenness, simple assault, speeding, minor traffic violations, affray, or disturbance of the peace.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(d) Executive represents and warrants that he has never been a party to any judicial or administrative proceeding that resulted in a judgment, decree, or final order (i) enjoining his from future violations of, or prohibiting any violations of any federal or state securities law, or (ii) finding any violations of any federal or state securities law.</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(e) Executive represents and warrants that he has never been accused of any impropriety in connection with any employment;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breach of any of the above representations and warranties is "justifiable cause" for termination under paragraph 7(d) of this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10. NON-COMPETITION</w:t>
      </w:r>
    </w:p>
    <w:p>
      <w:pPr>
        <w:pStyle w:val="TextBody"/>
        <w:bidi w:val="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(a) In consideration for the Sign-On Award, the Inducement Award referenced in Paragraph 3(d), the Advance referenced in paragraph 3(e) and the potential to receive additional compensation pursuant to paragraph 7(a)(i) and 7(e) above,</w:t>
      </w:r>
      <w:r>
        <w:rPr>
          <w:rFonts w:ascii="Times New Roman" w:hAnsi="Times New Roman"/>
          <w:color w:val="000000"/>
          <w:sz w:val="20"/>
        </w:rPr>
        <w:t xml:space="preserve"> </w:t>
      </w:r>
      <w:r>
        <w:rPr>
          <w:rFonts w:ascii="Times New Roman" w:hAnsi="Times New Roman"/>
          <w:color w:val="000000"/>
          <w:sz w:val="24"/>
        </w:rPr>
        <w:t xml:space="preserve">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hAnsi="Times New Roman"/>
          <w:color w:val="333333"/>
          <w:sz w:val="24"/>
        </w:rPr>
        <w:t>in which the Executive provided services or had a material presence or influence on behalf of the Company, whether in the United States, Canada, Europe or elsewhere during the two years prior to Executive’s separation from the Company</w:t>
      </w:r>
      <w:r>
        <w:rPr>
          <w:rFonts w:ascii="Times New Roman" w:hAnsi="Times New Roman"/>
          <w:color w:val="000000"/>
          <w:sz w:val="24"/>
        </w:rPr>
        <w:t>;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 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INVENTIONS AND DISCOVERIES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his as a consequence of his employment or the rendering of advisory and consulting services hereunder (collectively the "Subject Matter").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NON-DISCLOSURE OF CONFIDENTIAL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pStyle w:val="TextBody"/>
        <w:bidi w:val="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SPECIFIC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Executive agrees that if he breaches, or threatens to commit a breach of, any enforceable provision of paragraphs 10, 11 or 12 (the "Restrictive Covenants"), the Company shall have, in</w:t>
      </w:r>
      <w:r>
        <w:rPr>
          <w:rFonts w:ascii="Times New Roman" w:hAnsi="Times New Roman"/>
          <w:color w:val="000000"/>
          <w:sz w:val="20"/>
        </w:rPr>
        <w:t xml:space="preserve"> </w:t>
      </w:r>
      <w:r>
        <w:rPr>
          <w:rFonts w:ascii="Times New Roman" w:hAnsi="Times New Roman"/>
          <w:color w:val="000000"/>
          <w:sz w:val="24"/>
        </w:rPr>
        <w:t>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AMENDMENT OR ALTERATION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 amendment or alteration of the terms of this Agreement shall be valid unless made in writing and signed by both of the parties 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GOVERNING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This Agreement shall be governed by, and construed and enforced in accordance with the substantive laws of the Commonwealth of Massachusetts, without regard to its principles of conflicts of laws.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SEVERABILITY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holding of any provision of this Agreement to be invalid or unenforceable by a court of competent jurisdiction shall not affect any other provision of this Agreement, which shall remain in full force and effect.</w:t>
      </w:r>
    </w:p>
    <w:p>
      <w:pPr>
        <w:pStyle w:val="TextBody"/>
        <w:bidi w:val="0"/>
        <w:jc w:val="left"/>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NOTICES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notices required or permitted to be given hereunder shall be sufficient if in</w:t>
      </w:r>
    </w:p>
    <w:p>
      <w:pPr>
        <w:pStyle w:val="TextBody"/>
        <w:bidi w:val="0"/>
        <w:jc w:val="left"/>
        <w:rPr>
          <w:rFonts w:ascii="Times New Roman" w:hAnsi="Times New Roman"/>
          <w:color w:val="000000"/>
          <w:sz w:val="24"/>
        </w:rPr>
      </w:pPr>
      <w:r>
        <w:rPr>
          <w:rFonts w:ascii="Times New Roman" w:hAnsi="Times New Roman"/>
          <w:color w:val="000000"/>
          <w:sz w:val="24"/>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WAIVER OF BREACH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is agreed that a waiver by either party of a breach of any provision of this Agreement shall not operate, or be construed as a waiver of any subsequent breach by that same party.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ENTIRE AGREEMENT AND BINDING EFFECT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SURVIVAL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Except as otherwise expressly provided herein, the termination of Executive's employment hereunder or the expiration of this Agreement shall not affect the enforceability of paragraphs 7 through 26 hereof, which shall survive the termination or expiration.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RESOLUTION OF DISPUTES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Any and all disputes arising under or in connection with this Agreement shall be resolved in accordance with this paragraph 21 and paragraph 15.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NON-DISPARAGEMENT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pStyle w:val="TextBody"/>
        <w:bidi w:val="0"/>
        <w:jc w:val="left"/>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FURTHER ASSURANCES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parties agree to execute and deliver all such further documents, agreements and instruments and take such other and further action as may be necessary or appropriate to carry out the purposes and intent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SUBSIDIARIES AND AFFILIATES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purposes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(b) “subsidiary”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HEADINGS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paragraph headings appearing in this Agreement are for the purposes of easy reference and shall not be considered a part of this Agreement or in any way modify, amend or affect its provisions.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COUNTERPARTS</w:t>
      </w:r>
    </w:p>
    <w:p>
      <w:pPr>
        <w:pStyle w:val="TextBody"/>
        <w:bidi w:val="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one or more counterparts, each of which shall be deemed an original and all of which together shall constitute one and the same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WITNESS WHEREOF, the parties hereto have executed this Agreement, under</w:t>
      </w:r>
      <w:r>
        <w:rPr>
          <w:rFonts w:ascii="Times New Roman" w:hAnsi="Times New Roman"/>
          <w:color w:val="000000"/>
          <w:sz w:val="20"/>
        </w:rPr>
        <w:t xml:space="preserve"> </w:t>
      </w:r>
      <w:r>
        <w:rPr>
          <w:rFonts w:ascii="Times New Roman" w:hAnsi="Times New Roman"/>
          <w:color w:val="000000"/>
          <w:sz w:val="24"/>
        </w:rPr>
        <w:t>seal, as of the date and year first above written.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DESTINATION XL GROUP,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 _</w:t>
      </w:r>
      <w:r>
        <w:rPr>
          <w:rFonts w:ascii="Times New Roman" w:hAnsi="Times New Roman"/>
          <w:color w:val="000000"/>
          <w:sz w:val="24"/>
          <w:u w:val="single"/>
        </w:rPr>
        <w:t>/s/ Harvey S. Kanter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Harvey S. Kanter</w:t>
      </w:r>
    </w:p>
    <w:p>
      <w:pPr>
        <w:pStyle w:val="TextBody"/>
        <w:bidi w:val="0"/>
        <w:jc w:val="left"/>
        <w:rPr>
          <w:rFonts w:ascii="Times New Roman" w:hAnsi="Times New Roman"/>
          <w:color w:val="000000"/>
          <w:sz w:val="24"/>
        </w:rPr>
      </w:pPr>
      <w:r>
        <w:rPr>
          <w:rFonts w:ascii="Times New Roman" w:hAnsi="Times New Roman"/>
          <w:color w:val="000000"/>
          <w:sz w:val="24"/>
        </w:rPr>
        <w:t>Its: President, Chief Executive Officer</w:t>
      </w:r>
    </w:p>
    <w:p>
      <w:pPr>
        <w:pStyle w:val="TextBody"/>
        <w:bidi w:val="0"/>
        <w:jc w:val="left"/>
        <w:rPr>
          <w:rFonts w:ascii="Times New Roman" w:hAnsi="Times New Roman"/>
          <w:color w:val="000000"/>
          <w:sz w:val="24"/>
        </w:rPr>
      </w:pPr>
      <w:r>
        <w:rPr>
          <w:rFonts w:ascii="Times New Roman" w:hAnsi="Times New Roman"/>
          <w:color w:val="000000"/>
          <w:sz w:val="24"/>
        </w:rPr>
        <w:t>November 7, 2023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_</w:t>
      </w:r>
      <w:r>
        <w:rPr>
          <w:rFonts w:ascii="Times New Roman" w:hAnsi="Times New Roman"/>
          <w:color w:val="000000"/>
          <w:sz w:val="24"/>
          <w:u w:val="single"/>
        </w:rPr>
        <w:t>/s/ Robert A. Bogan</w:t>
      </w:r>
      <w:r>
        <w:rPr>
          <w:rFonts w:ascii="Times New Roman" w:hAnsi="Times New Roman"/>
          <w:color w:val="000000"/>
          <w:sz w:val="24"/>
        </w:rPr>
        <w:t xml:space="preserve">_ </w:t>
      </w:r>
    </w:p>
    <w:p>
      <w:pPr>
        <w:pStyle w:val="TextBody"/>
        <w:bidi w:val="0"/>
        <w:jc w:val="left"/>
        <w:rPr>
          <w:rFonts w:ascii="Times New Roman" w:hAnsi="Times New Roman"/>
          <w:color w:val="000000"/>
          <w:sz w:val="24"/>
        </w:rPr>
      </w:pPr>
      <w:r>
        <w:rPr>
          <w:rFonts w:ascii="Times New Roman" w:hAnsi="Times New Roman"/>
          <w:color w:val="000000"/>
          <w:sz w:val="24"/>
        </w:rPr>
        <w:t>Robert A. Bogan</w:t>
      </w:r>
    </w:p>
    <w:p>
      <w:pPr>
        <w:pStyle w:val="TextBody"/>
        <w:bidi w:val="0"/>
        <w:jc w:val="left"/>
        <w:rPr>
          <w:rFonts w:ascii="Times New Roman" w:hAnsi="Times New Roman"/>
          <w:color w:val="000000"/>
          <w:sz w:val="24"/>
        </w:rPr>
      </w:pPr>
      <w:r>
        <w:rPr>
          <w:rFonts w:ascii="Times New Roman" w:hAnsi="Times New Roman"/>
          <w:color w:val="000000"/>
          <w:sz w:val="24"/>
        </w:rPr>
        <w:t>November 3,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rFonts w:ascii="Times New Roman" w:hAnsi="Times New Roman"/>
          <w:b/>
          <w:color w:val="000000"/>
          <w:sz w:val="24"/>
        </w:rPr>
      </w:pPr>
      <w:r>
        <w:rPr>
          <w:rFonts w:ascii="Times New Roman" w:hAnsi="Times New Roman"/>
          <w:b/>
          <w:color w:val="000000"/>
          <w:sz w:val="24"/>
        </w:rPr>
        <w:t>FORM OF RELEASE OF CLAIMS</w:t>
      </w:r>
    </w:p>
    <w:p>
      <w:pPr>
        <w:pStyle w:val="TextBody"/>
        <w:bidi w:val="0"/>
        <w:jc w:val="center"/>
        <w:rPr/>
      </w:pPr>
      <w:r>
        <w:rPr/>
        <w:t> </w:t>
      </w:r>
    </w:p>
    <w:p>
      <w:pPr>
        <w:pStyle w:val="TextBody"/>
        <w:bidi w:val="0"/>
        <w:jc w:val="center"/>
        <w:rPr>
          <w:rFonts w:ascii="Times New Roman" w:hAnsi="Times New Roman"/>
          <w:b/>
          <w:i/>
          <w:color w:val="000000"/>
          <w:sz w:val="24"/>
        </w:rPr>
      </w:pPr>
      <w:r>
        <w:rPr>
          <w:rFonts w:ascii="Times New Roman" w:hAnsi="Times New Roman"/>
          <w:b/>
          <w:i/>
          <w:color w:val="000000"/>
          <w:sz w:val="24"/>
        </w:rPr>
        <w:t>GENERAL RELEASE OF CLAIMS</w:t>
      </w:r>
    </w:p>
    <w:p>
      <w:pPr>
        <w:pStyle w:val="TextBody"/>
        <w:bidi w:val="0"/>
        <w:jc w:val="left"/>
        <w:rPr/>
      </w:pPr>
      <w:r>
        <w:rPr/>
        <w:t> </w:t>
      </w:r>
    </w:p>
    <w:p>
      <w:pPr>
        <w:pStyle w:val="TextBody"/>
        <w:bidi w:val="0"/>
        <w:jc w:val="left"/>
        <w:rPr/>
      </w:pPr>
      <w:bookmarkStart w:id="64" w:name="swnumberinghere"/>
      <w:bookmarkEnd w:id="64"/>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rPr>
        <w:t>Robert A. Bogan, (“</w:t>
      </w:r>
      <w:r>
        <w:rPr>
          <w:rFonts w:ascii="Times New Roman" w:hAnsi="Times New Roman"/>
          <w:color w:val="000000"/>
          <w:sz w:val="24"/>
          <w:u w:val="single"/>
        </w:rPr>
        <w:t>Executive</w:t>
      </w:r>
      <w:r>
        <w:rPr>
          <w:color w:val="000000"/>
        </w:rPr>
        <w:t>”</w:t>
      </w:r>
      <w:r>
        <w:rPr>
          <w:rFonts w:ascii="Times New Roman" w:hAnsi="Times New Roman"/>
          <w:color w:val="000000"/>
          <w:sz w:val="24"/>
        </w:rPr>
        <w:t>), for himself and his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Exhibit A (the “</w:t>
      </w:r>
      <w:r>
        <w:rPr>
          <w:rFonts w:ascii="Times New Roman" w:hAnsi="Times New Roman"/>
          <w:color w:val="000000"/>
          <w:sz w:val="24"/>
          <w:u w:val="single"/>
        </w:rPr>
        <w:t>Employment Agreement</w:t>
      </w:r>
      <w:r>
        <w:rPr>
          <w:color w:val="000000"/>
        </w:rPr>
        <w:t>”</w:t>
      </w:r>
      <w:r>
        <w:rPr>
          <w:rFonts w:ascii="Times New Roman" w:hAnsi="Times New Roman"/>
          <w:color w:val="000000"/>
          <w:sz w:val="24"/>
        </w:rPr>
        <w:t>), does hereby release and forever discharge, to the maximum extent permitted by law, Destination XL Group, Inc. (the “Company”), its subsidiaries, affiliated companies, successors and assigns, and their respective current or former directors, officers, employees, shareholders or agents in such capacities (collectively with the Company, the “</w:t>
      </w:r>
      <w:r>
        <w:rPr>
          <w:rFonts w:ascii="Times New Roman" w:hAnsi="Times New Roman"/>
          <w:color w:val="000000"/>
          <w:sz w:val="24"/>
          <w:u w:val="single"/>
        </w:rPr>
        <w:t>Released Parties</w:t>
      </w:r>
      <w:r>
        <w:rPr>
          <w:color w:val="000000"/>
        </w:rPr>
        <w:t>”</w:t>
      </w:r>
      <w:r>
        <w:rPr>
          <w:rFonts w:ascii="Times New Roman" w:hAnsi="Times New Roman"/>
          <w:color w:val="000000"/>
          <w:sz w:val="24"/>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w:t>
      </w:r>
    </w:p>
    <w:p>
      <w:pPr>
        <w:pStyle w:val="TextBody"/>
        <w:bidi w:val="0"/>
        <w:spacing w:before="0" w:after="240"/>
        <w:jc w:val="left"/>
        <w:rPr>
          <w:rFonts w:ascii="Times New Roman" w:hAnsi="Times New Roman"/>
          <w:sz w:val="20"/>
        </w:rPr>
      </w:pPr>
      <w:r>
        <w:rPr>
          <w:rFonts w:ascii="Times New Roman" w:hAnsi="Times New Roman"/>
          <w:color w:val="000000"/>
          <w:sz w:val="24"/>
        </w:rPr>
        <w:t>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hAnsi="Times New Roman"/>
          <w:color w:val="000000"/>
          <w:sz w:val="24"/>
          <w:u w:val="single"/>
        </w:rPr>
        <w:t>Proceeding</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Executive shall not have relinquished his right to commence a Proceeding to challenge whether Executive knowingly and voluntarily waived his rights under ADEA.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Agreement prohibits, prevents, or otherwise limits Employee from filing a charge or complaint with or participating, testifying, or assisting in any investigation, hearing, or other proceeding before any federal, state, or local government agency (e.g., EEOC, NLRB, SEC) or in any legislative or judicial proceeding nor does anything in this Agreement preclude, prohibit or otherwise limit, in any way, Employee’s rights and abilities to contact, communicate with or report unlawful conduct, or provide documents, to federal, state, or local officials for investigation or participate in any whistleblower program administered by any such agencies. In addition, nothing in this Agreement, including but not limited to the release of claims nor the confidentiality, non-disparagement, affirmations. liquidated damages, cooperation, and/or return of property clauses, prohibits Employee from: (1) reporting possible violations of federal or other law or regulations, including any possible securities laws violations, to any governmental agency or entity, including but not limited to the U.S. Department of Justice, the U.S. Securities and Exchange Commission, the Commodity Futures Trading Commission, the U.S. Congress, or any agency Inspector General; (2) making any other disclosures that are protected under the whistleblower provisions of federal or other law or regulations; or (3) filing a charge or complaint or otherwise fully participating in any governmental whistleblower programs, including but not limited to any such programs managed or administered by the U.S. Securities and Exchange Commission, the Commodity Futures Trading Commission and/or the Occupational Safety and Health Administration. Employee is not required to notify or obtain permission from Employer when filing a governmental whistleblower charge or complaint or engaging or participating in protected whistleblower activity. Moreover, nothing in this Agreement prohibits or prevents Employee from receiving individual monetary awards or other individual relief by virtue of participating in such governmental whistleblower programs.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b/>
          <w:color w:val="000000"/>
          <w:sz w:val="24"/>
          <w:u w:val="single"/>
        </w:rPr>
        <w:t>Non-Competition</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 In consideration for the consideration set forth in the Employment Agreement and the payment of severance benefits set forth in Section 7 of the Employment Agreement, Executive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hAnsi="Times New Roman"/>
          <w:color w:val="333333"/>
          <w:sz w:val="24"/>
        </w:rPr>
        <w:t>in which the Executive provided services or had a material presence or influence on behalf of the Company, whether in the United States, Canada, Europe or elsewhere during the two years prior to Executive’s separation from the Company</w:t>
      </w:r>
      <w:r>
        <w:rPr>
          <w:rFonts w:ascii="Times New Roman" w:hAnsi="Times New Roman"/>
          <w:color w:val="000000"/>
          <w:sz w:val="24"/>
        </w:rPr>
        <w:t>;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 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(d) 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5. </w:t>
      </w:r>
      <w:r>
        <w:rPr>
          <w:rFonts w:ascii="Times New Roman" w:hAnsi="Times New Roman"/>
          <w:b/>
          <w:color w:val="000000"/>
          <w:sz w:val="24"/>
          <w:u w:val="single"/>
        </w:rPr>
        <w:t>Inventions and Discoveries.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(a) 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u w:val="single"/>
        </w:rPr>
        <w:t>Non-Disclosure of Confidential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 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embodying such confidential information. This confidentiality obligation shall not apply to any confidential information, which is or becomes publicly available other than pursuant to a breach of this paragraph 5(a) by Executive.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 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7. </w:t>
      </w:r>
      <w:r>
        <w:rPr>
          <w:rFonts w:ascii="Times New Roman" w:hAnsi="Times New Roman"/>
          <w:b/>
          <w:color w:val="000000"/>
          <w:sz w:val="24"/>
          <w:u w:val="single"/>
        </w:rPr>
        <w:t>Specific Performance</w:t>
      </w:r>
      <w:r>
        <w:rPr>
          <w:rFonts w:ascii="Times New Roman" w:hAnsi="Times New Roman"/>
          <w:color w:val="000000"/>
          <w:sz w:val="24"/>
        </w:rPr>
        <w:t>. Executive agrees that if he breaches, or threatens to commit a breach of, any enforceable provision of paragraphs 3, 4 or 5 (the "Restrictive Covenants"), the Company shall have, in</w:t>
      </w:r>
      <w:r>
        <w:rPr>
          <w:rFonts w:ascii="Times New Roman" w:hAnsi="Times New Roman"/>
          <w:color w:val="000000"/>
          <w:sz w:val="20"/>
        </w:rPr>
        <w:t xml:space="preserve"> </w:t>
      </w:r>
      <w:r>
        <w:rPr>
          <w:rFonts w:ascii="Times New Roman" w:hAnsi="Times New Roman"/>
          <w:color w:val="000000"/>
          <w:sz w:val="24"/>
        </w:rPr>
        <w:t>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pStyle w:val="TextBody"/>
        <w:bidi w:val="0"/>
        <w:jc w:val="left"/>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Executive acknowledges that this General Release of Claims will be governed by and construed and enforced in accordance with the internal laws of the Commonwealth of Massachusetts applicable to contracts made and to be performed entirely within the Commonwealth.</w:t>
      </w:r>
    </w:p>
    <w:p>
      <w:pPr>
        <w:pStyle w:val="TextBody"/>
        <w:bidi w:val="0"/>
        <w:spacing w:before="0" w:after="240"/>
        <w:jc w:val="both"/>
        <w:rPr>
          <w:rFonts w:ascii="Times New Roman" w:hAnsi="Times New Roman"/>
          <w:sz w:val="20"/>
        </w:rPr>
      </w:pPr>
      <w:r>
        <w:rPr>
          <w:rFonts w:ascii="Times New Roman" w:hAnsi="Times New Roman"/>
          <w:color w:val="000000"/>
          <w:sz w:val="24"/>
        </w:rPr>
        <w:t>10. 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 This General Release of Claims shall take effect on the eighth business day following Executive’s execution of this General Release of Claims unless Executive’s written revocation is delivered to the Company within seven (7) business days after such execution.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Robert A. Bogan</w:t>
      </w:r>
    </w:p>
    <w:p>
      <w:pPr>
        <w:pStyle w:val="TextBody"/>
        <w:bidi w:val="0"/>
        <w:jc w:val="left"/>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65" w:name="dxlg-ex21_1.htm"/>
      <w:bookmarkStart w:id="66" w:name="ksdxlgex21_1"/>
      <w:bookmarkEnd w:id="65"/>
      <w:bookmarkEnd w:id="66"/>
      <w:r>
        <w:rPr>
          <w:rFonts w:ascii="Times New Roman" w:hAnsi="Times New Roman"/>
          <w:b/>
          <w:color w:val="000000"/>
          <w:sz w:val="20"/>
        </w:rPr>
        <w:t>Exhibit 21.1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DESTINATION XL GROUP, INC. </w:t>
      </w:r>
    </w:p>
    <w:p>
      <w:pPr>
        <w:pStyle w:val="TextBody"/>
        <w:bidi w:val="0"/>
        <w:jc w:val="center"/>
        <w:rPr>
          <w:rFonts w:ascii="Times New Roman" w:hAnsi="Times New Roman"/>
          <w:color w:val="000000"/>
          <w:sz w:val="20"/>
        </w:rPr>
      </w:pPr>
      <w:r>
        <w:rPr>
          <w:rFonts w:ascii="Times New Roman" w:hAnsi="Times New Roman"/>
          <w:color w:val="000000"/>
          <w:sz w:val="20"/>
        </w:rPr>
        <w:t xml:space="preserve">Wholly-owned unless otherwise indicated </w:t>
      </w:r>
    </w:p>
    <w:tbl>
      <w:tblPr>
        <w:tblW w:w="8053" w:type="dxa"/>
        <w:jc w:val="left"/>
        <w:tblInd w:w="0" w:type="dxa"/>
        <w:tblLayout w:type="fixed"/>
        <w:tblCellMar>
          <w:top w:w="28" w:type="dxa"/>
          <w:left w:w="28" w:type="dxa"/>
          <w:bottom w:w="28" w:type="dxa"/>
          <w:right w:w="28" w:type="dxa"/>
        </w:tblCellMar>
      </w:tblPr>
      <w:tblGrid>
        <w:gridCol w:w="5806"/>
        <w:gridCol w:w="146"/>
        <w:gridCol w:w="210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58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Place of Incorporation:</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Casual Male Retail Store, LLC (f/k/a Designs CMAL Retail Store Inc.)</w:t>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Casual Male Direct, LLC (f/k/a Designs CMAL TBD Inc.)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CMRG Apparel Management, Inc.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CMRG Holdco, LLC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CMXL Apparel, LP (a)</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CMRG Apparel, LLC (f/k/a Designs Apparel, Inc.) (b)</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Casual Male Store, LLC (f/k/a Designs CMAL Store Inc.)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Capture, LLC (c)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Virginia</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Casual Male RBT, LLC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Casual Male RBT (U.K.) LLC (d)</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DXLG Wholesale, LLC (e)</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DXL Canada, Inc. (f/k/a Casual Male Canada Inc.)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Ontario, Canada</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Casual Male (EUROPE) LLC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Think Big Products LLC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Canton PL Liquidating Corp. (f/k/a LP Innovations, Inc.)</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Nevada</w:t>
            </w:r>
          </w:p>
        </w:tc>
      </w:tr>
      <w:tr>
        <w:trPr/>
        <w:tc>
          <w:tcPr>
            <w:tcW w:w="58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CMRG Hong Kong Limited</w:t>
            </w:r>
          </w:p>
        </w:tc>
        <w:tc>
          <w:tcPr>
            <w:tcW w:w="146" w:type="dxa"/>
            <w:tcBorders/>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A limited partnership in which CMRG Apparel Management, Inc. is a General Partner owning 1% and CMRG Holdco, LLC is a Limited Partner owning 99%. (Both partners are wholly-owned subsidiaries of Destination XL Group, Inc.) </w:t>
      </w:r>
    </w:p>
    <w:p>
      <w:pPr>
        <w:pStyle w:val="TextBody"/>
        <w:bidi w:val="0"/>
        <w:jc w:val="left"/>
        <w:rPr>
          <w:rFonts w:ascii="Times New Roman" w:hAnsi="Times New Roman"/>
          <w:color w:val="000000"/>
          <w:sz w:val="20"/>
        </w:rPr>
      </w:pPr>
      <w:r>
        <w:rPr>
          <w:rFonts w:ascii="Times New Roman" w:hAnsi="Times New Roman"/>
          <w:color w:val="000000"/>
          <w:sz w:val="20"/>
        </w:rPr>
        <w:t xml:space="preserve">(b) 100% owned by CMXL Apparel, LP (a wholly-owned subsidiary of Destination XL Group, Inc.) </w:t>
      </w:r>
    </w:p>
    <w:p>
      <w:pPr>
        <w:pStyle w:val="TextBody"/>
        <w:bidi w:val="0"/>
        <w:jc w:val="left"/>
        <w:rPr>
          <w:rFonts w:ascii="Times New Roman" w:hAnsi="Times New Roman"/>
          <w:color w:val="000000"/>
          <w:sz w:val="20"/>
        </w:rPr>
      </w:pPr>
      <w:r>
        <w:rPr>
          <w:rFonts w:ascii="Times New Roman" w:hAnsi="Times New Roman"/>
          <w:color w:val="000000"/>
          <w:sz w:val="20"/>
        </w:rPr>
        <w:t xml:space="preserve">(c) 100% owned by Casual Male Store, LLC (a wholly-owned subsidiary of Destination XL Group, Inc.) </w:t>
      </w:r>
    </w:p>
    <w:p>
      <w:pPr>
        <w:pStyle w:val="TextBody"/>
        <w:bidi w:val="0"/>
        <w:jc w:val="left"/>
        <w:rPr>
          <w:rFonts w:ascii="Times New Roman" w:hAnsi="Times New Roman"/>
          <w:color w:val="000000"/>
          <w:sz w:val="20"/>
        </w:rPr>
      </w:pPr>
      <w:r>
        <w:rPr>
          <w:rFonts w:ascii="Times New Roman" w:hAnsi="Times New Roman"/>
          <w:color w:val="000000"/>
          <w:sz w:val="20"/>
        </w:rPr>
        <w:t xml:space="preserve">(d) 100% owned by Casual Male RBT, LLC (a wholly-owned subsidiary of Destination XL Group, Inc.) </w:t>
      </w:r>
    </w:p>
    <w:p>
      <w:pPr>
        <w:pStyle w:val="TextBody"/>
        <w:bidi w:val="0"/>
        <w:jc w:val="left"/>
        <w:rPr>
          <w:rFonts w:ascii="Times New Roman" w:hAnsi="Times New Roman"/>
          <w:color w:val="000000"/>
          <w:sz w:val="20"/>
        </w:rPr>
      </w:pPr>
      <w:r>
        <w:rPr>
          <w:rFonts w:ascii="Times New Roman" w:hAnsi="Times New Roman"/>
          <w:color w:val="000000"/>
          <w:sz w:val="20"/>
        </w:rPr>
        <w:t>(e) 100% owned by Destination XL Group, Inc.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7" w:name="dxlg-ex23_1.htm"/>
      <w:bookmarkStart w:id="68" w:name="ksdxlgex23_1"/>
      <w:bookmarkEnd w:id="67"/>
      <w:bookmarkEnd w:id="68"/>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the registration statement (No. 333-256990) on Form S-3 and the registration statements (Nos. 333-136890, 333-163245, 333-164618, 333-170708, 333-170764, 333-194627, 333-213311, 333-233496, </w:t>
      </w:r>
    </w:p>
    <w:p>
      <w:pPr>
        <w:pStyle w:val="TextBody"/>
        <w:bidi w:val="0"/>
        <w:jc w:val="left"/>
        <w:rPr>
          <w:rFonts w:ascii="Times New Roman" w:hAnsi="Times New Roman"/>
          <w:color w:val="000000"/>
          <w:sz w:val="20"/>
        </w:rPr>
      </w:pPr>
      <w:r>
        <w:rPr>
          <w:rFonts w:ascii="Times New Roman" w:hAnsi="Times New Roman"/>
          <w:color w:val="000000"/>
          <w:sz w:val="20"/>
        </w:rPr>
        <w:t>333-248439, 333-250756, 333-261215, and 333-268437) on Form S-8 of our reports dated March 21, 2024, with respect to the consolidated financial statements of Destination XL Group, Inc. and the effectiveness of internal control over financial reporting.</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Boston, Massachusetts</w:t>
        <w:br/>
        <w:t>March 21,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69" w:name="dxlg-ex31_1.htm"/>
      <w:bookmarkStart w:id="70" w:name="ksdxlgex31_1"/>
      <w:bookmarkEnd w:id="69"/>
      <w:bookmarkEnd w:id="7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PRINCIPAL EXECUTIVE OFFICER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Harvey S. Kanter,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Destination XL Group,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March 21, 2024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 Harvey S. Kanter</w:t>
            </w:r>
          </w:p>
        </w:tc>
      </w:tr>
      <w:tr>
        <w:trPr/>
        <w:tc>
          <w:tcPr>
            <w:tcW w:w="33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Harvey S. Kanter</w:t>
            </w:r>
          </w:p>
        </w:tc>
      </w:tr>
      <w:tr>
        <w:trPr/>
        <w:tc>
          <w:tcPr>
            <w:tcW w:w="33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1" w:name="dxlg-ex31_2.htm"/>
      <w:bookmarkStart w:id="72" w:name="ksdxlgex31_2"/>
      <w:bookmarkEnd w:id="71"/>
      <w:bookmarkEnd w:id="72"/>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PRINCIPAL FINANCIAL OFFICER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Peter H. Stratton, Jr.,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Destination XL Group,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21, 2024</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283"/>
              <w:jc w:val="left"/>
              <w:rPr>
                <w:sz w:val="4"/>
                <w:szCs w:val="4"/>
              </w:rPr>
            </w:pPr>
            <w:r>
              <w:rPr>
                <w:sz w:val="4"/>
                <w:szCs w:val="4"/>
              </w:rPr>
            </w:r>
          </w:p>
        </w:tc>
      </w:tr>
      <w:tr>
        <w:trPr/>
        <w:tc>
          <w:tcPr>
            <w:tcW w:w="4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H. Stratton, Jr.</w:t>
            </w:r>
          </w:p>
        </w:tc>
      </w:tr>
      <w:tr>
        <w:trPr/>
        <w:tc>
          <w:tcPr>
            <w:tcW w:w="46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H. Stratton, Jr.</w:t>
            </w:r>
          </w:p>
        </w:tc>
      </w:tr>
      <w:tr>
        <w:trPr/>
        <w:tc>
          <w:tcPr>
            <w:tcW w:w="46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3" w:name="dxlg-ex32_1.htm"/>
      <w:bookmarkStart w:id="74" w:name="ksdxlgex32_1"/>
      <w:bookmarkEnd w:id="73"/>
      <w:bookmarkEnd w:id="7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Destination XL Group, Inc. (the “Company”) for the period ended February 3, 2024 as filed with the Securities and Exchange Commission on the date hereof (the “Report”), I, Harvey S. Kanter, President and Chief Executive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 </w:t>
      </w:r>
    </w:p>
    <w:tbl>
      <w:tblPr>
        <w:tblW w:w="5619" w:type="dxa"/>
        <w:jc w:val="left"/>
        <w:tblInd w:w="0" w:type="dxa"/>
        <w:tblLayout w:type="fixed"/>
        <w:tblCellMar>
          <w:top w:w="28" w:type="dxa"/>
          <w:left w:w="28" w:type="dxa"/>
          <w:bottom w:w="28" w:type="dxa"/>
          <w:right w:w="28" w:type="dxa"/>
        </w:tblCellMar>
      </w:tblPr>
      <w:tblGrid>
        <w:gridCol w:w="1996"/>
        <w:gridCol w:w="146"/>
        <w:gridCol w:w="146"/>
        <w:gridCol w:w="333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31" w:type="dxa"/>
            <w:tcBorders/>
            <w:vAlign w:val="center"/>
          </w:tcPr>
          <w:p>
            <w:pPr>
              <w:pStyle w:val="TableContents"/>
              <w:bidi w:val="0"/>
              <w:spacing w:before="0" w:after="283"/>
              <w:ind w:left="0" w:right="0" w:firstLine="240"/>
              <w:jc w:val="left"/>
              <w:rPr/>
            </w:pPr>
            <w:r>
              <w:rPr/>
              <w:t> </w:t>
            </w:r>
          </w:p>
        </w:tc>
      </w:tr>
      <w:tr>
        <w:trPr/>
        <w:tc>
          <w:tcPr>
            <w:tcW w:w="199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Dated: March 21,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Harvey S. Kanter</w:t>
            </w:r>
          </w:p>
        </w:tc>
      </w:tr>
      <w:tr>
        <w:trPr/>
        <w:tc>
          <w:tcPr>
            <w:tcW w:w="1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Harvey S. Kanter</w:t>
            </w:r>
          </w:p>
        </w:tc>
      </w:tr>
      <w:tr>
        <w:trPr/>
        <w:tc>
          <w:tcPr>
            <w:tcW w:w="1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5" w:name="dxlg-ex32_2.htm"/>
      <w:bookmarkStart w:id="76" w:name="ksdxlgex32_2"/>
      <w:bookmarkEnd w:id="75"/>
      <w:bookmarkEnd w:id="76"/>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Destination XL Group, Inc. (the “Company”) for the period ended February 3, 2024, as filed with the Securities and Exchange Commission on the date hereof (the “Report”), I, Peter H. Stratton, Jr., Chief Financial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 </w:t>
      </w:r>
    </w:p>
    <w:tbl>
      <w:tblPr>
        <w:tblW w:w="6894" w:type="dxa"/>
        <w:jc w:val="left"/>
        <w:tblInd w:w="0" w:type="dxa"/>
        <w:tblLayout w:type="fixed"/>
        <w:tblCellMar>
          <w:top w:w="28" w:type="dxa"/>
          <w:left w:w="28" w:type="dxa"/>
          <w:bottom w:w="28" w:type="dxa"/>
          <w:right w:w="28" w:type="dxa"/>
        </w:tblCellMar>
      </w:tblPr>
      <w:tblGrid>
        <w:gridCol w:w="1996"/>
        <w:gridCol w:w="146"/>
        <w:gridCol w:w="146"/>
        <w:gridCol w:w="460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06" w:type="dxa"/>
            <w:tcBorders/>
            <w:vAlign w:val="center"/>
          </w:tcPr>
          <w:p>
            <w:pPr>
              <w:pStyle w:val="TableContents"/>
              <w:bidi w:val="0"/>
              <w:spacing w:before="0" w:after="283"/>
              <w:ind w:left="0" w:right="0" w:firstLine="240"/>
              <w:jc w:val="left"/>
              <w:rPr/>
            </w:pPr>
            <w:r>
              <w:rPr/>
              <w:t> </w:t>
            </w:r>
          </w:p>
        </w:tc>
      </w:tr>
      <w:tr>
        <w:trPr/>
        <w:tc>
          <w:tcPr>
            <w:tcW w:w="199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Dated: March 21,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Peter H. Stratton, Jr.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H. Stratton, Jr.</w:t>
            </w:r>
          </w:p>
        </w:tc>
      </w:tr>
      <w:tr>
        <w:trPr/>
        <w:tc>
          <w:tcPr>
            <w:tcW w:w="1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and Chief Financial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7" w:name="dxlg-ex97_1.htm"/>
      <w:bookmarkStart w:id="78" w:name="ksdxlgex97_1"/>
      <w:bookmarkEnd w:id="77"/>
      <w:bookmarkEnd w:id="78"/>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97.1</w:t>
      </w:r>
    </w:p>
    <w:p>
      <w:pPr>
        <w:pStyle w:val="TextBody"/>
        <w:bidi w:val="0"/>
        <w:jc w:val="center"/>
        <w:rPr/>
      </w:pPr>
      <w:r>
        <w:rPr/>
        <w:drawing>
          <wp:inline distT="0" distB="0" distL="0" distR="0">
            <wp:extent cx="2209800" cy="1219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1"/>
                    <a:stretch>
                      <a:fillRect/>
                    </a:stretch>
                  </pic:blipFill>
                  <pic:spPr bwMode="auto">
                    <a:xfrm>
                      <a:off x="0" y="0"/>
                      <a:ext cx="2209800" cy="121920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Executive Officer Clawback Policy</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Approved by the Board of Directors on November 2, 2023 (the “</w:t>
      </w:r>
      <w:r>
        <w:rPr>
          <w:rFonts w:ascii="Times New Roman" w:hAnsi="Times New Roman"/>
          <w:b/>
          <w:color w:val="000000"/>
          <w:sz w:val="22"/>
          <w:u w:val="single"/>
        </w:rPr>
        <w:t>Adoption Date</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Purpose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Executive Officer Clawback Policy describes the circumstances under which Covered Persons of Destination XL Group, Inc. and any of its subsidiaries (the “</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color w:val="000000"/>
          <w:sz w:val="22"/>
        </w:rPr>
        <w:t>) will be required to repay or return Erroneously-Awarded Compensation to the Company.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and any terms used in this Policy will be construed in accordance with any SEC regulations promulgated to comply with Section 954 of the Dodd-Frank Wall Street Reform and Consumer Protection Act of 2010 and the rules adopted by Nasdaq.</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Each Covered Person of the Company will sign an Acknowledgement and Agreement in the form attached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as a condition to his or her participation in any of the Company’s incentive-based compensation programs.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Definitions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purposes of this Policy, capitalized terms used in the Policy have the meanings given such terms below:</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color w:val="000000"/>
        </w:rPr>
        <w:t>“</w:t>
      </w:r>
      <w:r>
        <w:rPr>
          <w:rFonts w:ascii="Times New Roman" w:hAnsi="Times New Roman"/>
          <w:b/>
          <w:color w:val="000000"/>
          <w:sz w:val="22"/>
          <w:u w:val="single"/>
        </w:rPr>
        <w:t>Accounting Restatement</w:t>
      </w:r>
      <w:r>
        <w:rPr>
          <w:color w:val="000000"/>
        </w:rPr>
        <w:t xml:space="preserve">” </w:t>
      </w:r>
      <w:r>
        <w:rPr>
          <w:rFonts w:ascii="Times New Roman" w:hAnsi="Times New Roman"/>
          <w:color w:val="000000"/>
          <w:sz w:val="22"/>
        </w:rPr>
        <w:t>means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color w:val="000000"/>
        </w:rPr>
        <w:t>“</w:t>
      </w:r>
      <w:r>
        <w:rPr>
          <w:rFonts w:ascii="Times New Roman" w:hAnsi="Times New Roman"/>
          <w:b/>
          <w:color w:val="000000"/>
          <w:sz w:val="22"/>
          <w:u w:val="single"/>
        </w:rPr>
        <w:t>Board</w:t>
      </w:r>
      <w:r>
        <w:rPr>
          <w:color w:val="000000"/>
        </w:rPr>
        <w:t xml:space="preserve">” </w:t>
      </w:r>
      <w:r>
        <w:rPr>
          <w:rFonts w:ascii="Times New Roman" w:hAnsi="Times New Roman"/>
          <w:color w:val="000000"/>
          <w:sz w:val="22"/>
        </w:rPr>
        <w:t>means the Board of Directors of Destination XL Group, Inc.</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color w:val="000000"/>
        </w:rPr>
        <w:t>“</w:t>
      </w:r>
      <w:r>
        <w:rPr>
          <w:rFonts w:ascii="Times New Roman" w:hAnsi="Times New Roman"/>
          <w:b/>
          <w:color w:val="000000"/>
          <w:sz w:val="22"/>
          <w:u w:val="single"/>
        </w:rPr>
        <w:t>Clawback-Eligible Incentive Compensation</w:t>
      </w:r>
      <w:r>
        <w:rPr>
          <w:color w:val="000000"/>
        </w:rPr>
        <w:t xml:space="preserve">” </w:t>
      </w:r>
      <w:r>
        <w:rPr>
          <w:rFonts w:ascii="Times New Roman" w:hAnsi="Times New Roman"/>
          <w:color w:val="000000"/>
          <w:sz w:val="22"/>
        </w:rPr>
        <w:t>means, in connection with an Accounting Restatement, any Incentive-Based Compensation Received by a Covered Person (regardless of whether such Covered Person was serving at the time that Erroneously-Awarded Compensation is required to be repaid) (i) on or after the Effective Date, (ii) after beginning service as a Covered Person, (iii) while the Company has a class of securities listed on a national securities exchange or national securities association and (iv) during the Clawback 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color w:val="000000"/>
        </w:rPr>
        <w:t>“</w:t>
      </w:r>
      <w:r>
        <w:rPr>
          <w:rFonts w:ascii="Times New Roman" w:hAnsi="Times New Roman"/>
          <w:b/>
          <w:color w:val="000000"/>
          <w:sz w:val="22"/>
          <w:u w:val="single"/>
        </w:rPr>
        <w:t>Clawback Period</w:t>
      </w:r>
      <w:r>
        <w:rPr>
          <w:color w:val="000000"/>
        </w:rPr>
        <w:t xml:space="preserve">” </w:t>
      </w:r>
      <w:r>
        <w:rPr>
          <w:rFonts w:ascii="Times New Roman" w:hAnsi="Times New Roman"/>
          <w:color w:val="000000"/>
          <w:sz w:val="22"/>
        </w:rPr>
        <w:t>means, with respect to any Accounting Restatement, the three completed fiscal years immediately preceding the Restatement Date and any transition period (that results from a change in the Company’s fiscal year) of less than nine months within or immediately following those three completed fiscal years.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color w:val="000000"/>
        </w:rPr>
        <w:t>“</w:t>
      </w:r>
      <w:r>
        <w:rPr>
          <w:rFonts w:ascii="Times New Roman" w:hAnsi="Times New Roman"/>
          <w:b/>
          <w:color w:val="000000"/>
          <w:sz w:val="22"/>
          <w:u w:val="single"/>
        </w:rPr>
        <w:t>Committee</w:t>
      </w:r>
      <w:r>
        <w:rPr>
          <w:color w:val="000000"/>
        </w:rPr>
        <w:t xml:space="preserve">” </w:t>
      </w:r>
      <w:r>
        <w:rPr>
          <w:rFonts w:ascii="Times New Roman" w:hAnsi="Times New Roman"/>
          <w:color w:val="000000"/>
          <w:sz w:val="22"/>
        </w:rPr>
        <w:t>means the Compensation Committee of the Board or with respect to the Chief Executive Officer, the majority of the independent directors of the Board.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color w:val="000000"/>
        </w:rPr>
        <w:t>“</w:t>
      </w:r>
      <w:r>
        <w:rPr>
          <w:rFonts w:ascii="Times New Roman" w:hAnsi="Times New Roman"/>
          <w:b/>
          <w:color w:val="000000"/>
          <w:sz w:val="22"/>
          <w:u w:val="single"/>
        </w:rPr>
        <w:t>Covered Person</w:t>
      </w:r>
      <w:r>
        <w:rPr>
          <w:color w:val="000000"/>
        </w:rPr>
        <w:t xml:space="preserve">” </w:t>
      </w:r>
      <w:r>
        <w:rPr>
          <w:rFonts w:ascii="Times New Roman" w:hAnsi="Times New Roman"/>
          <w:color w:val="000000"/>
          <w:sz w:val="22"/>
        </w:rPr>
        <w:t>means any person who is, or was at any time, during the Clawback Period, an Executive Officer of the Company. For the avoidance of doubt, Covered Person may include a former Executive Officer that left the Company, retired or transitioned to an employee role (including after serving as an Executive Officer in an interim capacity) during the Clawback Period.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color w:val="000000"/>
        </w:rPr>
        <w:t>“</w:t>
      </w:r>
      <w:r>
        <w:rPr>
          <w:rFonts w:ascii="Times New Roman" w:hAnsi="Times New Roman"/>
          <w:b/>
          <w:color w:val="000000"/>
          <w:sz w:val="22"/>
          <w:u w:val="single"/>
        </w:rPr>
        <w:t>Effective Date</w:t>
      </w:r>
      <w:r>
        <w:rPr>
          <w:color w:val="000000"/>
        </w:rPr>
        <w:t xml:space="preserve">” </w:t>
      </w:r>
      <w:r>
        <w:rPr>
          <w:rFonts w:ascii="Times New Roman" w:hAnsi="Times New Roman"/>
          <w:color w:val="000000"/>
          <w:sz w:val="22"/>
        </w:rPr>
        <w:t>means October 2, 2023.</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color w:val="000000"/>
        </w:rPr>
        <w:t>“</w:t>
      </w:r>
      <w:r>
        <w:rPr>
          <w:rFonts w:ascii="Times New Roman" w:hAnsi="Times New Roman"/>
          <w:b/>
          <w:color w:val="000000"/>
          <w:sz w:val="22"/>
          <w:u w:val="single"/>
        </w:rPr>
        <w:t>Erroneously-Awarded Compensation</w:t>
      </w:r>
      <w:r>
        <w:rPr>
          <w:color w:val="000000"/>
        </w:rPr>
        <w:t xml:space="preserve">” </w:t>
      </w:r>
      <w:r>
        <w:rPr>
          <w:rFonts w:ascii="Times New Roman" w:hAnsi="Times New Roman"/>
          <w:color w:val="000000"/>
          <w:sz w:val="22"/>
        </w:rPr>
        <w:t>means the amount of Clawback-Eligible Incentive Compensation that exceeds the amount of Incentive-Based Compensation that otherwise would have been Received had it been determined based on the restated amounts. This amount must be computed without regard to any taxes paid.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color w:val="000000"/>
        </w:rPr>
        <w:t>“</w:t>
      </w:r>
      <w:r>
        <w:rPr>
          <w:rFonts w:ascii="Times New Roman" w:hAnsi="Times New Roman"/>
          <w:b/>
          <w:color w:val="000000"/>
          <w:sz w:val="22"/>
          <w:u w:val="single"/>
        </w:rPr>
        <w:t>Executive Officer</w:t>
      </w:r>
      <w:r>
        <w:rPr>
          <w:color w:val="000000"/>
        </w:rPr>
        <w:t xml:space="preserve">” </w:t>
      </w:r>
      <w:r>
        <w:rPr>
          <w:rFonts w:ascii="Times New Roman" w:hAnsi="Times New Roman"/>
          <w:color w:val="000000"/>
          <w:sz w:val="22"/>
        </w:rPr>
        <w:t xml:space="preserve">means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subsidiaries) who performs similar policy-making functions for the Company. For the sake of clarity, at a minimum, all persons who would be executive officers pursuant to Rule 401(b) under Regulation S-K shall be deemed “Executive Officers” for purposes of this Policy.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(j)</w:t>
      </w:r>
    </w:p>
    <w:p>
      <w:pPr>
        <w:pStyle w:val="TextBody"/>
        <w:bidi w:val="0"/>
        <w:jc w:val="both"/>
        <w:rPr/>
      </w:pPr>
      <w:r>
        <w:rPr>
          <w:color w:val="000000"/>
        </w:rPr>
        <w:t>“</w:t>
      </w:r>
      <w:r>
        <w:rPr>
          <w:rFonts w:ascii="Times New Roman" w:hAnsi="Times New Roman"/>
          <w:b/>
          <w:color w:val="000000"/>
          <w:sz w:val="22"/>
          <w:u w:val="single"/>
        </w:rPr>
        <w:t>Financial Reporting Measures</w:t>
      </w:r>
      <w:r>
        <w:rPr>
          <w:color w:val="00000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all other measures that are derived wholly or in part from such measures. For purposes of this Policy, Financial Reporting Measures shall include stock price and total shareholder return (and any measures that are derived wholly or in part from stock price or total shareholder return).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(k)</w:t>
      </w:r>
    </w:p>
    <w:p>
      <w:pPr>
        <w:pStyle w:val="TextBody"/>
        <w:bidi w:val="0"/>
        <w:jc w:val="both"/>
        <w:rPr/>
      </w:pPr>
      <w:r>
        <w:rPr>
          <w:color w:val="000000"/>
        </w:rPr>
        <w:t>“</w:t>
      </w:r>
      <w:r>
        <w:rPr>
          <w:rFonts w:ascii="Times New Roman" w:hAnsi="Times New Roman"/>
          <w:b/>
          <w:color w:val="000000"/>
          <w:sz w:val="22"/>
          <w:u w:val="single"/>
        </w:rPr>
        <w:t>Incentive-Based Compensation</w:t>
      </w:r>
      <w:r>
        <w:rPr>
          <w:color w:val="000000"/>
        </w:rPr>
        <w:t xml:space="preserve">” </w:t>
      </w:r>
      <w:r>
        <w:rPr>
          <w:rFonts w:ascii="Times New Roman" w:hAnsi="Times New Roman"/>
          <w:color w:val="000000"/>
          <w:sz w:val="22"/>
        </w:rPr>
        <w:t>has the meaning set forth in Section III.</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(l)</w:t>
      </w:r>
    </w:p>
    <w:p>
      <w:pPr>
        <w:pStyle w:val="TextBody"/>
        <w:bidi w:val="0"/>
        <w:jc w:val="both"/>
        <w:rPr/>
      </w:pPr>
      <w:r>
        <w:rPr>
          <w:color w:val="000000"/>
        </w:rPr>
        <w:t>“</w:t>
      </w:r>
      <w:r>
        <w:rPr>
          <w:rFonts w:ascii="Times New Roman" w:hAnsi="Times New Roman"/>
          <w:b/>
          <w:color w:val="000000"/>
          <w:sz w:val="22"/>
          <w:u w:val="single"/>
        </w:rPr>
        <w:t>Nasdaq</w:t>
      </w:r>
      <w:r>
        <w:rPr>
          <w:color w:val="000000"/>
        </w:rPr>
        <w:t xml:space="preserve">” </w:t>
      </w:r>
      <w:r>
        <w:rPr>
          <w:rFonts w:ascii="Times New Roman" w:hAnsi="Times New Roman"/>
          <w:color w:val="000000"/>
          <w:sz w:val="22"/>
        </w:rPr>
        <w:t>means The Nasdaq Stock Market, LLC.</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w:t>
      </w:r>
    </w:p>
    <w:p>
      <w:pPr>
        <w:pStyle w:val="TextBody"/>
        <w:bidi w:val="0"/>
        <w:jc w:val="both"/>
        <w:rPr/>
      </w:pPr>
      <w:r>
        <w:rPr>
          <w:color w:val="000000"/>
        </w:rPr>
        <w:t>“</w:t>
      </w:r>
      <w:r>
        <w:rPr>
          <w:rFonts w:ascii="Times New Roman" w:hAnsi="Times New Roman"/>
          <w:b/>
          <w:color w:val="000000"/>
          <w:sz w:val="22"/>
          <w:u w:val="single"/>
        </w:rPr>
        <w:t>Policy</w:t>
      </w:r>
      <w:r>
        <w:rPr>
          <w:color w:val="000000"/>
        </w:rPr>
        <w:t xml:space="preserve">” </w:t>
      </w:r>
      <w:r>
        <w:rPr>
          <w:rFonts w:ascii="Times New Roman" w:hAnsi="Times New Roman"/>
          <w:color w:val="000000"/>
          <w:sz w:val="22"/>
        </w:rPr>
        <w:t>means this Executive Officer Clawback Policy, as the same may be amended or restated from time to time.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w:t>
      </w:r>
    </w:p>
    <w:p>
      <w:pPr>
        <w:pStyle w:val="TextBody"/>
        <w:bidi w:val="0"/>
        <w:jc w:val="both"/>
        <w:rPr/>
      </w:pPr>
      <w:r>
        <w:rPr>
          <w:color w:val="000000"/>
        </w:rPr>
        <w:t>“</w:t>
      </w:r>
      <w:r>
        <w:rPr>
          <w:rFonts w:ascii="Times New Roman" w:hAnsi="Times New Roman"/>
          <w:b/>
          <w:color w:val="000000"/>
          <w:sz w:val="22"/>
          <w:u w:val="single"/>
        </w:rPr>
        <w:t>Received</w:t>
      </w:r>
      <w:r>
        <w:rPr>
          <w:color w:val="000000"/>
        </w:rPr>
        <w:t xml:space="preserve">” </w:t>
      </w:r>
      <w:r>
        <w:rPr>
          <w:rFonts w:ascii="Times New Roman" w:hAnsi="Times New Roman"/>
          <w:color w:val="000000"/>
          <w:sz w:val="22"/>
        </w:rPr>
        <w:t xml:space="preserve">means Incentive-Based Compensation received, or deemed to be received, in the Company’s fiscal period during which the Financial Reporting Measure specified in the Incentive-Based Compensation is attained, even if the payment or grant occurs after the fiscal period.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pPr>
      <w:r>
        <w:rPr>
          <w:color w:val="000000"/>
        </w:rPr>
        <w:t>“</w:t>
      </w:r>
      <w:r>
        <w:rPr>
          <w:rFonts w:ascii="Times New Roman" w:hAnsi="Times New Roman"/>
          <w:b/>
          <w:color w:val="000000"/>
          <w:sz w:val="22"/>
          <w:u w:val="single"/>
        </w:rPr>
        <w:t>Repayment Agreement</w:t>
      </w:r>
      <w:r>
        <w:rPr>
          <w:color w:val="000000"/>
        </w:rPr>
        <w:t xml:space="preserve">” </w:t>
      </w:r>
      <w:r>
        <w:rPr>
          <w:rFonts w:ascii="Times New Roman" w:hAnsi="Times New Roman"/>
          <w:color w:val="000000"/>
          <w:sz w:val="22"/>
        </w:rPr>
        <w:t>has the meaning set forth in Section V.</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w:t>
      </w:r>
    </w:p>
    <w:p>
      <w:pPr>
        <w:pStyle w:val="TextBody"/>
        <w:bidi w:val="0"/>
        <w:jc w:val="both"/>
        <w:rPr/>
      </w:pPr>
      <w:r>
        <w:rPr>
          <w:color w:val="000000"/>
        </w:rPr>
        <w:t>“</w:t>
      </w:r>
      <w:r>
        <w:rPr>
          <w:rFonts w:ascii="Times New Roman" w:hAnsi="Times New Roman"/>
          <w:b/>
          <w:color w:val="000000"/>
          <w:sz w:val="22"/>
          <w:u w:val="single"/>
        </w:rPr>
        <w:t>Restatement Date</w:t>
      </w:r>
      <w:r>
        <w:rPr>
          <w:color w:val="000000"/>
        </w:rPr>
        <w:t xml:space="preserve">” </w:t>
      </w:r>
      <w:r>
        <w:rPr>
          <w:rFonts w:ascii="Times New Roman" w:hAnsi="Times New Roman"/>
          <w:color w:val="000000"/>
          <w:sz w:val="22"/>
        </w:rPr>
        <w:t xml:space="preserve">means the earlier of (i) the date that the Board, a committee of the Board or the officers of the Company authorized to take such action if Board action is not required, concludes, or reasonably should have concluded, that the Company is required to prepare an Accounting Restatement, or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Arial" w:hAnsi="Arial"/>
          <w:color w:val="000000"/>
          <w:sz w:val="16"/>
        </w:rPr>
      </w:pPr>
      <w:r>
        <w:rPr>
          <w:rFonts w:ascii="Arial" w:hAnsi="Arial"/>
          <w:color w:val="000000"/>
          <w:sz w:val="16"/>
        </w:rPr>
        <w:t>DOCPROPERTY "CUS_DocIDChunk0" ACTIVE 689047260v2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(ii) the date that a court, regulator or other legally authorized body directs the Company to prepare an Accounting Restatement.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(q)</w:t>
      </w:r>
    </w:p>
    <w:p>
      <w:pPr>
        <w:pStyle w:val="TextBody"/>
        <w:bidi w:val="0"/>
        <w:jc w:val="both"/>
        <w:rPr/>
      </w:pPr>
      <w:r>
        <w:rPr>
          <w:color w:val="000000"/>
        </w:rPr>
        <w:t>“</w:t>
      </w:r>
      <w:r>
        <w:rPr>
          <w:rFonts w:ascii="Times New Roman" w:hAnsi="Times New Roman"/>
          <w:b/>
          <w:color w:val="000000"/>
          <w:sz w:val="22"/>
          <w:u w:val="single"/>
        </w:rPr>
        <w:t>SEC</w:t>
      </w:r>
      <w:r>
        <w:rPr>
          <w:color w:val="000000"/>
        </w:rPr>
        <w:t xml:space="preserve">” </w:t>
      </w:r>
      <w:r>
        <w:rPr>
          <w:rFonts w:ascii="Times New Roman" w:hAnsi="Times New Roman"/>
          <w:color w:val="000000"/>
          <w:sz w:val="22"/>
        </w:rPr>
        <w:t>means the U.S. Securities and Exchange Commission.</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III.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Incentive-Based Compensation</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Incentive-Based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wholly or in part, upon the attainment of a Financial Reporting Measure.</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For purposes of this Policy, specific examples of Incentive-Based Compensation include, but are not limited to:</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non-equity incentive plan awards that are earned, wholly or in part, based on satisfaction of a Financial Reporting Measure performance goal;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bonuses paid from a “bonus pool,” the size of which is determined, wholly or in part, based on satisfaction of a Financial Reporting Measure performance goal;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other cash awards based on satisfaction of a Financial Reporting Measure performance goal;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restricted stock, restricted stock units, performance share units, stock options and stock appreciation rights that are granted or become vested, wholly or in part, on satisfaction of a Financial Reporting Measure performance goal;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proceeds received upon the sale of shares acquired through an incentive plan that were granted or vested based, wholly or in part, on satisfaction of a Financial Reporting Measure performance goal.</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For purposes of this Policy, Incentive-Based Compensation excludes: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base salaries (except with respect to any salary increases earned, wholly or in part, based on satisfaction of a Financial Reporting Measure performance goal);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bonuses paid solely at the discretion of the Committee or Board that are not paid from a “bonus pool” that is determined by satisfying a Financial Reporting Measure performance goal;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bonuses paid solely upon satisfying one or more subjective standards or completion of a specified employment period;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non-equity incentive plan awards earned solely upon satisfying one or more strategic measures or operational measures;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equity awards that vest solely based on the passage of time or satisfaction of one or more strategic measures or operational measures (and not any Financial Reporting Measures).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IV.</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Determination and Calculation of Erroneously-Awarded Compensation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the event of an Accounting Restatement, the Committee shall promptly (and in all events within ninety (90) days after the Restatement Date) determine the amount of any Erroneously-Awarded Compensation for each Executive Officer in connection with such Accounting Restatement and shall promptly thereafter provide each Executive Officer with a written notice containing the amount of Erroneously-Awarded Compensation and a demand for repayment or return, as applicable.</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(a)</w:t>
      </w:r>
    </w:p>
    <w:p>
      <w:pPr>
        <w:pStyle w:val="TextBody"/>
        <w:bidi w:val="0"/>
        <w:jc w:val="both"/>
        <w:rPr/>
      </w:pPr>
      <w:r>
        <w:rPr>
          <w:rFonts w:ascii="Times New Roman" w:hAnsi="Times New Roman"/>
          <w:b/>
          <w:color w:val="000000"/>
          <w:sz w:val="22"/>
          <w:u w:val="single"/>
        </w:rPr>
        <w:t>Cash Awards</w:t>
      </w:r>
      <w:r>
        <w:rPr>
          <w:rFonts w:ascii="Times New Roman" w:hAnsi="Times New Roman"/>
          <w:color w:val="000000"/>
          <w:sz w:val="22"/>
        </w:rPr>
        <w:t xml:space="preserve">. With respect to cash awards, the Erroneously-Awarded Compensation is the difference between (i) the amount of the cash award (whether payable as a lump sum or over time) that was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Arial" w:hAnsi="Arial"/>
          <w:color w:val="000000"/>
          <w:sz w:val="16"/>
        </w:rPr>
      </w:pPr>
      <w:r>
        <w:rPr>
          <w:rFonts w:ascii="Arial" w:hAnsi="Arial"/>
          <w:color w:val="000000"/>
          <w:sz w:val="16"/>
        </w:rPr>
        <w:t>DOCPROPERTY "CUS_DocIDChunk0" ACTIVE 689047260v2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Received and (ii) the amount that should have been received applying the restated Financial Reporting Measure.</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(b)</w:t>
      </w:r>
    </w:p>
    <w:p>
      <w:pPr>
        <w:pStyle w:val="TextBody"/>
        <w:bidi w:val="0"/>
        <w:jc w:val="both"/>
        <w:rPr/>
      </w:pPr>
      <w:r>
        <w:rPr>
          <w:rFonts w:ascii="Times New Roman" w:hAnsi="Times New Roman"/>
          <w:b/>
          <w:color w:val="000000"/>
          <w:sz w:val="22"/>
          <w:u w:val="single"/>
        </w:rPr>
        <w:t>Cash Awards Paid From Bonus Pools</w:t>
      </w:r>
      <w:r>
        <w:rPr>
          <w:rFonts w:ascii="Times New Roman" w:hAnsi="Times New Roman"/>
          <w:color w:val="000000"/>
          <w:sz w:val="22"/>
        </w:rPr>
        <w:t>. With respect to cash awards paid from bonus pools, the Erroneously-Awarded Compensation is the pro rata portion of any deficiency that results from the aggregate bonus pool that is reduced based on applying the restated Financial Reporting Measure.</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(c)</w:t>
      </w:r>
    </w:p>
    <w:p>
      <w:pPr>
        <w:pStyle w:val="TextBody"/>
        <w:bidi w:val="0"/>
        <w:jc w:val="both"/>
        <w:rPr/>
      </w:pPr>
      <w:r>
        <w:rPr>
          <w:rFonts w:ascii="Times New Roman" w:hAnsi="Times New Roman"/>
          <w:b/>
          <w:color w:val="000000"/>
          <w:sz w:val="22"/>
          <w:u w:val="single"/>
        </w:rPr>
        <w:t>Equity Awards</w:t>
      </w:r>
      <w:r>
        <w:rPr>
          <w:rFonts w:ascii="Times New Roman" w:hAnsi="Times New Roman"/>
          <w:color w:val="000000"/>
          <w:sz w:val="22"/>
        </w:rPr>
        <w:t>. With respect to equity awards, if the shares, options or stock appreciation rights are still held at the time of recovery, the Erroneously-Awarded Compensation is the number of such securities Received in excess of the number that should have been received applying the restated Financial Reporting Measure (or the value in excess of that number). If the options or stock appreciation rights have been exercised, but the underlying shares have not been sold, the Erroneously-Awarded Compensation is the number of shares underlying the excess options or stock appreciation rights (or the value thereof). If the underlying shares have already been sold, then the Committee shall determine the amount which most reasonably estimates the Erroneously-Awarded Compensation.</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(d)</w:t>
      </w:r>
    </w:p>
    <w:p>
      <w:pPr>
        <w:pStyle w:val="TextBody"/>
        <w:bidi w:val="0"/>
        <w:jc w:val="both"/>
        <w:rPr/>
      </w:pPr>
      <w:r>
        <w:rPr>
          <w:rFonts w:ascii="Times New Roman" w:hAnsi="Times New Roman"/>
          <w:b/>
          <w:color w:val="000000"/>
          <w:sz w:val="22"/>
          <w:u w:val="single"/>
        </w:rPr>
        <w:t>Compensation Based on Stock Price or Total Shareholder Return</w:t>
      </w:r>
      <w:r>
        <w:rPr>
          <w:rFonts w:ascii="Times New Roman" w:hAnsi="Times New Roman"/>
          <w:color w:val="000000"/>
          <w:sz w:val="22"/>
        </w:rPr>
        <w:t>. For Incentive-Based Compensation based on (or derived from) stock price or total shareholder return, where the amount of Erroneously-Awarded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Committee shall maintain documentation of such determination of that reasonable estimate and provide such documentation to Nasdaq in accordance with applicable listing standards).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V.</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Recovery of Erroneously-Awarded Compensation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Once the Committee has determined the amount of Erroneously-Awarded Compensation recoverable from the applicable Covered Person, the Committee shall take all necessary actions to recover the Erroneously-Awarded Compensation. Unless otherwise determined by the Committee, the Committee shall pursue the recovery of Erroneously-Awarded Compensation in accordance with the below:</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(a)</w:t>
      </w:r>
    </w:p>
    <w:p>
      <w:pPr>
        <w:pStyle w:val="TextBody"/>
        <w:bidi w:val="0"/>
        <w:jc w:val="both"/>
        <w:rPr/>
      </w:pPr>
      <w:r>
        <w:rPr>
          <w:rFonts w:ascii="Times New Roman" w:hAnsi="Times New Roman"/>
          <w:b/>
          <w:color w:val="000000"/>
          <w:sz w:val="22"/>
          <w:u w:val="single"/>
        </w:rPr>
        <w:t>Cash Awards</w:t>
      </w:r>
      <w:r>
        <w:rPr>
          <w:rFonts w:ascii="Times New Roman" w:hAnsi="Times New Roman"/>
          <w:color w:val="000000"/>
          <w:sz w:val="22"/>
        </w:rPr>
        <w:t>. With respect to cash awards, the Committee shall either (i) require the Covered Person to repay the Erroneously-Awarded 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(b)</w:t>
      </w:r>
    </w:p>
    <w:p>
      <w:pPr>
        <w:pStyle w:val="TextBody"/>
        <w:bidi w:val="0"/>
        <w:jc w:val="both"/>
        <w:rPr/>
      </w:pPr>
      <w:r>
        <w:rPr>
          <w:rFonts w:ascii="Times New Roman" w:hAnsi="Times New Roman"/>
          <w:b/>
          <w:color w:val="000000"/>
          <w:sz w:val="22"/>
          <w:u w:val="single"/>
        </w:rPr>
        <w:t>Unvested Equity Awards</w:t>
      </w:r>
      <w:r>
        <w:rPr>
          <w:rFonts w:ascii="Times New Roman" w:hAnsi="Times New Roman"/>
          <w:color w:val="000000"/>
          <w:sz w:val="22"/>
        </w:rPr>
        <w:t>. With respect to those equity awards that have not yet vested, the Committee shall take all necessary action to cancel, or otherwise cause to be forfeited, the awards in the amount of the Erroneously-Awarded Compensation.</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(c)</w:t>
      </w:r>
    </w:p>
    <w:p>
      <w:pPr>
        <w:pStyle w:val="TextBody"/>
        <w:bidi w:val="0"/>
        <w:jc w:val="both"/>
        <w:rPr/>
      </w:pPr>
      <w:r>
        <w:rPr>
          <w:rFonts w:ascii="Times New Roman" w:hAnsi="Times New Roman"/>
          <w:b/>
          <w:color w:val="000000"/>
          <w:sz w:val="22"/>
          <w:u w:val="single"/>
        </w:rPr>
        <w:t>Vested Equity Awards</w:t>
      </w:r>
      <w:r>
        <w:rPr>
          <w:rFonts w:ascii="Times New Roman" w:hAnsi="Times New Roman"/>
          <w:color w:val="000000"/>
          <w:sz w:val="22"/>
        </w:rPr>
        <w:t>. With respect to those equity awards that have vested and the underlying shares have not been sold, the Committee shall take all necessary action to cause the Covered Person to deliver and surrender the underlying shares in the amount of the Erroneously-Awarded Compensation.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In the event that the Covered Person has sold the underlying shares, the Committee shall either (i) require the Covered Person to repay the Erroneously-Awarded Compensation in a lump sum in cash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Arial" w:hAnsi="Arial"/>
          <w:color w:val="000000"/>
          <w:sz w:val="16"/>
        </w:rPr>
      </w:pPr>
      <w:r>
        <w:rPr>
          <w:rFonts w:ascii="Arial" w:hAnsi="Arial"/>
          <w:color w:val="000000"/>
          <w:sz w:val="16"/>
        </w:rPr>
        <w:t>DOCPROPERTY "CUS_DocIDChunk0" ACTIVE 689047260v2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(d)</w:t>
      </w:r>
    </w:p>
    <w:p>
      <w:pPr>
        <w:pStyle w:val="TextBody"/>
        <w:bidi w:val="0"/>
        <w:jc w:val="both"/>
        <w:rPr/>
      </w:pPr>
      <w:r>
        <w:rPr>
          <w:rFonts w:ascii="Times New Roman" w:hAnsi="Times New Roman"/>
          <w:b/>
          <w:color w:val="000000"/>
          <w:sz w:val="22"/>
          <w:u w:val="single"/>
        </w:rPr>
        <w:t>Repayment Agreement</w:t>
      </w:r>
      <w:r>
        <w:rPr>
          <w:rFonts w:ascii="Times New Roman" w:hAnsi="Times New Roman"/>
          <w:color w:val="000000"/>
          <w:sz w:val="22"/>
        </w:rPr>
        <w:t>. “</w:t>
      </w:r>
      <w:r>
        <w:rPr>
          <w:rFonts w:ascii="Times New Roman" w:hAnsi="Times New Roman"/>
          <w:b/>
          <w:color w:val="000000"/>
          <w:sz w:val="22"/>
          <w:u w:val="single"/>
        </w:rPr>
        <w:t>Repayment Agreement</w:t>
      </w:r>
      <w:r>
        <w:rPr>
          <w:color w:val="000000"/>
        </w:rPr>
        <w:t xml:space="preserve">” </w:t>
      </w:r>
      <w:r>
        <w:rPr>
          <w:rFonts w:ascii="Times New Roman" w:hAnsi="Times New Roman"/>
          <w:color w:val="000000"/>
          <w:sz w:val="22"/>
        </w:rPr>
        <w:t>shall mean an agreement (in a form reasonably acceptable to the Committee) with the Covered Person for the repayment of the Erroneously-Awarded Compensation as promptly as possible without unreasonable economic hardship to the Covered Person.</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(e)</w:t>
      </w:r>
    </w:p>
    <w:p>
      <w:pPr>
        <w:pStyle w:val="TextBody"/>
        <w:bidi w:val="0"/>
        <w:jc w:val="both"/>
        <w:rPr/>
      </w:pPr>
      <w:r>
        <w:rPr>
          <w:rFonts w:ascii="Times New Roman" w:hAnsi="Times New Roman"/>
          <w:b/>
          <w:color w:val="000000"/>
          <w:sz w:val="22"/>
          <w:u w:val="single"/>
        </w:rPr>
        <w:t>Effect of Non-Repayment</w:t>
      </w:r>
      <w:r>
        <w:rPr>
          <w:rFonts w:ascii="Times New Roman" w:hAnsi="Times New Roman"/>
          <w:color w:val="000000"/>
          <w:sz w:val="22"/>
        </w:rPr>
        <w:t>. To the extent that a Covered Person fails to repay all Erroneously-Awarded Compensation to the Company when due (as determined in accordance with this Policy), the Company shall, or shall cause one or more other members of the Company to, take all actions reasonable and appropriate to recover such Erroneously-Awarded Compensation from the applicable Covered Person. The applicable Covered Person shall be required to reimburse the Company for any and all expenses reasonably incurred (including legal fees) by the Company in recovering such Erroneously-Awarded Compensation in accordance with the immediately preceding sentence.</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Committee shall have broad discretion to determine the appropriate means of recovery of Erroneously-Awarded Compensation based on all applicable facts and circumstances and taking into account the time value of money and the cost to shareholders of delaying recovery. However, in no event may the Company accept an amount that is less than the amount of Erroneously-Awarded Compensation in satisfaction of a Covered Person’s obligations hereunder.</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VI.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Discretionary Recovery</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Notwithstanding anything herein to the contrary, the Company shall not be required to take action to recover Erroneously-Awarded Compensation if any one of the following conditions are met and the Committee determines that recovery would be impracticable: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direct expenses paid to a third party to assist in enforcing this Policy against a Covered Person would exceed the amount to be recovered, after the Company has made a reasonable attempt to recover the applicable Erroneously-Awarded Compensation, documented such attempts and provided such documentation to Nasdaq;</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recovery would violate home country law where that law was adopted prior to November 28, 2022, provided that, before determining that it would be impracticable to recover any amount of Erroneously-Awarded Compensation based on violation of home country law, the Company has obtained an opinion of home country counsel, acceptable to Nasdaq, that recovery would result in such a violation and a copy of the opinion is provided to Nasdaq; or</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VII.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Reporting and Disclosure Requirements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shall file all disclosures with respect to this Policy in accordance with the requirements of the federal securities laws.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VIII.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Effective Date</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Arial" w:hAnsi="Arial"/>
          <w:color w:val="000000"/>
          <w:sz w:val="16"/>
        </w:rPr>
      </w:pPr>
      <w:r>
        <w:rPr>
          <w:rFonts w:ascii="Arial" w:hAnsi="Arial"/>
          <w:color w:val="000000"/>
          <w:sz w:val="16"/>
        </w:rPr>
        <w:t>DOCPROPERTY "CUS_DocIDChunk0" ACTIVE 689047260v2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shall apply to any Incentive-Based Compensation Received on or after the Effective Date.</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IX.</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No Indemnification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shall not indemnify any Covered Person against the loss of Erroneously-Awarded Compensation and shall not pay, or reimburse any Covered Persons for premiums, for any insurance policy to fund such Covered Person’s potential recovery obligations.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X.</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Administration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Committee has the sole discretion to administer this Policy and ensure compliance with Nasdaq rules and any other applicable law, regulation, rule or interpretation of the SEC or Nasdaq promulgated or issued in connection therewith. Actions of the Committee pursuant to this Policy shall be taken by the vote of a majority of its members. The Committee shall, subject to the provisions of this Policy, make such determinations and interpretations and take such actions as it deems necessary, appropriate or advisable. All determinations and interpretations made by the Committee shall be final, binding and conclusive.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XI.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Amendment; Termination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Board may amend this Policy from time to time in its discretion and shall amend this Policy as it deems necessary, including as and when it determines that it is legally required by any federal securities laws or the rules of Nasdaq or any national securities exchange or national securities association on which the Company’s securities are then listed. The Board may terminate this Policy at any time. Notwithstanding anything in this Section XI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or the rules of Nasdaq or any national securities exchange or national securities association on which the Company’s securities are then listed.</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XII.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Other Recoupment Rights; No Additional Payments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Board intends that this Policy will be applied to the fullest extent of the law. The Committee or the Board may require that any employment agreement, equity award agreement or any other agreement entered into on or after the Adoption Date shall, as a condition to the grant of any benefit thereunder, require a Covered Person to agree to abide by the terms of this Policy. This Policy replaces and supersedes the Company’s Executive Incentive Pay Clawback Policy originally adopted in August 2018. Any right of recoupment under this Policy is in addition to, and not in lieu of, any other rights under applicable law, regulation or rule or pursuant to the terms of, or any similar policy in, any employment agreement, equity plan, equity award agreement or similar arrangement and any other legal remedies available to the Company. However, this Policy shall not provide for recovery of Incentive-Based Compensation that the Company has already recovered pursuant to Section 304 of the Sarbanes-Oxley Act or other recovery obligations.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XIII.</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Successors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Policy shall be binding and enforceable against all Covered Persons and their beneficiaries, heirs, executors, administrators or other legal representatives.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Arial" w:hAnsi="Arial"/>
          <w:color w:val="000000"/>
          <w:sz w:val="16"/>
        </w:rPr>
      </w:pPr>
      <w:r>
        <w:rPr>
          <w:rFonts w:ascii="Arial" w:hAnsi="Arial"/>
          <w:color w:val="000000"/>
          <w:sz w:val="16"/>
        </w:rPr>
        <w:t>DOCPROPERTY "CUS_DocIDChunk0" ACTIVE 689047260v2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ACKNOWLEDGEMENT AND AGREEMENT</w:t>
      </w:r>
    </w:p>
    <w:p>
      <w:pPr>
        <w:pStyle w:val="TextBody"/>
        <w:bidi w:val="0"/>
        <w:jc w:val="center"/>
        <w:rPr>
          <w:rFonts w:ascii="Times New Roman" w:hAnsi="Times New Roman"/>
          <w:b/>
          <w:color w:val="000000"/>
          <w:sz w:val="22"/>
        </w:rPr>
      </w:pPr>
      <w:r>
        <w:rPr>
          <w:rFonts w:ascii="Times New Roman" w:hAnsi="Times New Roman"/>
          <w:b/>
          <w:color w:val="000000"/>
          <w:sz w:val="22"/>
        </w:rPr>
        <w:t>TO THE</w:t>
      </w:r>
    </w:p>
    <w:p>
      <w:pPr>
        <w:pStyle w:val="TextBody"/>
        <w:bidi w:val="0"/>
        <w:jc w:val="center"/>
        <w:rPr>
          <w:rFonts w:ascii="Times New Roman" w:hAnsi="Times New Roman"/>
          <w:b/>
          <w:color w:val="000000"/>
          <w:sz w:val="22"/>
        </w:rPr>
      </w:pPr>
      <w:r>
        <w:rPr>
          <w:rFonts w:ascii="Times New Roman" w:hAnsi="Times New Roman"/>
          <w:b/>
          <w:color w:val="000000"/>
          <w:sz w:val="22"/>
        </w:rPr>
        <w:t>EXECUTIVE OFFICER CLAWBACK POLICY</w:t>
      </w:r>
    </w:p>
    <w:p>
      <w:pPr>
        <w:pStyle w:val="TextBody"/>
        <w:bidi w:val="0"/>
        <w:jc w:val="center"/>
        <w:rPr>
          <w:rFonts w:ascii="Times New Roman" w:hAnsi="Times New Roman"/>
          <w:b/>
          <w:color w:val="000000"/>
          <w:sz w:val="22"/>
        </w:rPr>
      </w:pPr>
      <w:r>
        <w:rPr>
          <w:rFonts w:ascii="Times New Roman" w:hAnsi="Times New Roman"/>
          <w:b/>
          <w:color w:val="000000"/>
          <w:sz w:val="22"/>
        </w:rPr>
        <w:t>OF</w:t>
      </w:r>
    </w:p>
    <w:p>
      <w:pPr>
        <w:pStyle w:val="TextBody"/>
        <w:bidi w:val="0"/>
        <w:jc w:val="center"/>
        <w:rPr>
          <w:rFonts w:ascii="Times New Roman" w:hAnsi="Times New Roman"/>
          <w:b/>
          <w:color w:val="000000"/>
          <w:sz w:val="22"/>
        </w:rPr>
      </w:pPr>
      <w:r>
        <w:rPr>
          <w:rFonts w:ascii="Times New Roman" w:hAnsi="Times New Roman"/>
          <w:b/>
          <w:color w:val="000000"/>
          <w:sz w:val="22"/>
        </w:rPr>
        <w:t>DESTINATION XL GROUP, INC.</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signing below, the undersigned acknowledges and confirms that the undersigned has received and reviewed a copy of the Company’s Executive Officer Clawback Policy (the “Policy”). Capitalized terms used but not otherwise defined in this Acknowledgement and Agreement (this “Acknowledgement”) shall have the meanings ascribed to such terms in the Policy.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signing this Acknowledgement, the undersigned acknowledges and agrees that the undersigned is and will continue to be subject to the Policy for any period of time during which the undersigned is or was an Executive Officer of the Company and that the Policy will apply both during and after the undersigned’s employment with the Company. Further, by signing below, the undersigned agrees to abide by the terms of the Policy, including, without limitation, by returning any Erroneously-Awarded Compensation (as defined in the Policy) to the Company to the extent required by, and in a manner permitted by, the Policy.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51" w:type="dxa"/>
        <w:jc w:val="left"/>
        <w:tblInd w:w="0" w:type="dxa"/>
        <w:tblLayout w:type="fixed"/>
        <w:tblCellMar>
          <w:top w:w="28" w:type="dxa"/>
          <w:left w:w="28" w:type="dxa"/>
          <w:bottom w:w="28" w:type="dxa"/>
          <w:right w:w="28" w:type="dxa"/>
        </w:tblCellMar>
      </w:tblPr>
      <w:tblGrid>
        <w:gridCol w:w="1051"/>
      </w:tblGrid>
      <w:tr>
        <w:trPr/>
        <w:tc>
          <w:tcPr>
            <w:tcW w:w="105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Signature</w:t>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Date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Arial" w:hAnsi="Arial"/>
          <w:color w:val="000000"/>
          <w:sz w:val="16"/>
        </w:rPr>
      </w:pPr>
      <w:r>
        <w:rPr>
          <w:rFonts w:ascii="Arial" w:hAnsi="Arial"/>
          <w:color w:val="000000"/>
          <w:sz w:val="16"/>
        </w:rPr>
        <w:t>DOCPROPERTY "CUS_DocIDChunk0" ACTIVE 689047260v2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3298/000156459021046526/dxlg-ex31_150.htm" TargetMode="External"/><Relationship Id="rId4" Type="http://schemas.openxmlformats.org/officeDocument/2006/relationships/hyperlink" Target="https://www.sec.gov/Archives/edgar/data/813298/000156459021046526/dxlg-ex32_151.htm" TargetMode="External"/><Relationship Id="rId5" Type="http://schemas.openxmlformats.org/officeDocument/2006/relationships/hyperlink" Target="https://www.sec.gov/Archives/edgar/data/813298/000156459015005139/dxlg-ex31_2015061621.htm" TargetMode="External"/><Relationship Id="rId6" Type="http://schemas.openxmlformats.org/officeDocument/2006/relationships/hyperlink" Target="https://www.sec.gov/Archives/edgar/data/813298/000095017022004055/dxlg-ex4_1.htm" TargetMode="External"/><Relationship Id="rId7" Type="http://schemas.openxmlformats.org/officeDocument/2006/relationships/hyperlink" Target="https://www.sec.gov/Archives/edgar/data/813298/000119312514102442/d657704dex103.htm" TargetMode="External"/><Relationship Id="rId8" Type="http://schemas.openxmlformats.org/officeDocument/2006/relationships/hyperlink" Target="https://www.sec.gov/Archives/edgar/data/813298/000156459017004804/dxlg-ex103_69.htm" TargetMode="External"/><Relationship Id="rId9" Type="http://schemas.openxmlformats.org/officeDocument/2006/relationships/hyperlink" Target="https://www.sec.gov/Archives/edgar/data/813298/000156459020041484/dxlg-ex103_14.htm" TargetMode="External"/><Relationship Id="rId10" Type="http://schemas.openxmlformats.org/officeDocument/2006/relationships/hyperlink" Target="https://www.sec.gov/Archives/edgar/data/813298/000156459017004804/dxlg-ex105_67.htm" TargetMode="External"/><Relationship Id="rId11" Type="http://schemas.openxmlformats.org/officeDocument/2006/relationships/hyperlink" Target="https://www.sec.gov/Archives/edgar/data/813298/000156459017004804/dxlg-ex106_66.htm" TargetMode="External"/><Relationship Id="rId12" Type="http://schemas.openxmlformats.org/officeDocument/2006/relationships/hyperlink" Target="https://www.sec.gov/Archives/edgar/data/813298/000156459017004804/dxlg-ex107_65.htm" TargetMode="External"/><Relationship Id="rId13" Type="http://schemas.openxmlformats.org/officeDocument/2006/relationships/hyperlink" Target="https://www.sec.gov/Archives/edgar/data/813298/000156459017004804/dxlg-ex108_64.htm" TargetMode="External"/><Relationship Id="rId14" Type="http://schemas.openxmlformats.org/officeDocument/2006/relationships/hyperlink" Target="https://www.sec.gov/Archives/edgar/data/813298/000156459017004804/dxlg-ex109_63.htm" TargetMode="External"/><Relationship Id="rId15" Type="http://schemas.openxmlformats.org/officeDocument/2006/relationships/hyperlink" Target="https://www.sec.gov/Archives/edgar/data/813298/000095017022004055/dxlg-ex10_11.htm" TargetMode="External"/><Relationship Id="rId16" Type="http://schemas.openxmlformats.org/officeDocument/2006/relationships/hyperlink" Target="https://www.sec.gov/Archives/edgar/data/813298/000095017021002592/dxlg-ex10_1.htm" TargetMode="External"/><Relationship Id="rId17" Type="http://schemas.openxmlformats.org/officeDocument/2006/relationships/hyperlink" Target="https://www.sec.gov/Archives/edgar/data/813298/000095017023013942/dxlg-ex10_1.htm" TargetMode="External"/><Relationship Id="rId18" Type="http://schemas.openxmlformats.org/officeDocument/2006/relationships/hyperlink" Target="https://www.sec.gov/Archives/edgar/data/813298/000095017022005355/dxlg-ex10_1.htm" TargetMode="External"/><Relationship Id="rId19" Type="http://schemas.openxmlformats.org/officeDocument/2006/relationships/hyperlink" Target="https://www.sec.gov/Archives/edgar/data/813298/000095017023042626/dxlg-ex10_1.htm" TargetMode="External"/><Relationship Id="rId20" Type="http://schemas.openxmlformats.org/officeDocument/2006/relationships/hyperlink" Target="https://www.sec.gov/Archives/edgar/data/813298/000156459018006679/dxlg-ex1032_18.htm" TargetMode="External"/><Relationship Id="rId21" Type="http://schemas.openxmlformats.org/officeDocument/2006/relationships/hyperlink" Target="https://www.sec.gov/Archives/edgar/data/813298/000119312510003992/dex102.htm" TargetMode="External"/><Relationship Id="rId22" Type="http://schemas.openxmlformats.org/officeDocument/2006/relationships/hyperlink" Target="https://www.sec.gov/Archives/edgar/data/813298/000095017023012911/dxlg-ex10_1.htm" TargetMode="External"/><Relationship Id="rId23" Type="http://schemas.openxmlformats.org/officeDocument/2006/relationships/hyperlink" Target="https://www.sec.gov/Archives/edgar/data/813298/000119312510061836/dex1034.htm" TargetMode="External"/><Relationship Id="rId24" Type="http://schemas.openxmlformats.org/officeDocument/2006/relationships/hyperlink" Target="https://www.sec.gov/Archives/edgar/data/813298/000095017022010764/dxlg-ex10_6.htm" TargetMode="External"/><Relationship Id="rId25" Type="http://schemas.openxmlformats.org/officeDocument/2006/relationships/hyperlink" Target="https://www.sec.gov/Archives/edgar/data/813298/000156459021030359/dxlg-ex101_30.htm" TargetMode="External"/><Relationship Id="rId26" Type="http://schemas.openxmlformats.org/officeDocument/2006/relationships/hyperlink" Target="https://www.sec.gov/Archives/edgar/data/813298/000095017023012911/dxlg-ex10_1.htm" TargetMode="External"/><Relationship Id="rId27" Type="http://schemas.openxmlformats.org/officeDocument/2006/relationships/hyperlink" Target="https://www.sec.gov/Archives/edgar/data/813298/000095017022010764/dxlg-ex10_5.htm" TargetMode="External"/><Relationship Id="rId28" Type="http://schemas.openxmlformats.org/officeDocument/2006/relationships/hyperlink" Target="https://www.sec.gov/Archives/edgar/data/813298/000095017022025372/dxlg-ex10_2.htm" TargetMode="External"/><Relationship Id="rId29" Type="http://schemas.openxmlformats.org/officeDocument/2006/relationships/hyperlink" Target="https://www.sec.gov/Archives/edgar/data/813298/000095017022025372/dxlg-ex10_3.htm" TargetMode="External"/><Relationship Id="rId30" Type="http://schemas.openxmlformats.org/officeDocument/2006/relationships/hyperlink" Target="https://www.sec.gov/Archives/edgar/data/813298/000095017023059751/dxlg-ex10_1.htm" TargetMode="External"/><Relationship Id="rId31" Type="http://schemas.openxmlformats.org/officeDocument/2006/relationships/hyperlink" Target="https://www.sec.gov/Archives/edgar/data/813298/000156459018016002/dxlg-ex101_6.htm" TargetMode="External"/><Relationship Id="rId32" Type="http://schemas.openxmlformats.org/officeDocument/2006/relationships/hyperlink" Target="https://www.sec.gov/Archives/edgar/data/813298/000156459018030322/dxlg-ex101_13.htm" TargetMode="External"/><Relationship Id="rId33" Type="http://schemas.openxmlformats.org/officeDocument/2006/relationships/hyperlink" Target="https://www.sec.gov/Archives/edgar/data/813298/000156459020029187/dxlg-ex101_6.htm" TargetMode="External"/><Relationship Id="rId34" Type="http://schemas.openxmlformats.org/officeDocument/2006/relationships/hyperlink" Target="https://www.sec.gov/Archives/edgar/data/813298/000095017022005355/dxlg-ex10_2.htm" TargetMode="External"/><Relationship Id="rId35" Type="http://schemas.openxmlformats.org/officeDocument/2006/relationships/hyperlink" Target="https://www.sec.gov/Archives/edgar/data/813298/000156459017023975/dxlg-ex101_8.htm" TargetMode="External"/><Relationship Id="rId36" Type="http://schemas.openxmlformats.org/officeDocument/2006/relationships/hyperlink" Target="https://www.sec.gov/Archives/edgar/data/813298/000156459020011796/dxlg-ex1038_132.htm" TargetMode="External"/><Relationship Id="rId37" Type="http://schemas.openxmlformats.org/officeDocument/2006/relationships/hyperlink" Target="https://www.sec.gov/Archives/edgar/data/813298/000119312521030948/d132525dex101.htm" TargetMode="External"/><Relationship Id="rId38" Type="http://schemas.openxmlformats.org/officeDocument/2006/relationships/hyperlink" Target="https://www.sec.gov/Archives/edgar/data/813298/000119312506019470/dex101.htm" TargetMode="External"/><Relationship Id="rId39" Type="http://schemas.openxmlformats.org/officeDocument/2006/relationships/hyperlink" Target="https://www.sec.gov/Archives/edgar/data/813298/000119312506019470/dex102.htm" TargetMode="External"/><Relationship Id="rId40" Type="http://schemas.openxmlformats.org/officeDocument/2006/relationships/hyperlink" Target="https://www.sec.gov/Archives/edgar/data/813298/000119312506019470/dex103.htm" TargetMode="External"/><Relationship Id="rId41" Type="http://schemas.openxmlformats.org/officeDocument/2006/relationships/image" Target="media/image2.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74311</Words>
  <Characters>397436</Characters>
  <CharactersWithSpaces>474315</CharactersWithSpaces>
  <Paragraphs>10350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