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ANNUAL REPORT 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40"/>
          </w:cols>
          <w:pgMar w:left="240" w:top="230" w:right="319" w:bottom="1440" w:gutter="0" w:footer="0" w:header="0"/>
        </w:sectPr>
      </w:pPr>
    </w:p>
    <w:p>
      <w:pPr>
        <w:spacing w:after="0" w:line="182" w:lineRule="exact"/>
        <w:rPr>
          <w:sz w:val="24"/>
          <w:szCs w:val="24"/>
          <w:color w:val="auto"/>
        </w:rPr>
      </w:pPr>
    </w:p>
    <w:p>
      <w:pPr>
        <w:jc w:val="center"/>
        <w:ind w:right="960"/>
        <w:spacing w:after="0"/>
        <w:rPr>
          <w:sz w:val="20"/>
          <w:szCs w:val="20"/>
          <w:color w:val="auto"/>
        </w:rPr>
      </w:pPr>
      <w:r>
        <w:rPr>
          <w:rFonts w:ascii="Arial" w:cs="Arial" w:eastAsia="Arial" w:hAnsi="Arial"/>
          <w:sz w:val="15"/>
          <w:szCs w:val="15"/>
          <w:b w:val="1"/>
          <w:bCs w:val="1"/>
          <w:color w:val="auto"/>
        </w:rPr>
        <w:t>For the fiscal year ended January 28, 2006</w:t>
      </w:r>
    </w:p>
    <w:p>
      <w:pPr>
        <w:spacing w:after="0" w:line="56"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(Fiscal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127000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0-15898</w:t>
      </w:r>
    </w:p>
    <w:p>
      <w:pPr>
        <w:spacing w:after="0" w:line="462" w:lineRule="exact"/>
        <w:rPr>
          <w:sz w:val="24"/>
          <w:szCs w:val="24"/>
          <w:color w:val="auto"/>
        </w:rPr>
      </w:pPr>
    </w:p>
    <w:p>
      <w:pPr>
        <w:sectPr>
          <w:pgSz w:w="11900" w:h="16838" w:orient="portrait"/>
          <w:cols w:equalWidth="0" w:num="2">
            <w:col w:w="6700" w:space="720"/>
            <w:col w:w="3920"/>
          </w:cols>
          <w:pgMar w:left="240" w:top="230" w:right="319" w:bottom="1440" w:gutter="0" w:footer="0" w:header="0"/>
          <w:type w:val="continuous"/>
        </w:sectPr>
      </w:pP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122555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3040" w:type="dxa"/>
            <w:vAlign w:val="bottom"/>
          </w:tcPr>
          <w:p>
            <w:pPr>
              <w:jc w:val="center"/>
              <w:ind w:right="424"/>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tcPr>
          <w:p>
            <w:pPr>
              <w:jc w:val="right"/>
              <w:ind w:right="480"/>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40" w:type="dxa"/>
            <w:vAlign w:val="bottom"/>
          </w:tcPr>
          <w:p>
            <w:pPr>
              <w:jc w:val="center"/>
              <w:ind w:right="4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20" w:type="dxa"/>
            <w:vAlign w:val="bottom"/>
          </w:tcPr>
          <w:p>
            <w:pPr>
              <w:jc w:val="center"/>
              <w:ind w:left="2980"/>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40" w:type="dxa"/>
            <w:vAlign w:val="bottom"/>
          </w:tcPr>
          <w:p>
            <w:pPr>
              <w:jc w:val="center"/>
              <w:ind w:right="444"/>
              <w:spacing w:after="0"/>
              <w:rPr>
                <w:sz w:val="20"/>
                <w:szCs w:val="20"/>
                <w:color w:val="auto"/>
              </w:rPr>
            </w:pPr>
            <w:r>
              <w:rPr>
                <w:rFonts w:ascii="Arial" w:cs="Arial" w:eastAsia="Arial" w:hAnsi="Arial"/>
                <w:sz w:val="14"/>
                <w:szCs w:val="14"/>
                <w:b w:val="1"/>
                <w:bCs w:val="1"/>
                <w:color w:val="auto"/>
                <w:w w:val="88"/>
              </w:rPr>
              <w:t>incorporation or organization)</w:t>
            </w:r>
          </w:p>
        </w:tc>
        <w:tc>
          <w:tcPr>
            <w:tcW w:w="5020" w:type="dxa"/>
            <w:vAlign w:val="bottom"/>
          </w:tcPr>
          <w:p>
            <w:pPr>
              <w:spacing w:after="0"/>
              <w:rPr>
                <w:sz w:val="15"/>
                <w:szCs w:val="15"/>
                <w:color w:val="auto"/>
              </w:rPr>
            </w:pPr>
          </w:p>
        </w:tc>
      </w:tr>
      <w:tr>
        <w:trPr>
          <w:trHeight w:val="406"/>
        </w:trPr>
        <w:tc>
          <w:tcPr>
            <w:tcW w:w="3040" w:type="dxa"/>
            <w:vAlign w:val="bottom"/>
          </w:tcPr>
          <w:p>
            <w:pPr>
              <w:jc w:val="center"/>
              <w:ind w:right="444"/>
              <w:spacing w:after="0"/>
              <w:rPr>
                <w:sz w:val="20"/>
                <w:szCs w:val="20"/>
                <w:color w:val="auto"/>
              </w:rPr>
            </w:pPr>
            <w:r>
              <w:rPr>
                <w:rFonts w:ascii="Arial" w:cs="Arial" w:eastAsia="Arial" w:hAnsi="Arial"/>
                <w:sz w:val="18"/>
                <w:szCs w:val="18"/>
                <w:b w:val="1"/>
                <w:bCs w:val="1"/>
                <w:color w:val="auto"/>
                <w:w w:val="90"/>
              </w:rPr>
              <w:t>555 Turnpike Street, Canton, MA</w:t>
            </w:r>
          </w:p>
        </w:tc>
        <w:tc>
          <w:tcPr>
            <w:tcW w:w="5020" w:type="dxa"/>
            <w:vAlign w:val="bottom"/>
          </w:tcPr>
          <w:p>
            <w:pPr>
              <w:jc w:val="right"/>
              <w:ind w:right="680"/>
              <w:spacing w:after="0"/>
              <w:rPr>
                <w:sz w:val="20"/>
                <w:szCs w:val="20"/>
                <w:color w:val="auto"/>
              </w:rPr>
            </w:pPr>
            <w:r>
              <w:rPr>
                <w:rFonts w:ascii="Arial" w:cs="Arial" w:eastAsia="Arial" w:hAnsi="Arial"/>
                <w:sz w:val="18"/>
                <w:szCs w:val="18"/>
                <w:b w:val="1"/>
                <w:bCs w:val="1"/>
                <w:color w:val="auto"/>
              </w:rPr>
              <w:t>02021</w:t>
            </w:r>
          </w:p>
        </w:tc>
      </w:tr>
      <w:tr>
        <w:trPr>
          <w:trHeight w:val="147"/>
        </w:trPr>
        <w:tc>
          <w:tcPr>
            <w:tcW w:w="3040" w:type="dxa"/>
            <w:vAlign w:val="bottom"/>
          </w:tcPr>
          <w:p>
            <w:pPr>
              <w:jc w:val="center"/>
              <w:ind w:right="444"/>
              <w:spacing w:after="0" w:line="147" w:lineRule="exact"/>
              <w:rPr>
                <w:sz w:val="20"/>
                <w:szCs w:val="20"/>
                <w:color w:val="auto"/>
              </w:rPr>
            </w:pPr>
            <w:r>
              <w:rPr>
                <w:rFonts w:ascii="Arial" w:cs="Arial" w:eastAsia="Arial" w:hAnsi="Arial"/>
                <w:sz w:val="14"/>
                <w:szCs w:val="14"/>
                <w:b w:val="1"/>
                <w:bCs w:val="1"/>
                <w:color w:val="auto"/>
                <w:w w:val="85"/>
              </w:rPr>
              <w:t>(Address of principal executive offices)</w:t>
            </w:r>
          </w:p>
        </w:tc>
        <w:tc>
          <w:tcPr>
            <w:tcW w:w="5020" w:type="dxa"/>
            <w:vAlign w:val="bottom"/>
          </w:tcPr>
          <w:p>
            <w:pPr>
              <w:jc w:val="center"/>
              <w:ind w:left="3000"/>
              <w:spacing w:after="0" w:line="147" w:lineRule="exact"/>
              <w:rPr>
                <w:sz w:val="20"/>
                <w:szCs w:val="20"/>
                <w:color w:val="auto"/>
              </w:rPr>
            </w:pPr>
            <w:r>
              <w:rPr>
                <w:rFonts w:ascii="Arial" w:cs="Arial" w:eastAsia="Arial" w:hAnsi="Arial"/>
                <w:sz w:val="14"/>
                <w:szCs w:val="14"/>
                <w:b w:val="1"/>
                <w:bCs w:val="1"/>
                <w:color w:val="auto"/>
                <w:w w:val="89"/>
              </w:rPr>
              <w:t>(Zip Code)</w:t>
            </w:r>
          </w:p>
        </w:tc>
      </w:tr>
      <w:tr>
        <w:trPr>
          <w:trHeight w:val="228"/>
        </w:trPr>
        <w:tc>
          <w:tcPr>
            <w:tcW w:w="3040" w:type="dxa"/>
            <w:vAlign w:val="bottom"/>
          </w:tcPr>
          <w:p>
            <w:pPr>
              <w:spacing w:after="0"/>
              <w:rPr>
                <w:sz w:val="19"/>
                <w:szCs w:val="19"/>
                <w:color w:val="auto"/>
              </w:rPr>
            </w:pPr>
          </w:p>
        </w:tc>
        <w:tc>
          <w:tcPr>
            <w:tcW w:w="5020" w:type="dxa"/>
            <w:vAlign w:val="bottom"/>
          </w:tcPr>
          <w:p>
            <w:pPr>
              <w:jc w:val="right"/>
              <w:ind w:right="3320"/>
              <w:spacing w:after="0"/>
              <w:rPr>
                <w:sz w:val="20"/>
                <w:szCs w:val="20"/>
                <w:color w:val="auto"/>
              </w:rPr>
            </w:pPr>
            <w:r>
              <w:rPr>
                <w:rFonts w:ascii="Arial" w:cs="Arial" w:eastAsia="Arial" w:hAnsi="Arial"/>
                <w:sz w:val="18"/>
                <w:szCs w:val="18"/>
                <w:b w:val="1"/>
                <w:bCs w:val="1"/>
                <w:color w:val="auto"/>
              </w:rPr>
              <w:t>(781) 828-9300</w:t>
            </w:r>
          </w:p>
        </w:tc>
      </w:tr>
    </w:tbl>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$0.01 par value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127000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p>
      <w:pPr>
        <w:spacing w:after="0" w:line="31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8700" w:space="160"/>
            <w:col w:w="260" w:space="80"/>
            <w:col w:w="160" w:space="180"/>
            <w:col w:w="220" w:space="80"/>
            <w:col w:w="1500"/>
          </w:cols>
          <w:pgMar w:left="240" w:top="230"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860" w:space="160"/>
            <w:col w:w="260" w:space="80"/>
            <w:col w:w="160" w:space="180"/>
            <w:col w:w="220" w:space="80"/>
            <w:col w:w="1340"/>
          </w:cols>
          <w:pgMar w:left="240" w:top="230" w:right="319" w:bottom="1440" w:gutter="0" w:footer="0" w:header="0"/>
          <w:type w:val="continuous"/>
        </w:sect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2320"/>
        <w:spacing w:after="0" w:line="207" w:lineRule="exact"/>
        <w:tabs>
          <w:tab w:leader="none" w:pos="4300" w:val="left"/>
          <w:tab w:leader="none" w:pos="59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32" w:lineRule="exact"/>
        <w:rPr>
          <w:sz w:val="24"/>
          <w:szCs w:val="24"/>
          <w:color w:val="auto"/>
        </w:rPr>
      </w:pPr>
    </w:p>
    <w:p>
      <w:pPr>
        <w:ind w:left="460"/>
        <w:spacing w:after="0" w:line="207" w:lineRule="exact"/>
        <w:tabs>
          <w:tab w:leader="none" w:pos="7840" w:val="left"/>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60" w:firstLine="456"/>
        <w:spacing w:after="0" w:line="256" w:lineRule="auto"/>
        <w:rPr>
          <w:sz w:val="20"/>
          <w:szCs w:val="20"/>
          <w:color w:val="auto"/>
        </w:rPr>
      </w:pPr>
      <w:r>
        <w:rPr>
          <w:rFonts w:ascii="Arial" w:cs="Arial" w:eastAsia="Arial" w:hAnsi="Arial"/>
          <w:sz w:val="18"/>
          <w:szCs w:val="18"/>
          <w:color w:val="auto"/>
        </w:rPr>
        <w:t>As of July 30, 2005, the aggregate market value of the Common Stock held by non-affiliates of the registrant was approximately $187.3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35,038,632 shares of Common Stock, $0.01 par value, outstanding as of March 29, 2006.</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Portions of the Proxy Statement for the 2006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80" w:type="dxa"/>
            <w:vAlign w:val="bottom"/>
            <w:gridSpan w:val="18"/>
          </w:tcPr>
          <w:p>
            <w:pPr>
              <w:jc w:val="center"/>
              <w:ind w:right="3640"/>
              <w:spacing w:after="0"/>
              <w:rPr>
                <w:sz w:val="20"/>
                <w:szCs w:val="20"/>
                <w:color w:val="auto"/>
              </w:rPr>
            </w:pPr>
            <w:r>
              <w:rPr>
                <w:rFonts w:ascii="Arial" w:cs="Arial" w:eastAsia="Arial" w:hAnsi="Arial"/>
                <w:sz w:val="18"/>
                <w:szCs w:val="18"/>
                <w:b w:val="1"/>
                <w:bCs w:val="1"/>
                <w:color w:val="auto"/>
                <w:w w:val="98"/>
              </w:rPr>
              <w:t>CASUAL MALE RETAIL GROUP, INC.</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80" w:type="dxa"/>
            <w:vAlign w:val="bottom"/>
            <w:gridSpan w:val="18"/>
          </w:tcPr>
          <w:p>
            <w:pPr>
              <w:jc w:val="center"/>
              <w:ind w:right="3660"/>
              <w:spacing w:after="0"/>
              <w:rPr>
                <w:sz w:val="20"/>
                <w:szCs w:val="20"/>
                <w:color w:val="auto"/>
              </w:rPr>
            </w:pPr>
            <w:r>
              <w:rPr>
                <w:rFonts w:ascii="Arial" w:cs="Arial" w:eastAsia="Arial" w:hAnsi="Arial"/>
                <w:sz w:val="18"/>
                <w:szCs w:val="18"/>
                <w:b w:val="1"/>
                <w:bCs w:val="1"/>
                <w:color w:val="auto"/>
                <w:w w:val="90"/>
              </w:rPr>
              <w:t>Index to Annual Report on Form 10-K</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gridSpan w:val="16"/>
          </w:tcPr>
          <w:p>
            <w:pPr>
              <w:jc w:val="center"/>
              <w:ind w:right="4160"/>
              <w:spacing w:after="0"/>
              <w:rPr>
                <w:sz w:val="20"/>
                <w:szCs w:val="20"/>
                <w:color w:val="auto"/>
              </w:rPr>
            </w:pPr>
            <w:r>
              <w:rPr>
                <w:rFonts w:ascii="Arial" w:cs="Arial" w:eastAsia="Arial" w:hAnsi="Arial"/>
                <w:sz w:val="18"/>
                <w:szCs w:val="18"/>
                <w:b w:val="1"/>
                <w:bCs w:val="1"/>
                <w:color w:val="auto"/>
                <w:w w:val="89"/>
              </w:rPr>
              <w:t>Year Ended January 28, 2006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080" w:type="dxa"/>
            <w:vAlign w:val="bottom"/>
            <w:gridSpan w:val="9"/>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EE"/>
            </w:tcBorders>
            <w:vMerge w:val="continue"/>
          </w:tcPr>
          <w:p>
            <w:pPr>
              <w:spacing w:after="0"/>
              <w:rPr>
                <w:sz w:val="14"/>
                <w:szCs w:val="14"/>
                <w:color w:val="auto"/>
              </w:rPr>
            </w:pPr>
          </w:p>
        </w:tc>
        <w:tc>
          <w:tcPr>
            <w:tcW w:w="5080" w:type="dxa"/>
            <w:vAlign w:val="bottom"/>
            <w:gridSpan w:val="9"/>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280" w:type="dxa"/>
            <w:vAlign w:val="bottom"/>
            <w:gridSpan w:val="3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9020" w:type="dxa"/>
            <w:vAlign w:val="bottom"/>
            <w:gridSpan w:val="2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1B.</w:t>
            </w:r>
          </w:p>
        </w:tc>
        <w:tc>
          <w:tcPr>
            <w:tcW w:w="9920" w:type="dxa"/>
            <w:vAlign w:val="bottom"/>
            <w:gridSpan w:val="3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920" w:type="dxa"/>
            <w:vAlign w:val="bottom"/>
            <w:gridSpan w:val="2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8600" w:type="dxa"/>
            <w:vAlign w:val="bottom"/>
            <w:gridSpan w:val="2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3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504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920" w:type="dxa"/>
            <w:vAlign w:val="bottom"/>
            <w:gridSpan w:val="3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3"/>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9920" w:type="dxa"/>
            <w:vAlign w:val="bottom"/>
            <w:gridSpan w:val="3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2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62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7"/>
          </w:tcPr>
          <w:p>
            <w:pPr>
              <w:spacing w:after="0"/>
              <w:rPr>
                <w:sz w:val="24"/>
                <w:szCs w:val="24"/>
                <w:color w:val="auto"/>
              </w:rPr>
            </w:pPr>
          </w:p>
        </w:tc>
        <w:tc>
          <w:tcPr>
            <w:tcW w:w="566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9.</w:t>
            </w:r>
          </w:p>
        </w:tc>
        <w:tc>
          <w:tcPr>
            <w:tcW w:w="9920" w:type="dxa"/>
            <w:vAlign w:val="bottom"/>
            <w:gridSpan w:val="3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21"/>
          </w:tcPr>
          <w:p>
            <w:pPr>
              <w:spacing w:after="0"/>
              <w:rPr>
                <w:sz w:val="24"/>
                <w:szCs w:val="24"/>
                <w:color w:val="auto"/>
              </w:rPr>
            </w:pPr>
          </w:p>
        </w:tc>
        <w:tc>
          <w:tcPr>
            <w:tcW w:w="360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Item 9B.</w:t>
            </w:r>
          </w:p>
        </w:tc>
        <w:tc>
          <w:tcPr>
            <w:tcW w:w="9920" w:type="dxa"/>
            <w:vAlign w:val="bottom"/>
            <w:gridSpan w:val="3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500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140"/>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Directors and Executive Officers of the Registrant</w:t>
              </w:r>
            </w:hyperlink>
          </w:p>
        </w:tc>
        <w:tc>
          <w:tcPr>
            <w:tcW w:w="638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Executive Compensation</w:t>
              </w:r>
            </w:hyperlink>
          </w:p>
        </w:tc>
        <w:tc>
          <w:tcPr>
            <w:tcW w:w="8140" w:type="dxa"/>
            <w:vAlign w:val="bottom"/>
            <w:gridSpan w:val="2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920" w:type="dxa"/>
            <w:vAlign w:val="bottom"/>
            <w:gridSpan w:val="3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Related Stockholder Matters</w:t>
              </w:r>
            </w:hyperlink>
          </w:p>
        </w:tc>
        <w:tc>
          <w:tcPr>
            <w:tcW w:w="3040" w:type="dxa"/>
            <w:vAlign w:val="bottom"/>
            <w:tcBorders>
              <w:top w:val="single" w:sz="8" w:color="0000EE"/>
            </w:tcBorders>
            <w:gridSpan w:val="15"/>
          </w:tcPr>
          <w:p>
            <w:pPr>
              <w:spacing w:after="0"/>
              <w:rPr>
                <w:sz w:val="17"/>
                <w:szCs w:val="17"/>
                <w:color w:val="auto"/>
              </w:rPr>
            </w:pPr>
          </w:p>
        </w:tc>
        <w:tc>
          <w:tcPr>
            <w:tcW w:w="48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Certain Relationships and Related Transactions</w:t>
              </w:r>
            </w:hyperlink>
          </w:p>
        </w:tc>
        <w:tc>
          <w:tcPr>
            <w:tcW w:w="658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920" w:type="dxa"/>
            <w:vAlign w:val="bottom"/>
            <w:gridSpan w:val="3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Accounting Fees and Services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2"/>
          </w:tcPr>
          <w:p>
            <w:pPr>
              <w:jc w:val="center"/>
              <w:ind w:right="5020"/>
              <w:spacing w:after="0"/>
              <w:rPr>
                <w:rFonts w:ascii="Arial" w:cs="Arial" w:eastAsia="Arial" w:hAnsi="Arial"/>
                <w:sz w:val="18"/>
                <w:szCs w:val="18"/>
                <w:b w:val="1"/>
                <w:bCs w:val="1"/>
                <w:color w:val="0000EE"/>
                <w:w w:val="95"/>
              </w:rPr>
            </w:pPr>
            <w:hyperlink w:anchor="page84">
              <w:r>
                <w:rPr>
                  <w:rFonts w:ascii="Arial" w:cs="Arial" w:eastAsia="Arial" w:hAnsi="Arial"/>
                  <w:sz w:val="18"/>
                  <w:szCs w:val="18"/>
                  <w:b w:val="1"/>
                  <w:bCs w:val="1"/>
                  <w:color w:val="0000EE"/>
                  <w:w w:val="95"/>
                </w:rPr>
                <w:t>PART IV</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140"/>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Exhibits, Financial Statement Schedules</w:t>
              </w:r>
            </w:hyperlink>
          </w:p>
        </w:tc>
        <w:tc>
          <w:tcPr>
            <w:tcW w:w="1380" w:type="dxa"/>
            <w:vAlign w:val="bottom"/>
            <w:gridSpan w:val="6"/>
          </w:tcPr>
          <w:p>
            <w:pPr>
              <w:spacing w:after="0"/>
              <w:rPr>
                <w:sz w:val="24"/>
                <w:szCs w:val="24"/>
                <w:color w:val="auto"/>
              </w:rPr>
            </w:pPr>
          </w:p>
        </w:tc>
        <w:tc>
          <w:tcPr>
            <w:tcW w:w="680" w:type="dxa"/>
            <w:vAlign w:val="bottom"/>
            <w:tcBorders>
              <w:top w:val="single" w:sz="8" w:color="0000EE"/>
            </w:tcBorders>
            <w:gridSpan w:val="5"/>
          </w:tcPr>
          <w:p>
            <w:pPr>
              <w:spacing w:after="0"/>
              <w:rPr>
                <w:sz w:val="24"/>
                <w:szCs w:val="24"/>
                <w:color w:val="auto"/>
              </w:rPr>
            </w:pPr>
          </w:p>
        </w:tc>
        <w:tc>
          <w:tcPr>
            <w:tcW w:w="502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1">
              <w:r>
                <w:rPr>
                  <w:rFonts w:ascii="Arial" w:cs="Arial" w:eastAsia="Arial" w:hAnsi="Arial"/>
                  <w:sz w:val="18"/>
                  <w:szCs w:val="18"/>
                  <w:color w:val="0000EE"/>
                  <w:w w:val="85"/>
                </w:rPr>
                <w:t>Signatures</w:t>
              </w:r>
            </w:hyperlink>
          </w:p>
        </w:tc>
        <w:tc>
          <w:tcPr>
            <w:tcW w:w="9160" w:type="dxa"/>
            <w:vAlign w:val="bottom"/>
            <w:gridSpan w:val="2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83"/>
        </w:trPr>
        <w:tc>
          <w:tcPr>
            <w:tcW w:w="1160" w:type="dxa"/>
            <w:vAlign w:val="bottom"/>
          </w:tcPr>
          <w:p>
            <w:pPr>
              <w:spacing w:after="0"/>
              <w:rPr>
                <w:sz w:val="24"/>
                <w:szCs w:val="24"/>
                <w:color w:val="auto"/>
              </w:rPr>
            </w:pPr>
          </w:p>
        </w:tc>
        <w:tc>
          <w:tcPr>
            <w:tcW w:w="4840" w:type="dxa"/>
            <w:vAlign w:val="bottom"/>
            <w:gridSpan w:val="22"/>
          </w:tcPr>
          <w:p>
            <w:pPr>
              <w:jc w:val="center"/>
              <w:ind w:left="419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16 of this report. Readers are encouraged to carefully review these risks and uncertainties.</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throughout the United States, Canada and London, England. We operate 412 Casual Male XL and Casual Male Big &amp; Tall retail stores, 69 Casual Male Big &amp; Tall outlet stores, 13 Casual Male at Sears Canada stores, 24 Rochester Big &amp; Tall stores and a direct to consumer business, which includes a catalog business and two e-commerce sites. Unless the context indicates otherwise, all references to “we,” “our,” “ours,” “us” and “the Company” refer to Casual Male Retail Group, Inc. and our consolidated subsidiaries. We refer to our fiscal years ended January 28, 2006, January 29, 2005 and January 31, 2004 as “fiscal 2005”, “fiscal 2004” and “fiscal 2003”, respectively.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Levi Strauss &amp; Co. branded apparel mall and outlet stores. In fiscal 1995, we began seeing limited growth opportunities with Levi Strauss &amp; Co. and started to embark on several private label diversification strategies.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7"/>
          <w:szCs w:val="17"/>
          <w:color w:val="auto"/>
        </w:rPr>
        <w:t>While implementing these strategies, but with limited opportunity to expand our mature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in May 2002 we acquired the Casual Male business from Casual Male Corp. at a bankruptcy court-ordered auction. At the time of the acquisition, Casual Male was the largest retailer of men’s clothing in the big &amp; tall market in the United States. As a result of the acquisition and in view of the significance of it to the growth and future identity of our Company, on August 8, 2002 we changed our name to “Casual Male Retail Group, Inc.”</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Since May 2002, we have been implementing our strategic turnaround initiatives and our plans to increase profitability to re-position us to become the premier global specialty men’s apparel retailer catering to the big &amp; tall niche market. These efforts included:</w:t>
      </w:r>
    </w:p>
    <w:p>
      <w:pPr>
        <w:spacing w:after="0" w:line="51"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reducing the high expense base of the Casual Male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modernizing our information technology and inventory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restructuring merchandise assortments to better meet the needs of our target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enhancing and growing our catalog and internet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improving our merchandise sourcing; and</w:t>
      </w:r>
    </w:p>
    <w:p>
      <w:pPr>
        <w:spacing w:after="0" w:line="90" w:lineRule="exact"/>
        <w:rPr>
          <w:rFonts w:ascii="Arial" w:cs="Arial" w:eastAsia="Arial" w:hAnsi="Arial"/>
          <w:sz w:val="18"/>
          <w:szCs w:val="18"/>
          <w:color w:val="auto"/>
        </w:rPr>
      </w:pPr>
    </w:p>
    <w:p>
      <w:pPr>
        <w:ind w:left="780" w:right="120" w:hanging="326"/>
        <w:spacing w:after="0" w:line="20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divesting our under-performing and non-core business segments which included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our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which was completed in fiscal 2004.</w:t>
      </w:r>
    </w:p>
    <w:p>
      <w:pPr>
        <w:spacing w:after="0" w:line="1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better serve a broader group of our target customers, in fiscal 2004 we acquired Rochester Big &amp; Tall Clothing (“Rochester”). As part of the acquisition, we acquired 22 retail stores, 21 located in major cities in the United States and one in London, England, in addition to a growing catalog and e-commerce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2005 Developments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With many of our turnaround initiatives complete, much of our focus in fiscal 2005 was either on growing our customer base by attracting new customers and improving our services to our existing customers, or improving profitability. Over the past year, we have initiated many merchandising, marketing and systems projects, all geared toward achieving these goals.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Re-Branding Initiative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third quarter of fiscal 2005, we initiated a re-branding of our full-price Casual Male Big &amp; Tall business to “Casual Male XL” as part of our strategy to remove the stigma associated with “big &amp; tall” so as to appeal to a broader group of our target market, a younger demographic and the smaller and taller market segment of the big &amp; tall market. We plan to accomplish this re-branding by re-engineering the look and feel of our Casual Male brand in all communications, including our store fronts and in-store signage, as well as throughout our catalog and website. We tested this re-branding during the third quarter of fiscal 2005 in six markets, which represented 24 of our stores, and based on the positive performance of these stores during the fourth quarter of fiscal 2005, we expect to continue the re-branding initiative to our remaining Casual Male Big &amp; Tall stores and expect to have all stores converted by June 2006, prior to Father’s Day. We currently do not expect that we will be changing or re-branding our 69 outlet stores during 2006. We expect that total capital costs to re-brand to “Casual Male XL” will be approximately $8.0 million.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Store POS Systems Enhancement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fiscal 2004, we completed the implementation of our new merchandising and distribution applications, which greatly enhanced our merchandise and inventory management capabilities and enabled more effective and efficient distribution to our stores and customers. In fiscal 2005, we continued with the next phase of our information technology infrastructure plan by completing the rollout of a new point-of-sale (“POS”) system with a state-of-the-art customer relationship management application. This software will enable us to effectively manage and utilize our customer database to micro-manage our store merchandise assortments to optimize the sales performance of our stores and transition our direct-to-consumer business onto the same platform as our retail stores to the benefit of our customers for a seamless multi-channel operation.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Systems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2005, we installed a new customer relationship management (“CRM”) system into our Casual Male stores, bringing in house the management and maintenance of our customer database. With this system, we have been able to expand our level of communication to our stores. With available pertinent customer information available at the store level, we are able to serve our customers and provide an enhanced shopping experience for them. With the customer database maintained at the corporate office, our Casual Male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has daily results on its direct marketing efforts and has the ability to respond to business immediately. To maximize our communication during a customer’s visit to one of our stores, we are also testing the innovative use of hand-held wireless devices for our sales associates so that the use of a customer’s profile information may be beneficial throughout the customer’s visit and not just at POS. Our Company, in conjunction with NSB, our software provider, is the first to develop and utilize this new customized personal digital assistant, or PDA.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Guaranteed In-Stock Program</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With our newly integrated replenishment system in place, we were able to improve our in-stock position on core merchandise during fiscal 2005 which in turn improved our margins. We believe that the ability to manage in-stock positions on key core merchandise such as tee-shirts, polo shirts and jeans is necessary to our success. Our commitment and ability to improve our stock position on core product led us to launch in August 2005 our Guaranteed In-Stock program for our Casual Male business. We now guarantee our customers that for our top 7 styles, representing approximately 19% of our total sales and including our popular George Foreman waist relaxer pant, we will have their size in stock or delivered to their home within 5 days or the merchandise is free. During the fourth quarter of fiscal 2005, we experienced an increase of approximately 25% over the prior year among these items. Since we began this program, less than 1% of the merchandise was not available at the store level and even fewer pieces of merchandise were given away for free.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Sears Canada and Sears US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fiscal 2004, we opened 13 Casual Male license shops in Sears Canada department stores. During fiscal 2005, we were able to expand on this business relationship by offering our merchandise on </w:t>
      </w:r>
      <w:r>
        <w:rPr>
          <w:rFonts w:ascii="Arial" w:cs="Arial" w:eastAsia="Arial" w:hAnsi="Arial"/>
          <w:sz w:val="16"/>
          <w:szCs w:val="16"/>
          <w:i w:val="1"/>
          <w:iCs w:val="1"/>
          <w:color w:val="auto"/>
        </w:rPr>
        <w:t>Sears.com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Sears.ca</w:t>
      </w:r>
      <w:r>
        <w:rPr>
          <w:rFonts w:ascii="Arial" w:cs="Arial" w:eastAsia="Arial" w:hAnsi="Arial"/>
          <w:sz w:val="16"/>
          <w:szCs w:val="16"/>
          <w:color w:val="auto"/>
        </w:rPr>
        <w:t>, Sears’ Canadian website. We also began distributing a catalog featuring our large size men’s apparel in Canada during fiscal 2005. As a further extension of our relationship with Sears, commencing April 2006, Sears will be distributing to its US customers a co-branded catalog targeted for men’s big &amp; tall clothing. The co-branded catalog will feature selected Casual Male merchandise. For fiscal 2005, the Sears Canada and Sears US business generated sales of approximately $2.3 million. We continue to view this opportunity as a way to enter and test the international big &amp; tall market with relatively low risk and minimum capital.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Global Sourcing</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During fiscal 2005, we began development of a direct sourcing program for our private label merchandise. During fiscal 2005, approximately 50% of our merchandise was from our private label product lines, which includes the George Foreman lines,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and </w:t>
      </w:r>
      <w:r>
        <w:rPr>
          <w:rFonts w:ascii="Arial" w:cs="Arial" w:eastAsia="Arial" w:hAnsi="Arial"/>
          <w:sz w:val="16"/>
          <w:szCs w:val="16"/>
          <w:i w:val="1"/>
          <w:iCs w:val="1"/>
          <w:color w:val="auto"/>
        </w:rPr>
        <w:t>Harbor Bay</w:t>
      </w:r>
      <w:r>
        <w:rPr>
          <w:rFonts w:ascii="Arial" w:cs="Arial" w:eastAsia="Arial" w:hAnsi="Arial"/>
          <w:sz w:val="16"/>
          <w:szCs w:val="16"/>
          <w:color w:val="auto"/>
        </w:rPr>
        <w:t>. With the strong sales results of our private label merchandise, we anticipate increasing this percentage over the next few fiscal years and believe that our merchandise margins could benefit by between 200 to 300 basis points through a well planned direct sourcing program. Over the next two to three years, we anticipate that up to 50% of our total receipts will be directly sourced internationally. We expect that all channels within both Casual Male and Rochester will benefit from this initiative.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Rochester Integration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When we acquired the Rochester business in the fourth quarter of fiscal 2004, Rochester’s management information systems were outdated and inefficient. During the fourth quarter of fiscal 2005, we successfully completed the conversion of Rochester to our existing Casual Male system platform for all facets of the business, including, but not limited to, merchandise planning and allocation, distributions, logistics and finance. With the exception of merchandising and store operations which is still located in San Francisco, all operations of Rochester are now located at our headquarters in Canton, MA. As a result of this integration, we anticipate an annual cost savings of approximately $4.0 million.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2004 Developments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summary, in fiscal 2004 we also made several significant accomplishments toward our business initiatives, such as:</w:t>
      </w:r>
    </w:p>
    <w:p>
      <w:pPr>
        <w:spacing w:after="0" w:line="90" w:lineRule="exact"/>
        <w:rPr>
          <w:sz w:val="20"/>
          <w:szCs w:val="20"/>
          <w:color w:val="auto"/>
        </w:rPr>
      </w:pPr>
    </w:p>
    <w:p>
      <w:pPr>
        <w:ind w:left="780" w:right="40" w:hanging="326"/>
        <w:spacing w:after="0" w:line="298"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Rochester Big &amp; Tall Clothing. </w:t>
      </w:r>
      <w:r>
        <w:rPr>
          <w:rFonts w:ascii="Arial" w:cs="Arial" w:eastAsia="Arial" w:hAnsi="Arial"/>
          <w:sz w:val="16"/>
          <w:szCs w:val="16"/>
          <w:color w:val="auto"/>
        </w:rPr>
        <w:t>In October 2004, we acquired Rochester Big &amp; Tall Clothing. While our Casual Male business focuses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moderate segment of the big &amp; tall apparel business, Rochester is the only upscale retailer focusing on customers shopping at the high-end price point of the market. This acquisition provided us with an opportunity to increase our market share in the men’s big &amp; tall apparel business and with only 22 retail stores at the time, we believed that there were many opportunities for store, catalog and internet growth.</w:t>
      </w:r>
    </w:p>
    <w:p>
      <w:pPr>
        <w:spacing w:after="0" w:line="31" w:lineRule="exact"/>
        <w:rPr>
          <w:rFonts w:ascii="Arial" w:cs="Arial" w:eastAsia="Arial" w:hAnsi="Arial"/>
          <w:sz w:val="16"/>
          <w:szCs w:val="16"/>
          <w:color w:val="auto"/>
        </w:rPr>
      </w:pPr>
    </w:p>
    <w:p>
      <w:pPr>
        <w:ind w:left="780" w:right="40" w:hanging="326"/>
        <w:spacing w:after="0" w:line="22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Divesture of its Other Branded Apparel Businesses. </w:t>
      </w:r>
      <w:r>
        <w:rPr>
          <w:rFonts w:ascii="Arial" w:cs="Arial" w:eastAsia="Arial" w:hAnsi="Arial"/>
          <w:sz w:val="18"/>
          <w:szCs w:val="18"/>
          <w:color w:val="auto"/>
        </w:rPr>
        <w:t>In July 2004, we sold our interest in our Ecko Joint Venture to Ecko.Complex, LLC and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2004, we completed the wind-down of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through the sale of 32 of our remaining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Hub Holding Corp., an affiliate of Sun Capital Partners, Inc. The completion of these two transactions enabled us to focus our attention solely on our strategic plan to be the premier global operator in the Big &amp; Tall market.</w:t>
      </w:r>
    </w:p>
    <w:p>
      <w:pPr>
        <w:spacing w:after="0" w:line="75"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Systems Implementation. </w:t>
      </w:r>
      <w:r>
        <w:rPr>
          <w:rFonts w:ascii="Arial" w:cs="Arial" w:eastAsia="Arial" w:hAnsi="Arial"/>
          <w:sz w:val="16"/>
          <w:szCs w:val="16"/>
          <w:color w:val="auto"/>
        </w:rPr>
        <w:t>In July 2004, after extensive planning and testing, we completed its first phase of our information technology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plan by fully implementing our new merchandising and distribution applications. These new systems greatly enhanced our merchandise and inventory management capabilities, and enabled more effective and efficient distribution to our stores and customers.</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George Foreman Private Label Line. </w:t>
      </w:r>
      <w:r>
        <w:rPr>
          <w:rFonts w:ascii="Arial" w:cs="Arial" w:eastAsia="Arial" w:hAnsi="Arial"/>
          <w:sz w:val="16"/>
          <w:szCs w:val="16"/>
          <w:color w:val="auto"/>
        </w:rPr>
        <w:t>In Spring 2004, we launched a national marketing campaign introducing our George Foreman clothing collection.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Subsequent to year end, on January 30, 2006, we entered into a sale-leaseback transaction with Spirit Finance Corporation, a third party real estate investment trust (“Spirit”). In connection with the transaction, we sold our headquarters and distribution center property to Spirit for $57.0 million. The property consists of a 755,992 gross square foot building located on approximately 27.3 acres in Canton, MA. At the closing on February 1, 2006, we entered into a twenty-year lease agreement with a wholly-owned subsidiary of Spirit whereby we agreed to lease the property back for an annual rent of $4.6 million. See Note N to the Notes to the Consolidated Financial Statements for a complete description of this transaction.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used the net proceeds from the sale of approximately $56.0 million to reduce outstanding bank debt, including our term loan. We believe that this transaction strengthens our financial position, increases our available liquidity and working capital, enables us to pursue other business opportunities and provides us the ability to further reduce our only significant remaining long-term debt obligation, the outstanding convertible notes. As opportunities arise in the future, we may repurchase additional convertible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a multi-channel retailer offering high quality apparel for the big &amp; tall customer. We offer our merchandise to customers through diverse selling and marketing channels, including over 412 retail stores, which operate under the names “Casual Male XL” and “Casual Male Big &amp; Tall”, 69 outlet stores operating under the name “Casual Male Big &amp; Tall Outlet”, 24 retail stores operating under the name “Rochester Big &amp; Tall”, 13 Sears Canada stores and our growing catalogs and e-commerce sites. The Casual Male customer is a consumer of primarily moderately priced branded and private label casual sportswear and dresswear. The Rochester customer is a consumer of fine quality, designer and branded menswear, priced at exceptional value and supported with excellent customer service.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NPD Group, a leading marketing information provider, estimates that the men’s big &amp; tall apparel market, which includes pants with a waist size 42” and greater, as well as tops sized 1X and greater, generates approximately $5.5 billion to $6.0 billion in sales annually. This highly fragmented market represents approximately 13% of the overall men’s apparel business. Growth in this segment has been driven by rapidly changing market demographics. In fiscal 2002, 64% of U.S. adults were overweight or obese, up from 56% six years prior. Additionally, in 2004, 49 states classified 15% or more of their total adult population as obese, versus four states in 1991. Moreover, 29 states classified 20% or more of their total adult population as obese. According to the Center for Disease Control, the rate of obesity for the under-30 age group is growing faster than any other segment of the population. These statistics suggest that there is a significant gap between the market share of the big &amp; tall apparel market and the overall percentage of the population classified as obese.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By offering the widest selection of sizes and styles, we have continued to gain significant market share. Furthermore, we have significant opportunities to grow our market share by better serving the various market segments of our overall target market by executing our merchandising, marketing and systems initiatives and strategies tailored to catering to these market segments.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Multi-Channel Retailer</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strategy is to appeal to all of our customers by providing multiple convenient ways to shop. The Casual Male and Rochester customer is often a destination shopper when it comes to purchasing apparel for himself. For customers that are somewhat uncomfortable in a traditional shopping environment, we offer them the opportunity to shop through our catalogs and e-commerce sites.</w:t>
      </w:r>
    </w:p>
    <w:p>
      <w:pPr>
        <w:spacing w:after="0" w:line="14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i w:val="1"/>
          <w:iCs w:val="1"/>
          <w:color w:val="auto"/>
        </w:rPr>
        <w:t xml:space="preserve">Casual Male XL and Casual Male Big &amp; Tall retail stores. </w:t>
      </w:r>
      <w:r>
        <w:rPr>
          <w:rFonts w:ascii="Arial" w:cs="Arial" w:eastAsia="Arial" w:hAnsi="Arial"/>
          <w:sz w:val="15"/>
          <w:szCs w:val="15"/>
          <w:color w:val="auto"/>
        </w:rPr>
        <w:t>At January 28, 2006, we operated 412 Casual Male XL and Casual Male Big &amp; Tall full-price</w:t>
      </w:r>
      <w:r>
        <w:rPr>
          <w:rFonts w:ascii="Arial" w:cs="Arial" w:eastAsia="Arial" w:hAnsi="Arial"/>
          <w:sz w:val="15"/>
          <w:szCs w:val="15"/>
          <w:i w:val="1"/>
          <w:iCs w:val="1"/>
          <w:color w:val="auto"/>
        </w:rPr>
        <w:t xml:space="preserve"> </w:t>
      </w:r>
      <w:r>
        <w:rPr>
          <w:rFonts w:ascii="Arial" w:cs="Arial" w:eastAsia="Arial" w:hAnsi="Arial"/>
          <w:sz w:val="15"/>
          <w:szCs w:val="15"/>
          <w:color w:val="auto"/>
        </w:rPr>
        <w:t>retail stores, located primarily in strip centers, power centers or stand-alone locations. These stores target the middle-income customer seeking good quality at moderate prices. These stores offer a broad selection of basic sportswear, other casual apparel, dress wear, accessories as well as a full collection of our exclusive George Foreman collections. The average Casual Male store is approximately 3,470 square feet and has approximately $182 in sales per square foot annually.</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Casual Male Big &amp; Tall outlet stores</w:t>
      </w:r>
      <w:r>
        <w:rPr>
          <w:rFonts w:ascii="Arial" w:cs="Arial" w:eastAsia="Arial" w:hAnsi="Arial"/>
          <w:sz w:val="16"/>
          <w:szCs w:val="16"/>
          <w:color w:val="auto"/>
        </w:rPr>
        <w:t>. At January 28, 2006, we operated 69 Casual Male Big &amp; Tall outlet stores designed to offer a wide range of casual</w:t>
      </w:r>
      <w:r>
        <w:rPr>
          <w:rFonts w:ascii="Arial" w:cs="Arial" w:eastAsia="Arial" w:hAnsi="Arial"/>
          <w:sz w:val="16"/>
          <w:szCs w:val="16"/>
          <w:i w:val="1"/>
          <w:iCs w:val="1"/>
          <w:color w:val="auto"/>
        </w:rPr>
        <w:t xml:space="preserve"> </w:t>
      </w:r>
      <w:r>
        <w:rPr>
          <w:rFonts w:ascii="Arial" w:cs="Arial" w:eastAsia="Arial" w:hAnsi="Arial"/>
          <w:sz w:val="16"/>
          <w:szCs w:val="16"/>
          <w:color w:val="auto"/>
        </w:rPr>
        <w:t>clothing for the big &amp; tall customer at prices that are generally 20-25% lower than those offered at our retail stores. Most of the merchandise in the outlet stores is offered with the purchasing interests of the value-oriented customer in mind. Approximately 20% of the merchandise in the outlet stores originates from the retail stores and serves as a distribution channel for clearance and other slow moving inventory. The average Casual Male outlet store is approximately 3,106 square feet and has approximately $170 in sales per square foot annually.</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Rochester Big &amp; Tall retail stores</w:t>
      </w:r>
      <w:r>
        <w:rPr>
          <w:rFonts w:ascii="Arial" w:cs="Arial" w:eastAsia="Arial" w:hAnsi="Arial"/>
          <w:sz w:val="16"/>
          <w:szCs w:val="16"/>
          <w:color w:val="auto"/>
        </w:rPr>
        <w:t>. At January 28, 2006, we operated 24 Rochester Big &amp; Tall retail stores, located in major cities through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one store in London England. Rochester operates under three different store formats; 21 Rochester Big &amp; Tall stores, 2 Rochester Sport stores and one California Big &amp; Tall Outlet store. The Rochester Big &amp; Tall stores provide the customer with high end merchandise from well recognized brands. The average Rochester store is approximately 7,667 square feet and has approximately $330 in sales per square foot annually.</w:t>
      </w:r>
    </w:p>
    <w:p>
      <w:pPr>
        <w:spacing w:after="0" w:line="11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Casual Male at Sears Canada stores. </w:t>
      </w:r>
      <w:r>
        <w:rPr>
          <w:rFonts w:ascii="Arial" w:cs="Arial" w:eastAsia="Arial" w:hAnsi="Arial"/>
          <w:sz w:val="16"/>
          <w:szCs w:val="16"/>
          <w:color w:val="auto"/>
        </w:rPr>
        <w:t>At January 28, 2006, we operated 13 Casual Male stores located within Sears Canada stores. The average Sears</w:t>
      </w:r>
      <w:r>
        <w:rPr>
          <w:rFonts w:ascii="Arial" w:cs="Arial" w:eastAsia="Arial" w:hAnsi="Arial"/>
          <w:sz w:val="16"/>
          <w:szCs w:val="16"/>
          <w:i w:val="1"/>
          <w:iCs w:val="1"/>
          <w:color w:val="auto"/>
        </w:rPr>
        <w:t xml:space="preserve"> </w:t>
      </w:r>
      <w:r>
        <w:rPr>
          <w:rFonts w:ascii="Arial" w:cs="Arial" w:eastAsia="Arial" w:hAnsi="Arial"/>
          <w:sz w:val="16"/>
          <w:szCs w:val="16"/>
          <w:color w:val="auto"/>
        </w:rPr>
        <w:t>Canada Casual Male store is approximately 1,160 square feet and has approximately $115 in sales per square foot annually.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fiscal 2006, we intend to open 7 new Casual Male stores and expect to close 7 existing Casual Male stores as their respective leases expire. We also plan to open 4 new Rochester Big &amp; Tall retail stores.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fiscal 2004, we implemented a remodeling program to update between 300 to 350 of our aging Casual Male Big &amp; Tall retail stores over a twenty four month period. The remodeling program includes replacing carpeting, repainting the store and otherwise repairing parts of the store, where needed. In addition, certain stores received updated fixtures and signage to maintain consistent presentation standards. During fiscal 2005, we completed the remodel of 40 of our Casual Male Big &amp; Tall retail stores, for a total of 198 stores remodeled since fiscal 2004. To date, the average cost to remodel these stores approximated $40,000 per store. We anticipate that we will remodel an additional 15 to 20 stores in fiscal 2006.</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Catalogs</w:t>
      </w:r>
      <w:r>
        <w:rPr>
          <w:rFonts w:ascii="Arial" w:cs="Arial" w:eastAsia="Arial" w:hAnsi="Arial"/>
          <w:sz w:val="16"/>
          <w:szCs w:val="16"/>
          <w:color w:val="auto"/>
        </w:rPr>
        <w:t>. Our Casual Male Big &amp; Tall catalog offers an assortment of merchandise similar to what is available in the stores, but also offers a broader</w:t>
      </w:r>
      <w:r>
        <w:rPr>
          <w:rFonts w:ascii="Arial" w:cs="Arial" w:eastAsia="Arial" w:hAnsi="Arial"/>
          <w:sz w:val="16"/>
          <w:szCs w:val="16"/>
          <w:i w:val="1"/>
          <w:iCs w:val="1"/>
          <w:color w:val="auto"/>
        </w:rPr>
        <w:t xml:space="preserve"> </w:t>
      </w:r>
      <w:r>
        <w:rPr>
          <w:rFonts w:ascii="Arial" w:cs="Arial" w:eastAsia="Arial" w:hAnsi="Arial"/>
          <w:sz w:val="16"/>
          <w:szCs w:val="16"/>
          <w:color w:val="auto"/>
        </w:rPr>
        <w:t>selection of brands, styles and sizes. We expect that we will change the catalog title to Casual Male XL starting in April 2006 as part our re-branding initiative. During fiscal 2005, we issued 19 editions of our Casual Male Big &amp; Tall catalog and circulated a total of 7.9 million catalogs. In fiscal 2006, we again intend to issue 19 editions with a circulation of 10.3 million catalogs, with the intention of pursuing prospecting activity as well as drive multi-channel sales.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fiscal 2005, we introduced the Premier catalog focusing on extended lines of national designer brands carried in the Casual Male Big &amp; Tall catalog. The Premier catalog offers increased assortments in Cutter &amp; Buck, Axis, Polo Ralph Lauren, Calvin Klein and other national brands. We issued 5 editions of the Premier catalog with a circulation of 0.5 million catalogs in fiscal 2005 and expect to issue a similar number in fiscal 2006.</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part of the Rochester acquisition, we also acquired the “Rochester Big &amp; Tall” catalog business. Because there are currently only 24 Rochester Big &amp; Tall retail locations, which may not be accessible for many of our Rochester customers, Rochester’s catalog business is a significant portion of our Rochester business. The catalog offers an assortment of clothing that is similar to what can found in our retail stores, with a broader selection in most cases. During fiscal 2005, we issued 18 editions of the Rochester Big &amp; Tall catalog with a circulation of 4.0 million. In 2006, we plan to issue 16 editions of the Rochester Big &amp; Tall catalog with a circulation of 4.4 million.</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an extension of our 13 licensed shops opened in fiscal 2004 in Sears Canada department stores, we placed 12 pages in the Sears Canada 2006 Spring book which has a circulation of 4.2 million. We will also participate in two additional Sears Canada catalogs in fiscal 2006 with 12 page inserts and expected circulations of 4.2 million. The 12 page inserts offer an assortment of proprietary Casual Male merchandise.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Spring 2005, we began participating in the Sears.com website which provided us with another opportunity to grow our e-commerce business. The Sears.com website offers a targeted selection of Casual Male merchandise exclusive of designer brands.</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Spring 2006, we will launch a co-branded catalog with Sears US. We plan to participate in the issuance of 14 editions with a circulation of 1.9 million catalogs. The co-branded catalog will offer an assortment of clothing similar to our Casual Male catalog with approximately 15% of the assortment purchased specifically for the Sears customer.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In-bound calls and order fulfillment for our catalogs are currently handled at its distribution center. See “Distribution”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We currently have two e-commerce websites:</w:t>
      </w:r>
      <w:r>
        <w:rPr>
          <w:rFonts w:ascii="Arial" w:cs="Arial" w:eastAsia="Arial" w:hAnsi="Arial"/>
          <w:sz w:val="18"/>
          <w:szCs w:val="18"/>
          <w:i w:val="1"/>
          <w:iCs w:val="1"/>
          <w:color w:val="auto"/>
        </w:rPr>
        <w:t xml:space="preserve"> www.casualmale.com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www.rochesterclothing.com</w:t>
      </w:r>
      <w:r>
        <w:rPr>
          <w:rFonts w:ascii="Arial" w:cs="Arial" w:eastAsia="Arial" w:hAnsi="Arial"/>
          <w:sz w:val="18"/>
          <w:szCs w:val="18"/>
          <w:color w:val="auto"/>
        </w:rPr>
        <w:t>.</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Casual Male site offers substantially the same merchandise as is offered in our Casual Male and Premier catalogs. The Rochester website offers substantially the same merchandise as offered in our Rochester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stores and catalog. We currently process and fulfill orders from both our websites through our distribution center. We see the internet as a significant growth opportunity. During fiscal 2005, the Casual Male website had a sales increase of 42%, which followed a 57% increase from the prior year. In 2005, the Rochester website had a sales increase of 24%. An NPD Group study completed in 2005 found that the big &amp; tall customer often crosses channels to find the clothing they need and want. The study found that approximately 33% of big &amp; tall customers shop online for their clothing, as compared to 21% of regular sized men. Likewise, the big &amp; tall customer’s rate of catalog shopping is nearly double that for men who do not require special sizes.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On March 1, 2005, we acquired the domain name </w:t>
      </w:r>
      <w:r>
        <w:rPr>
          <w:rFonts w:ascii="Arial" w:cs="Arial" w:eastAsia="Arial" w:hAnsi="Arial"/>
          <w:sz w:val="18"/>
          <w:szCs w:val="18"/>
          <w:i w:val="1"/>
          <w:iCs w:val="1"/>
          <w:color w:val="auto"/>
        </w:rPr>
        <w:t>www.bigandtall.com</w:t>
      </w:r>
      <w:r>
        <w:rPr>
          <w:rFonts w:ascii="Arial" w:cs="Arial" w:eastAsia="Arial" w:hAnsi="Arial"/>
          <w:sz w:val="18"/>
          <w:szCs w:val="18"/>
          <w:color w:val="auto"/>
        </w:rPr>
        <w:t>. This site will be integrated with both the Casual Male and Rochester websites and is expected to generate additional traffic. We anticipate that our e-commerce websites will continue to grow and we continue to explore other business opportunities and relationships.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Casual Male Business. </w:t>
      </w:r>
      <w:r>
        <w:rPr>
          <w:rFonts w:ascii="Arial" w:cs="Arial" w:eastAsia="Arial" w:hAnsi="Arial"/>
          <w:sz w:val="16"/>
          <w:szCs w:val="16"/>
          <w:color w:val="auto"/>
        </w:rPr>
        <w:t>The Casual Male stores offer an extensive selection of quality sportswear, dress clothing and footwear for the big &amp; tall male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at moderate prices. Over 50% of the Casual Male merchandise is basic or fashion-neutral items, such as jeans, casual slacks, tee-shirts, polo shirts, dress shirts and suit separates. The Casual Male customer is primarily interested in comfort and fit, more so than price. As such, Casual Male’s clothing has features specifically designed for our customer, such as waist-relaxer pants, stretch belts, zipper ties, wide band socks, neck-relaxer shirts and clothing with comfort-stretch technology and reinforced stress points. Independent tests have shown that our merchandise is among the highest in quality of all major brands.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Comfort Zone by George Foreman</w:t>
      </w:r>
      <w:r>
        <w:rPr>
          <w:rFonts w:ascii="Arial" w:cs="Arial" w:eastAsia="Arial" w:hAnsi="Arial"/>
          <w:sz w:val="18"/>
          <w:szCs w:val="18"/>
          <w:color w:val="auto"/>
        </w:rPr>
        <w:t xml:space="preserve">™ continues to perform strongly, representing approximately 23% of our total revenues for fiscal 2005. Comfort, fit and technology are the driving force behind the creation of the George Foreman apparel line. Offering exclusive features that provide comfort and performance combined with uncompromising style, now big &amp; tall men can find casualwear and dresswear that fits their lifestyle. </w:t>
      </w:r>
      <w:r>
        <w:rPr>
          <w:rFonts w:ascii="Arial" w:cs="Arial" w:eastAsia="Arial" w:hAnsi="Arial"/>
          <w:sz w:val="18"/>
          <w:szCs w:val="18"/>
          <w:i w:val="1"/>
          <w:iCs w:val="1"/>
          <w:color w:val="auto"/>
        </w:rPr>
        <w:t>Comfort Zone by George Foreman</w:t>
      </w:r>
      <w:r>
        <w:rPr>
          <w:rFonts w:ascii="Arial" w:cs="Arial" w:eastAsia="Arial" w:hAnsi="Arial"/>
          <w:sz w:val="18"/>
          <w:szCs w:val="18"/>
          <w:color w:val="auto"/>
        </w:rPr>
        <w:t>™ apparel features Casual Male comfort technologies with our patented Neck-Relaxer shirt, Waist-Relaxer pants, Jacket-Relaxer suit separates and Dry-Action wicking polo. We intend to continue exploring other assortment additions to the George Foreman apparel line depending on performance and adaptation of existing assortments to include comfort zone features.</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During fiscal 2005, we introduced a new private label line, </w:t>
      </w:r>
      <w:r>
        <w:rPr>
          <w:rFonts w:ascii="Arial" w:cs="Arial" w:eastAsia="Arial" w:hAnsi="Arial"/>
          <w:sz w:val="16"/>
          <w:szCs w:val="16"/>
          <w:i w:val="1"/>
          <w:iCs w:val="1"/>
          <w:color w:val="auto"/>
        </w:rPr>
        <w:t>626 Blue</w:t>
      </w:r>
      <w:r>
        <w:rPr>
          <w:rFonts w:ascii="Arial" w:cs="Arial" w:eastAsia="Arial" w:hAnsi="Arial"/>
          <w:sz w:val="16"/>
          <w:szCs w:val="16"/>
          <w:color w:val="auto"/>
        </w:rPr>
        <w:t>-</w:t>
      </w:r>
      <w:r>
        <w:rPr>
          <w:rFonts w:ascii="Arial" w:cs="Arial" w:eastAsia="Arial" w:hAnsi="Arial"/>
          <w:sz w:val="16"/>
          <w:szCs w:val="16"/>
          <w:i w:val="1"/>
          <w:iCs w:val="1"/>
          <w:color w:val="auto"/>
        </w:rPr>
        <w:t>Vintage Surplus (“626 Blue”)</w:t>
      </w:r>
      <w:r>
        <w:rPr>
          <w:rFonts w:ascii="Arial" w:cs="Arial" w:eastAsia="Arial" w:hAnsi="Arial"/>
          <w:sz w:val="16"/>
          <w:szCs w:val="16"/>
          <w:color w:val="auto"/>
        </w:rPr>
        <w:t xml:space="preserve">, which is targeted toward a younger customer. With the average age of our customer currently being 39 years of age, one of our long-term objectives is to draw a younger customer into our stores. The introduction of </w:t>
      </w:r>
      <w:r>
        <w:rPr>
          <w:rFonts w:ascii="Arial" w:cs="Arial" w:eastAsia="Arial" w:hAnsi="Arial"/>
          <w:sz w:val="16"/>
          <w:szCs w:val="16"/>
          <w:i w:val="1"/>
          <w:iCs w:val="1"/>
          <w:color w:val="auto"/>
        </w:rPr>
        <w:t xml:space="preserve">626 Blue </w:t>
      </w:r>
      <w:r>
        <w:rPr>
          <w:rFonts w:ascii="Arial" w:cs="Arial" w:eastAsia="Arial" w:hAnsi="Arial"/>
          <w:sz w:val="16"/>
          <w:szCs w:val="16"/>
          <w:color w:val="auto"/>
        </w:rPr>
        <w:t>introduces a younger lifestyle look that caters to a broader market, one influenced by Abercrombie &amp; Fitch and American Eagle. Our</w:t>
      </w:r>
      <w:r>
        <w:rPr>
          <w:rFonts w:ascii="Arial" w:cs="Arial" w:eastAsia="Arial" w:hAnsi="Arial"/>
          <w:sz w:val="16"/>
          <w:szCs w:val="16"/>
          <w:i w:val="1"/>
          <w:iCs w:val="1"/>
          <w:color w:val="auto"/>
        </w:rPr>
        <w:t xml:space="preserve"> 626 Blue </w:t>
      </w:r>
      <w:r>
        <w:rPr>
          <w:rFonts w:ascii="Arial" w:cs="Arial" w:eastAsia="Arial" w:hAnsi="Arial"/>
          <w:sz w:val="16"/>
          <w:szCs w:val="16"/>
          <w:color w:val="auto"/>
        </w:rPr>
        <w:t xml:space="preserve">merchandise is comprised of premium washed denim, casual wovens and tee-shirts. This private label line had great success during since its release this year and we plan to increase our inventory position for Spring 2006. Traditionally, we have not had a back-to-school business; however, with the addition of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we are looking to attract the younger big &amp; tall customer during this popular selling season.</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the fall of 2006, we expect to introduce </w:t>
      </w:r>
      <w:r>
        <w:rPr>
          <w:rFonts w:ascii="Arial" w:cs="Arial" w:eastAsia="Arial" w:hAnsi="Arial"/>
          <w:sz w:val="16"/>
          <w:szCs w:val="16"/>
          <w:i w:val="1"/>
          <w:iCs w:val="1"/>
          <w:color w:val="auto"/>
        </w:rPr>
        <w:t>SYNRGY</w:t>
      </w:r>
      <w:r>
        <w:rPr>
          <w:rFonts w:ascii="Arial" w:cs="Arial" w:eastAsia="Arial" w:hAnsi="Arial"/>
          <w:sz w:val="16"/>
          <w:szCs w:val="16"/>
          <w:color w:val="auto"/>
        </w:rPr>
        <w:t xml:space="preserve">, a private label product targeting the customer looking for a contemporary look. The merchandise will be similar in inspiration to Perry Ellis Portfolio or Calvin Klein’s sportwear line. We also plan to test in selected northern store locations our new </w:t>
      </w:r>
      <w:r>
        <w:rPr>
          <w:rFonts w:ascii="Arial" w:cs="Arial" w:eastAsia="Arial" w:hAnsi="Arial"/>
          <w:sz w:val="16"/>
          <w:szCs w:val="16"/>
          <w:i w:val="1"/>
          <w:iCs w:val="1"/>
          <w:color w:val="auto"/>
        </w:rPr>
        <w:t>Rugged Outdoor</w:t>
      </w:r>
      <w:r>
        <w:rPr>
          <w:rFonts w:ascii="Arial" w:cs="Arial" w:eastAsia="Arial" w:hAnsi="Arial"/>
          <w:sz w:val="16"/>
          <w:szCs w:val="16"/>
          <w:color w:val="auto"/>
        </w:rPr>
        <w:t xml:space="preserve"> line in Fall 2006. </w:t>
      </w:r>
      <w:r>
        <w:rPr>
          <w:rFonts w:ascii="Arial" w:cs="Arial" w:eastAsia="Arial" w:hAnsi="Arial"/>
          <w:sz w:val="16"/>
          <w:szCs w:val="16"/>
          <w:i w:val="1"/>
          <w:iCs w:val="1"/>
          <w:color w:val="auto"/>
        </w:rPr>
        <w:t>Rugged Outdoor</w:t>
      </w:r>
      <w:r>
        <w:rPr>
          <w:rFonts w:ascii="Arial" w:cs="Arial" w:eastAsia="Arial" w:hAnsi="Arial"/>
          <w:sz w:val="16"/>
          <w:szCs w:val="16"/>
          <w:color w:val="auto"/>
        </w:rPr>
        <w:t xml:space="preserve"> will be an extension of our already successful </w:t>
      </w:r>
      <w:r>
        <w:rPr>
          <w:rFonts w:ascii="Arial" w:cs="Arial" w:eastAsia="Arial" w:hAnsi="Arial"/>
          <w:sz w:val="16"/>
          <w:szCs w:val="16"/>
          <w:i w:val="1"/>
          <w:iCs w:val="1"/>
          <w:color w:val="auto"/>
        </w:rPr>
        <w:t>Harbor Bay</w:t>
      </w:r>
      <w:r>
        <w:rPr>
          <w:rFonts w:ascii="Arial" w:cs="Arial" w:eastAsia="Arial" w:hAnsi="Arial"/>
          <w:sz w:val="16"/>
          <w:szCs w:val="16"/>
          <w:color w:val="auto"/>
        </w:rPr>
        <w:t xml:space="preserve"> outerwear merchandise. In addition to outerwear, this new line will also feature henleys, quilted flannels, screen tee-shirts, woven shirts and fleece and will be similar in inspiration to Timberland and Columbia Sportswear.</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carry several well-known brands of merchandise representing approximately 35% of our merchandise mix. We carry a wide range of well-known brand name merchandise including, Polo Ralph Lauren,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Nautica, Izod, Polo Jeans Co., Nautica Jeans Co., Perry Ellis Portfolio</w:t>
      </w:r>
      <w:r>
        <w:rPr>
          <w:rFonts w:ascii="Arial" w:cs="Arial" w:eastAsia="Arial" w:hAnsi="Arial"/>
          <w:sz w:val="22"/>
          <w:szCs w:val="22"/>
          <w:color w:val="auto"/>
          <w:vertAlign w:val="superscript"/>
        </w:rPr>
        <w:t>®</w:t>
      </w:r>
      <w:r>
        <w:rPr>
          <w:rFonts w:ascii="Arial" w:cs="Arial" w:eastAsia="Arial" w:hAnsi="Arial"/>
          <w:sz w:val="18"/>
          <w:szCs w:val="18"/>
          <w:color w:val="auto"/>
        </w:rPr>
        <w:t>, Geoffrey Beene</w:t>
      </w:r>
      <w:r>
        <w:rPr>
          <w:rFonts w:ascii="Arial" w:cs="Arial" w:eastAsia="Arial" w:hAnsi="Arial"/>
          <w:sz w:val="22"/>
          <w:szCs w:val="22"/>
          <w:color w:val="auto"/>
          <w:vertAlign w:val="superscript"/>
        </w:rPr>
        <w:t>®</w:t>
      </w:r>
      <w:r>
        <w:rPr>
          <w:rFonts w:ascii="Arial" w:cs="Arial" w:eastAsia="Arial" w:hAnsi="Arial"/>
          <w:sz w:val="18"/>
          <w:szCs w:val="18"/>
          <w:color w:val="auto"/>
        </w:rPr>
        <w:t>, Sean John</w:t>
      </w:r>
      <w:r>
        <w:rPr>
          <w:rFonts w:ascii="Arial" w:cs="Arial" w:eastAsia="Arial" w:hAnsi="Arial"/>
          <w:sz w:val="22"/>
          <w:szCs w:val="22"/>
          <w:color w:val="auto"/>
          <w:vertAlign w:val="superscript"/>
        </w:rPr>
        <w:t>®</w:t>
      </w:r>
      <w:r>
        <w:rPr>
          <w:rFonts w:ascii="Arial" w:cs="Arial" w:eastAsia="Arial" w:hAnsi="Arial"/>
          <w:sz w:val="18"/>
          <w:szCs w:val="18"/>
          <w:color w:val="auto"/>
        </w:rPr>
        <w:t>, Sketchers</w:t>
      </w:r>
      <w:r>
        <w:rPr>
          <w:rFonts w:ascii="Arial" w:cs="Arial" w:eastAsia="Arial" w:hAnsi="Arial"/>
          <w:sz w:val="22"/>
          <w:szCs w:val="22"/>
          <w:color w:val="auto"/>
          <w:vertAlign w:val="superscript"/>
        </w:rPr>
        <w:t>®</w:t>
      </w:r>
      <w:r>
        <w:rPr>
          <w:rFonts w:ascii="Arial" w:cs="Arial" w:eastAsia="Arial" w:hAnsi="Arial"/>
          <w:sz w:val="18"/>
          <w:szCs w:val="18"/>
          <w:color w:val="auto"/>
        </w:rPr>
        <w:t>,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Calvin Klein, Reebok</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others.</w:t>
      </w:r>
    </w:p>
    <w:p>
      <w:pPr>
        <w:spacing w:after="0" w:line="15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stores are merchandised to showcase entire outfits by lifestyle, including traditional, functional active, young men’s, dresswear and contemporary. This format allows us to merchandise key items and seasonal goods in prominent displays, makes coordinating outfits easier for the customer and encourages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 By taking advantage of volume purchasing discounts, we are able to promote these key items across the entire chain without sacrificing gross margins.</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introduction of these aforementioned private label brands together with the traditional well-known brands will enable us to better cater to the various market segments of our overall target market. Our research has shown that we need to appeal to a variety of customers within the big &amp; tall market in our efforts to become the selection of choice among big &amp; tall men.</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Rochester Business. </w:t>
      </w:r>
      <w:r>
        <w:rPr>
          <w:rFonts w:ascii="Arial" w:cs="Arial" w:eastAsia="Arial" w:hAnsi="Arial"/>
          <w:sz w:val="16"/>
          <w:szCs w:val="16"/>
          <w:color w:val="auto"/>
        </w:rPr>
        <w:t>Our Rochester Big &amp; Tall stores carry a broad selection of quality apparel, at higher price points, from well-know branded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such as Polo Ralph Lauren, Burberry, Ermenegildo Zegna, Robert Talbott, Tommy Bahama, Axis, Cutter &amp; Buck and Versace Classic. The Rochester customer is able to find a wide range of apparel from casual activewear to dressy suits. These stores cater to the customer, offering a personal shopper-type experience, with experienced staff that have a strong knowledge of the merchandise and services such as on-site tailoring.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Rochester business does not currently benefit from a strong private brand program of its own. With the support of our direct sourcing program, we will introduce two private brands specifically for our Rochester customers. </w:t>
      </w:r>
      <w:r>
        <w:rPr>
          <w:rFonts w:ascii="Arial" w:cs="Arial" w:eastAsia="Arial" w:hAnsi="Arial"/>
          <w:sz w:val="18"/>
          <w:szCs w:val="18"/>
          <w:i w:val="1"/>
          <w:iCs w:val="1"/>
          <w:color w:val="auto"/>
        </w:rPr>
        <w:t>Rochester 1906™</w:t>
      </w:r>
      <w:r>
        <w:rPr>
          <w:rFonts w:ascii="Arial" w:cs="Arial" w:eastAsia="Arial" w:hAnsi="Arial"/>
          <w:sz w:val="18"/>
          <w:szCs w:val="18"/>
          <w:color w:val="auto"/>
        </w:rPr>
        <w:t xml:space="preserve"> will be targeted as a classic traditional line offering in Fall 2006 sportswear and loungewear and in Spring 2006 dress shirts. </w:t>
      </w:r>
      <w:r>
        <w:rPr>
          <w:rFonts w:ascii="Arial" w:cs="Arial" w:eastAsia="Arial" w:hAnsi="Arial"/>
          <w:sz w:val="18"/>
          <w:szCs w:val="18"/>
          <w:i w:val="1"/>
          <w:iCs w:val="1"/>
          <w:color w:val="auto"/>
        </w:rPr>
        <w:t>Castagne™</w:t>
      </w:r>
      <w:r>
        <w:rPr>
          <w:rFonts w:ascii="Arial" w:cs="Arial" w:eastAsia="Arial" w:hAnsi="Arial"/>
          <w:sz w:val="18"/>
          <w:szCs w:val="18"/>
          <w:color w:val="auto"/>
        </w:rPr>
        <w:t xml:space="preserve"> is positioned as a more contemporary sportswear line. Both proprietary private brands will feature the highest quality fabrications, details and construction. By the end of fiscal 2007, we believe that up to 20% of Rochester’s merchandise assortments will be from our private label merchandise.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Advertising</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marketing department creates and implements a wide variety of national, regional and local advertising, direct marketing and sales promotion programs. These direct mail and e-mail programs are designed to increase sales and customer awareness of the Casual Male and Rochester brand names. A strong component to the marketing budget is direct mail campaigns to Casual Male and Rochester customer databases. Approximately 70% of all sales were captured in our customer database in fiscal 2005. This allows continuous communication with our customers both for promotional events as well as relationship programs such as the birthday club and new customer programs. We maintain the largest customer database of purchasers of big &amp; tall clothing. In addition, local store marketing activities occur on a regular basis and include store opening events and in-store promotion programs.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fiscal 2005, we continued our “Reactivation” direct mail programs which we started in fiscal 2004. These programs are geared toward customers who have not recently shopped one of our Casual Male stores and might not be familiar with the broad selection of well-known brands that the stores offer. The results were positive, generating over 200,000 former customers to visit Casual Male and purchase merchandise. In fiscal 2006, we plan to continue running these reactivation programs to drive traffic into the stores.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fiscal 2004, Casual Male conducted consumer research to measure big &amp; tall customer perceptions of its then current name – Casual Male Big &amp; Tall. It was learned that the brand name had many negative meanings,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especially among younger, smaller waist and taller target customers. New names and logos were tested. As a result, the brand was repositioned as Casual Male XL. In addition to new signs and store façade graphics, numerous visual displays were added to the interior, including life size mannequins displaying the </w:t>
      </w:r>
      <w:r>
        <w:rPr>
          <w:rFonts w:ascii="Arial" w:cs="Arial" w:eastAsia="Arial" w:hAnsi="Arial"/>
          <w:sz w:val="16"/>
          <w:szCs w:val="16"/>
          <w:i w:val="1"/>
          <w:iCs w:val="1"/>
          <w:color w:val="auto"/>
        </w:rPr>
        <w:t>George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Foreman </w:t>
      </w:r>
      <w:r>
        <w:rPr>
          <w:rFonts w:ascii="Arial" w:cs="Arial" w:eastAsia="Arial" w:hAnsi="Arial"/>
          <w:sz w:val="16"/>
          <w:szCs w:val="16"/>
          <w:color w:val="auto"/>
        </w:rPr>
        <w:t>and,</w:t>
      </w:r>
      <w:r>
        <w:rPr>
          <w:rFonts w:ascii="Arial" w:cs="Arial" w:eastAsia="Arial" w:hAnsi="Arial"/>
          <w:sz w:val="16"/>
          <w:szCs w:val="16"/>
          <w:i w:val="1"/>
          <w:iCs w:val="1"/>
          <w:color w:val="auto"/>
        </w:rPr>
        <w:t xml:space="preserve"> Harbor Bay </w:t>
      </w:r>
      <w:r>
        <w:rPr>
          <w:rFonts w:ascii="Arial" w:cs="Arial" w:eastAsia="Arial" w:hAnsi="Arial"/>
          <w:sz w:val="16"/>
          <w:szCs w:val="16"/>
          <w:color w:val="auto"/>
        </w:rPr>
        <w:t>private label brands, brightly painted orange cash wraps areas, special lighting and wall vignettes. Because these changes are so</w:t>
      </w:r>
      <w:r>
        <w:rPr>
          <w:rFonts w:ascii="Arial" w:cs="Arial" w:eastAsia="Arial" w:hAnsi="Arial"/>
          <w:sz w:val="16"/>
          <w:szCs w:val="16"/>
          <w:i w:val="1"/>
          <w:iCs w:val="1"/>
          <w:color w:val="auto"/>
        </w:rPr>
        <w:t xml:space="preserve"> </w:t>
      </w:r>
      <w:r>
        <w:rPr>
          <w:rFonts w:ascii="Arial" w:cs="Arial" w:eastAsia="Arial" w:hAnsi="Arial"/>
          <w:sz w:val="16"/>
          <w:szCs w:val="16"/>
          <w:color w:val="auto"/>
        </w:rPr>
        <w:t>dramatic, we selected six representative markets, with a total of 25 stores, to test the new concept to be sure that the benefits of these changes would be maximized. The developmental test began in September 2005. All advertising, catalogs and web site were changed to support this test of this new brand in these markets. Based on consistent positive results, all stores, catalogs and website will be changed to Casual Male XL by Father’s Day 2006.</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late 2004 with completion in Fall 2005, we installed a new customer relationship management (“CRM”) system, allowing us to expand our level of communication, and making available pertinent customer information at the store level, with the goal of servicing the customer better. With the customer database maintained at the corporate office, our Casual Male business has daily results on its direct marking efforts and has the ability to respond to business immediately. These responses are progressively more efficient due to measured controlled sales tests applied to every mailing. The same CRM system and unified database will be installed throughout our Rochester business in Spring 2006. Our Company, in conjunction with NSB, our software partner, is the first to develop and utilize a new customized personal digital assistant, or PDA, allowing this customer profile information to be portable on the sales floor to assist through the entire sales process. This PDA solution is being tested in select stores during Spring 2006 with a potential chain rollout in Fall 2006.</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testing two different loyalty programs for our customers, the goal of which is to have a million customers involved in the program by the end of December 2006. We believe that these efforts can lead to new customers as well as a more loyal customer base. Our sales associates now have an array of information available about their customers. Through the CRM real-time database, our sales associates are able to access valuable information on each customer’s buying patterns, preferences and sizes.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fiscal 2006, we are planning to significantly reduce the number of pricing promotions due to its ineffectiveness relative to cost and, instead, we intend to include in our “contact plans” to our customers, through direct mail (although 20% less frequently), more overall branded communications sharing with our customers the advantages of shopping with us and educating our customers about the Comfort Zone features of our product and the lifestyle merchandise offerings during important seasonal transition periods of the year.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on controlled sales tests of outside customer lists in fiscal 2005, during prime selling periods in fiscal 2006, we will be mailing to prospective retail and catalog customers not already on our customer database. During fall 2005, internet developments attracted new customers and fueled a 33% growth of unique visitors to casualmale.com. Search engine optimization included several internal site improvements. Search engine marketing efforts were more systematic keyword bidding, ad placements and a new affiliate partner relationship. Through various new marketing initiatives, we will be targeting new customers in all three channels – retail, catalog and internet.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Advertising and marketing costs for all channels of our businesses represented approximately 6.8% of our total revenue for fiscal 2005. This includes creating and distributing 16.6 million catalogs, over 25 million retail direct mail pieces and all in-store signage for our 481 Casual Male stores and 24 Rochester stores, as well as supporting e-commerce efforts. Although we are slowly reducing (20% reduction expected in fiscal 2006) our direct mail campaigns to the most relevant selling periods during the year, we expect our advertising and marketing costs to approximate 7.0% during fiscal 2006 as we have increased our catalog prospecting for new customers, planned for the chain-wide loyalty program, as well as further mass media testing during the Father’s Day selling period. We intend that our marketing efforts will become more effective at connecting with our customers without the unnecessary gross margin expense of costly promotional pricing programs.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faces competition from a variety of sources, including department stores, other specialty stores, discount and off-price retailers, as well as other retailers that sell big &amp; tall merchandise. While we have successfully competed on the basis of merchandise selection, favorable pricing, customer service and desirable store locations, there can be no assurances that other retailers will not adopt purchasing and marketing concepts similar to ours. In addition, discount retailers with significant buying power, such as Wal-Mart, J.C. Penny and Target, represent a source of competition for us.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us.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 the next largest specialty retailer being Dahle’s, which operates 17 stores, primarily in markets where we do not operate stores.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 owned subsidiary of Pinault-Printemps-Redoute, SA of France ) and J.C. Penny’s Big &amp; Tall Collection catalog.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distribution operations are centralized in our headquarters and distribution center located in Canton, Massachusetts.</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Since 2003, we have partnered with United Parcel Services (“UPS”) which has improved our distribution methods and also has reduced our shipping costs as a result of not having to use third party trucking companies. By utilizing UPS, we are able to track all deliveries from the warehouse to our individual stores, including the status of in-transit shipments.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fiscal 2004, we implemented Manhattan Associates’ PKMS warehousing application for our distribution center systems, which has significantly streamlined our distribution processes, enhanced our in-transit times, and significantly reduced our distribution costs. In addition, we have slightly altered our distribution strategy as it relates to seasonal merchandise to allow for replenishment of styles at the color and size level which has optimized sales opportunities and minimized our end of season clearance markdowns. This seasonal merchandise distribution strategy requires significantly higher volume of individual piece processing, a more costly distribution method in contrast to carton handling. However, in conjunction with the installation of a more efficient PKMS warehousing application, we have also updated our processes in order to optimize the new system capabilities in areas such as receiving, cross-dock handling, put-away, and picking which will include the use of scanning equipment. Accordingly, in spite of the shift in distribution strategy to include the more costly piece replenishment, our distribution costs have and are expected to decrease as a result of the new systems and the adoption of updated process flows.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By the end of fiscal 2005, we were able to integrate our Rochester business to these enhanced warehousing systems and new merchandising infrastructure, which will benefit this business in fiscal 2006. Prior to our acquisition, the Rochester stores received a significant portion of their merchandise as drop-shipments from various vendors and were only receiving deliveries approximately once a month, resulting in frequent out-of-stock positions and poor inventory management.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Since our acquisition of the Casual Male business in May 2002, one of our primary goals has been to upgrade and enhance legacy systems with best practice applications to enable substantial operating efficiencies. At the time of the acquisition, our Casual Male business operated primarily on an IBM mainframe platform. The mainframe-based system included an internally supported enterprise retail system and a human resource/payroll application. Our then-existing e-commerce/catalog fulfillment infrastructure operated on a Hewlett-Packard environment on software from Ecometry, and the remainder of its business operated on an IBM AS/400 platform. At the time of the acquisition, our financial systems were supported by a client server environment.</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Presently, our management information systems consist of a full range of retail merchandising and financial systems which include merchandise planning and reporting, distribution center processing, inventory allocation, sales reporting, and financial processing and reporting. Our system integration project has been completed. Our Casual Male business operates primarily on an IBM AS/400 platform, with the e-commerce/catalog business on the HP environment. We utilize Lawson Financial Systems for all of our financial operations. Our management team now has several tools with which to manage the business on a consolidated level in a more efficient and effective manner. During fiscal 2003, we implemented the JDA E3 Advanced Replenishment system for the Casual Male business. This system was integrated with the existing Casual Male business mainframe platform in an effort to improve sales opportunities and better manage inventories of basic merchandise. One of the other important achievements of these system upgrades is that we have built into our infrastructure the ability and capacity to process significantly more transactions more efficiently than with the previous processing.</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fiscal 2004, we completed the systems integration work to upgrade our merchandising systems to the JDA Portfolio Solutions, specifically the MMS Merchandise Management System, E3 Advanced Replenishment, Retail Ideas Data Warehouse, and Arthur Merchandise Planning and Advanced Allocation systems. In addition, we also converted our distribution system to Manhattan Associates’ PKMS distribution system. To implement these initiatives, we spent roughly $14.0 million since the acquisition, primarily on system enhancement, implementation and maintenance. With the systems fully implemented, we expect to be able to improve sales, better manage inventory levels and streamline operations by:</w:t>
      </w:r>
    </w:p>
    <w:p>
      <w:pPr>
        <w:spacing w:after="0" w:line="35"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Sharing information with vendors through EDI (electronic data interchange);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merchandise in-transit times;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Creating more advanced methods to replenish inventory;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information databases and data availability;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methods of inventory management and planning;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Enhancing distribution productivity and capacity;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Planning store merchandise assortments;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MIS related corporate overhead.</w:t>
      </w:r>
    </w:p>
    <w:p>
      <w:pPr>
        <w:spacing w:after="0" w:line="171" w:lineRule="exact"/>
        <w:rPr>
          <w:sz w:val="20"/>
          <w:szCs w:val="20"/>
          <w:color w:val="auto"/>
        </w:rPr>
      </w:pPr>
    </w:p>
    <w:p>
      <w:pPr>
        <w:ind w:right="220" w:firstLine="456"/>
        <w:spacing w:after="0" w:line="280" w:lineRule="auto"/>
        <w:rPr>
          <w:sz w:val="20"/>
          <w:szCs w:val="20"/>
          <w:color w:val="auto"/>
        </w:rPr>
      </w:pPr>
      <w:r>
        <w:rPr>
          <w:rFonts w:ascii="Arial" w:cs="Arial" w:eastAsia="Arial" w:hAnsi="Arial"/>
          <w:sz w:val="16"/>
          <w:szCs w:val="16"/>
          <w:color w:val="auto"/>
        </w:rPr>
        <w:t>During fiscal 2005, we completed the next phase of our plan, which included upgrading to a state-of-the-art POS and register system in all of its Casual Male store locations. Currently, all of our stores have POS terminals supplied by IBM. The Casual Male business is supported by a POS business application provided by NSB Group. The POS applications capture daily transaction information by item, color and size. We utilize barcode technology in tracking sales, inventory and pricing information. Communication between our corporate headquarters and all of our stores is facilitated on a daily basis through the use of an electronic mail system. This new system includes a multitude of features including Customer Relationship Management (“CRM”) tools that will enable us to track customer buying habits and provide us with the ability to target customers with specific offers and promotions. In March 2004, we signed a license agreement with NSB Group for its Connected Retailer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 and Customer Relationship Management Solutions. The rollout of this project to our stores was completed during the summer of 2005 at a cost of approximately $6.5 million.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its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When acquired, our Rochester business was being supported by AS/400 applications that were over 20 years old. During the fourth quarter of fiscal 2005, we completed the conversion of our 24 Rochester stores to the existing Casual Male system environment.</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fiscal 2006, and subsequently, the focus of MIS will be towards further upgrading our web sites to support more advanced features and functionality, upgrading our replenishment systems to incorporate JDA’s latest enhancements to the application, supporting marketing in implementing new programs and investigating and moving towards an innovative store assortment planning application to optimize our markets throughout the country.</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utilize a Microsoft 2000 Server / Windows 2000 Desktop environment running on a local area network to communicate and work-share within our headquarters. We also utilize the services of Ceridian, an outside payroll-processing provider, to prepare, distribute and report our weekly payroll.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LP Innovations, Inc.</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LP Innovations, Inc. (“LPI”), an 85% owned subsidiary of our Company, which we acquired in May 2002 as part of our Casual Male acquisition, is a national provider of loss prevention solutions to companies in the retail industry. LPI’s loss prevention services include in-store audits, employee investigations, employee training and awareness, and mystery shop programs. Through LPI’s subsidiary, Securex LLC (“Securex”), LPI also sells and installs security equipment and alarm and security central monitoring, allowing LPI to provide a comprehensive loss prevention solution to its clients.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LPI’s clients have historically included small, mid-sized and large retail chains in the specialty, grocery, apparel, office supplies, footwear and numerous other segments of the retail industry. LPI currently has approximately 45 loss prevention retail clients representing over 4,600 retail locations being serviced with a fully outsourced loss prevention solution. In excess of 85% of these retail clients are under contract for LPI’s full outsource loss prevention services. The remaining balance of the retail clients have contracted for individual services, such as in-store audits or in-store employee investigation. For fiscal year 2005, LPI generated total revenues of approximately $10.3 million and a net loss of approximately $591,000. Loss prevention services generated revenues of approximately $6.3 million, or 61.3% of LPI’s total revenues, with the remaining $4.0 million generated by Securex. Included in LPI’s total revenues of $10.3 million are revenues of $1.5 million generated by services provided to us by LPI, or 14.6% of total revenues. Such intercompany transactions between LPI and the Company are eliminated for purposes of consolidation.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Consistent with the retail industry, our business is seasonal, traditionally generating the largest volume of sales during the Father’s Day selling season in June and the Christmas selling season in December. The Casual Male outlet business traditionally generate the largest volume of its sales during the back-to-school selling season in August and the Christmas selling season in December. The majority of our operating income is generated in the fourth quarter as a result of the impact of the Christmas selling season.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ind w:right="60" w:firstLine="456"/>
        <w:spacing w:after="0" w:line="227" w:lineRule="auto"/>
        <w:rPr>
          <w:sz w:val="20"/>
          <w:szCs w:val="20"/>
          <w:color w:val="auto"/>
        </w:rPr>
      </w:pPr>
      <w:r>
        <w:rPr>
          <w:rFonts w:ascii="Arial" w:cs="Arial" w:eastAsia="Arial" w:hAnsi="Arial"/>
          <w:sz w:val="18"/>
          <w:szCs w:val="18"/>
          <w:color w:val="auto"/>
        </w:rPr>
        <w:t>We own several servicemarks and trademarks relating to our Casual Male business, including Casual Male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“Casual Male Big &amp; Tall</w:t>
      </w:r>
      <w:r>
        <w:rPr>
          <w:rFonts w:ascii="Arial" w:cs="Arial" w:eastAsia="Arial" w:hAnsi="Arial"/>
          <w:sz w:val="22"/>
          <w:szCs w:val="22"/>
          <w:color w:val="auto"/>
          <w:vertAlign w:val="superscript"/>
        </w:rPr>
        <w:t>®</w:t>
      </w:r>
      <w:r>
        <w:rPr>
          <w:rFonts w:ascii="Arial" w:cs="Arial" w:eastAsia="Arial" w:hAnsi="Arial"/>
          <w:sz w:val="18"/>
          <w:szCs w:val="18"/>
          <w:color w:val="auto"/>
        </w:rPr>
        <w:t>”, “Casual Male XL™”, “Rochester Big &amp; Tall™”, “Rochester Sport™”, “Harbor Bay</w:t>
      </w:r>
      <w:r>
        <w:rPr>
          <w:rFonts w:ascii="Arial" w:cs="Arial" w:eastAsia="Arial" w:hAnsi="Arial"/>
          <w:sz w:val="22"/>
          <w:szCs w:val="22"/>
          <w:color w:val="auto"/>
          <w:vertAlign w:val="superscript"/>
        </w:rPr>
        <w:t>®</w:t>
      </w:r>
      <w:r>
        <w:rPr>
          <w:rFonts w:ascii="Arial" w:cs="Arial" w:eastAsia="Arial" w:hAnsi="Arial"/>
          <w:sz w:val="18"/>
          <w:szCs w:val="18"/>
          <w:color w:val="auto"/>
        </w:rPr>
        <w:t>”, “GF Sport By George Foreman™”, “Comfort Zone by George Foreman™”, “George Foreman Signature Collection™”, “Signature Collection By George Foreman™”, “Synrgy”, “Rochester 1906” and “Castagne”. We also have a U.S. patent for an extendable collar system, which is marketed as “Neck Relaxer™.”</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January 28, 2006, we employed approximately 2,770 associates, of whom 1,693 were full-time personnel. We hire additional temporary employees during the peak Fall and Holiday seasons. None of our employees are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i w:val="1"/>
          <w:iCs w:val="1"/>
          <w:color w:val="auto"/>
        </w:rPr>
        <w:t>www.cmrginc.com</w:t>
      </w:r>
      <w:r>
        <w:rPr>
          <w:rFonts w:ascii="Arial" w:cs="Arial" w:eastAsia="Arial" w:hAnsi="Arial"/>
          <w:sz w:val="18"/>
          <w:szCs w:val="18"/>
          <w:color w:val="auto"/>
        </w:rPr>
        <w:t xml:space="preserve">.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i w:val="1"/>
          <w:iCs w:val="1"/>
          <w:color w:val="auto"/>
        </w:rPr>
        <w:t>http://www.sec.gov.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this Company. Other factors, which are not identified herein, could also have such an effect.</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growing our market share.</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 large part of our growth has resulted from our acquisition of the Casual Male business from Casual Male Corp. in May 2002 and our acquisition of Rochester Big &amp; Tall Clothing in October 2004 and the increased sales volume and profitability provided by these acquisitions. We believe that our current level of stores is sufficient to sustain our business and we are not dependent on adding new stores to increase our sales volume and profitability. However, for us to be successful in the future and maintain growth, we must be able to continue increasing our market share within the big &amp; tall industry. Our growth is dependent on us being successful in attracting new target customers into our stores, catalogs and e-commerce sites. We can not assure you that our strategic plans will be successful in attracting customers and growing our market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highly competitive, and competitive factors may reduce our revenues and profit margins.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successfully predict fashion trends and customer preferences.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sales will decline if we do not successfully advertise and market our products.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significantly depends on our key personnel and our ability to attract and retain additional personnel.</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or disruption in, our centralized distribution center could negatively impact our business and operations.</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All merchandise for our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strategic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stores and disaster recovery plans, but we would still incur business interruption which could impact our business for several weeks.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third parties for the manufacture of the merchandise we sell.</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Furthermore, approximately 60% of our merchandise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branded merchandise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suppliers increase our costs, our margins may be adversely affected.</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a significant portion of our merchandise is directly imported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economic and foreign issues abroad.</w:t>
      </w:r>
    </w:p>
    <w:p>
      <w:pPr>
        <w:spacing w:after="0" w:line="17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Over the past year, we have been working toward developing a global sourcing program to support our growing proprietary branded merchandise. Economic and civil unrest in areas of the world where we source such merchandise, as well as shipping and dockage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any of our key trademarks or licenses could adversely affect demand for our products.</w:t>
      </w:r>
    </w:p>
    <w:p>
      <w:pPr>
        <w:spacing w:after="0" w:line="17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seasonal and is affected by general economic conditions.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greater challenges in managing several brands in multiple channels of distribution.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and the Rochester brand, including advertising and promotion, and the servicing and merchandising of private label merchandise.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Acts of terrorism or a catastrophic event could negatively impact our operating results and financial condition.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third quarter of fiscal 2005, four of our Casual Male stores were closed as a result of Hurricanes Katrina, Rita and Wilma. One of the four reopened in November 2005 and we expect to re-open the remaining stores during fiscal 2006. The hurricanes did not have a material impact on our financial condition or results of operations for fiscal 2005, and are not expected to have a material impact on our financial condition or results of operations for fiscal 2006. Our property coverage and business interruption insurance mitigated the losses we incurred during fiscal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has been and may continue to be extremely volatile due to many factors.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Between January 31, 2003 and March 15, 2006, the closing price of our common stock ranged from a low of $1.95 per share to a high of $10.56 per share.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comparable store sales;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State laws and our certificate of incorporation may inhibit potential acquisition bids that could be beneficial to our stockholders.</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of the Company’s convertible notes could result in dilution to holders of our common stock.</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the holders of the Company’s $94.7 million of convertible notes due 2024 convert such notes, we would be required to issue to such holders approximately 8.9 million additional shares of common stock, which would result in dilution to holders of our common stock. During the fourth quarter of fiscal 2005, we bought back approximately $5.3 million of these 2024 convertible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Substantial leverage and debt service obligations may adversely affect our cash flow.</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January 28, 2006, we had approximately $104.5 million of long-term indebtedness. We may be unable to generate cash sufficient to pay the principal of, interest on and other amounts due in respect of our indebtedness when due. We may also obtain additional long-term debt, working capital lines of credit and lease lines and borrow additional amounts under our existing credit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leverage could have significant negative consequences, including:</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the dedication of a portion of our expected cash flow from operations to service our indebtedness, thereby reducing the amount of our expected cash flow available for other purposes, including capital expenditures;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compete;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relative to less leveraged competitors and competitors that have better access to capital resources.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corporate offices and distribution center are located at 555 Turnpike Street in Canton, Massachusetts. The facility is located on 27.3 acres of land and at January 28, 2006 was owned by Designs Canton Property Corp., a wholly owned subsidiary of Designs Canton Holdings, Inc., which is an indirect wholly owned consolidated subsidiary of the Company. We acquired the property as part of our Casual Male acquisition in May 2002 and until January 20, 2006 the property was subject to a mortgage, which was secured by the real estate and the buildings. On January 20, 2006, we paid $10.0 million to prepay the mortgage. This prepayment included a prepayment penalty of $1.2 million which we recorded in our Consolidated Results of Operations for the fourth quarter of fiscal 2005. The building contains 755,992 square feet, which includes approximately 150,000 square feet of office space.</w:t>
      </w:r>
    </w:p>
    <w:p>
      <w:pPr>
        <w:spacing w:after="0" w:line="12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 xml:space="preserve">As discussed under Item 1. </w:t>
      </w:r>
      <w:r>
        <w:rPr>
          <w:rFonts w:ascii="Arial" w:cs="Arial" w:eastAsia="Arial" w:hAnsi="Arial"/>
          <w:sz w:val="16"/>
          <w:szCs w:val="16"/>
          <w:i w:val="1"/>
          <w:iCs w:val="1"/>
          <w:color w:val="auto"/>
        </w:rPr>
        <w:t>Business</w:t>
      </w:r>
      <w:r>
        <w:rPr>
          <w:rFonts w:ascii="Arial" w:cs="Arial" w:eastAsia="Arial" w:hAnsi="Arial"/>
          <w:sz w:val="16"/>
          <w:szCs w:val="16"/>
          <w:color w:val="auto"/>
        </w:rPr>
        <w:t>, subsequent to the end of fiscal 2005, on January 30, 2006, we entered into a sale-leaseback transaction whereby we sold this property to Spirit, a third party, for $57.0 million and on February 1, 2006, as part of the closing, we entered into a twenty-year lease agreement with a wholly-owned subsidiary of Spirit whereby we agreed to lease the property back for an annual rent of $4.6 million.</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January 28, 2006, we operated 412 Casual Male XL and Casual Male Big &amp; Tall retail stores, 69 Casual Male Big &amp; Tall outlet stores, and 24 Rochester Big &amp; Tall retail stores. All of these stores are leased by us directly from shopping center owners. The store leases are generally five years in length and contain renewal options extending their terms to between 5 and 10 years. Following this discussion is a listing by state of all store locations open at January 28, 2006.</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Operations—Liquidity and Capital Resources—Capital Expenditures.”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color w:val="auto"/>
        </w:rPr>
        <w:t>Store locations by State at January 28, 2006</w:t>
      </w:r>
    </w:p>
    <w:p>
      <w:pPr>
        <w:spacing w:after="0" w:line="177" w:lineRule="exact"/>
        <w:rPr>
          <w:sz w:val="20"/>
          <w:szCs w:val="20"/>
          <w:color w:val="auto"/>
        </w:rPr>
      </w:pPr>
    </w:p>
    <w:p>
      <w:pPr>
        <w:jc w:val="right"/>
        <w:ind w:right="2859"/>
        <w:spacing w:after="0"/>
        <w:rPr>
          <w:sz w:val="20"/>
          <w:szCs w:val="20"/>
          <w:color w:val="auto"/>
        </w:rPr>
      </w:pPr>
      <w:r>
        <w:rPr>
          <w:rFonts w:ascii="Arial" w:cs="Arial" w:eastAsia="Arial" w:hAnsi="Arial"/>
          <w:sz w:val="15"/>
          <w:szCs w:val="15"/>
          <w:b w:val="1"/>
          <w:bCs w:val="1"/>
          <w:i w:val="1"/>
          <w:iCs w:val="1"/>
          <w:color w:val="auto"/>
        </w:rPr>
        <w:t>Casual Male XL and Casual Male Big &amp; Tall Retail and Outlet stores (Outlets denoted by an asterisk)</w:t>
      </w:r>
    </w:p>
    <w:p>
      <w:pPr>
        <w:spacing w:after="0" w:line="189"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Alabama</w:t>
      </w:r>
    </w:p>
    <w:p>
      <w:pPr>
        <w:spacing w:after="0" w:line="221" w:lineRule="auto"/>
        <w:rPr>
          <w:sz w:val="20"/>
          <w:szCs w:val="20"/>
          <w:color w:val="auto"/>
        </w:rPr>
      </w:pPr>
      <w:r>
        <w:rPr>
          <w:rFonts w:ascii="Arial" w:cs="Arial" w:eastAsia="Arial" w:hAnsi="Arial"/>
          <w:sz w:val="14"/>
          <w:szCs w:val="14"/>
          <w:color w:val="auto"/>
        </w:rPr>
        <w:t>Foley*</w:t>
      </w:r>
    </w:p>
    <w:p>
      <w:pPr>
        <w:spacing w:after="0" w:line="221" w:lineRule="auto"/>
        <w:rPr>
          <w:sz w:val="20"/>
          <w:szCs w:val="20"/>
          <w:color w:val="auto"/>
        </w:rPr>
      </w:pPr>
      <w:r>
        <w:rPr>
          <w:rFonts w:ascii="Arial" w:cs="Arial" w:eastAsia="Arial" w:hAnsi="Arial"/>
          <w:sz w:val="14"/>
          <w:szCs w:val="14"/>
          <w:color w:val="auto"/>
        </w:rPr>
        <w:t>Hoover</w:t>
      </w:r>
    </w:p>
    <w:p>
      <w:pPr>
        <w:spacing w:after="0" w:line="222" w:lineRule="auto"/>
        <w:rPr>
          <w:sz w:val="20"/>
          <w:szCs w:val="20"/>
          <w:color w:val="auto"/>
        </w:rPr>
      </w:pPr>
      <w:r>
        <w:rPr>
          <w:rFonts w:ascii="Arial" w:cs="Arial" w:eastAsia="Arial" w:hAnsi="Arial"/>
          <w:sz w:val="14"/>
          <w:szCs w:val="14"/>
          <w:color w:val="auto"/>
        </w:rPr>
        <w:t>Huntsville</w:t>
      </w:r>
    </w:p>
    <w:p>
      <w:pPr>
        <w:spacing w:after="0" w:line="221" w:lineRule="auto"/>
        <w:rPr>
          <w:sz w:val="20"/>
          <w:szCs w:val="20"/>
          <w:color w:val="auto"/>
        </w:rPr>
      </w:pPr>
      <w:r>
        <w:rPr>
          <w:rFonts w:ascii="Arial" w:cs="Arial" w:eastAsia="Arial" w:hAnsi="Arial"/>
          <w:sz w:val="14"/>
          <w:szCs w:val="14"/>
          <w:color w:val="auto"/>
        </w:rPr>
        <w:t>Mobile</w:t>
      </w:r>
    </w:p>
    <w:p>
      <w:pPr>
        <w:spacing w:after="0"/>
        <w:rPr>
          <w:sz w:val="20"/>
          <w:szCs w:val="20"/>
          <w:color w:val="auto"/>
        </w:rPr>
      </w:pPr>
      <w:r>
        <w:rPr>
          <w:rFonts w:ascii="Arial" w:cs="Arial" w:eastAsia="Arial" w:hAnsi="Arial"/>
          <w:sz w:val="14"/>
          <w:szCs w:val="14"/>
          <w:color w:val="auto"/>
        </w:rPr>
        <w:t>Montgomery</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Arizona</w:t>
      </w:r>
    </w:p>
    <w:p>
      <w:pPr>
        <w:spacing w:after="0" w:line="221" w:lineRule="auto"/>
        <w:rPr>
          <w:sz w:val="20"/>
          <w:szCs w:val="20"/>
          <w:color w:val="auto"/>
        </w:rPr>
      </w:pPr>
      <w:r>
        <w:rPr>
          <w:rFonts w:ascii="Arial" w:cs="Arial" w:eastAsia="Arial" w:hAnsi="Arial"/>
          <w:sz w:val="14"/>
          <w:szCs w:val="14"/>
          <w:color w:val="auto"/>
        </w:rPr>
        <w:t>Chandler</w:t>
      </w:r>
    </w:p>
    <w:p>
      <w:pPr>
        <w:spacing w:after="0" w:line="221" w:lineRule="auto"/>
        <w:rPr>
          <w:sz w:val="20"/>
          <w:szCs w:val="20"/>
          <w:color w:val="auto"/>
        </w:rPr>
      </w:pPr>
      <w:r>
        <w:rPr>
          <w:rFonts w:ascii="Arial" w:cs="Arial" w:eastAsia="Arial" w:hAnsi="Arial"/>
          <w:sz w:val="14"/>
          <w:szCs w:val="14"/>
          <w:color w:val="auto"/>
        </w:rPr>
        <w:t>Mesa</w:t>
      </w:r>
    </w:p>
    <w:p>
      <w:pPr>
        <w:spacing w:after="0" w:line="222" w:lineRule="auto"/>
        <w:rPr>
          <w:sz w:val="20"/>
          <w:szCs w:val="20"/>
          <w:color w:val="auto"/>
        </w:rPr>
      </w:pPr>
      <w:r>
        <w:rPr>
          <w:rFonts w:ascii="Arial" w:cs="Arial" w:eastAsia="Arial" w:hAnsi="Arial"/>
          <w:sz w:val="14"/>
          <w:szCs w:val="14"/>
          <w:color w:val="auto"/>
        </w:rPr>
        <w:t>Phoenix (3)</w:t>
      </w:r>
    </w:p>
    <w:p>
      <w:pPr>
        <w:spacing w:after="0" w:line="221" w:lineRule="auto"/>
        <w:rPr>
          <w:sz w:val="20"/>
          <w:szCs w:val="20"/>
          <w:color w:val="auto"/>
        </w:rPr>
      </w:pPr>
      <w:r>
        <w:rPr>
          <w:rFonts w:ascii="Arial" w:cs="Arial" w:eastAsia="Arial" w:hAnsi="Arial"/>
          <w:sz w:val="14"/>
          <w:szCs w:val="14"/>
          <w:color w:val="auto"/>
        </w:rPr>
        <w:t>Tempe*</w:t>
      </w:r>
    </w:p>
    <w:p>
      <w:pPr>
        <w:spacing w:after="0"/>
        <w:rPr>
          <w:sz w:val="20"/>
          <w:szCs w:val="20"/>
          <w:color w:val="auto"/>
        </w:rPr>
      </w:pPr>
      <w:r>
        <w:rPr>
          <w:rFonts w:ascii="Arial" w:cs="Arial" w:eastAsia="Arial" w:hAnsi="Arial"/>
          <w:sz w:val="14"/>
          <w:szCs w:val="14"/>
          <w:color w:val="auto"/>
        </w:rPr>
        <w:t>Tucson (2)</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Arkansas</w:t>
      </w:r>
    </w:p>
    <w:p>
      <w:pPr>
        <w:spacing w:after="0" w:line="221" w:lineRule="auto"/>
        <w:rPr>
          <w:sz w:val="20"/>
          <w:szCs w:val="20"/>
          <w:color w:val="auto"/>
        </w:rPr>
      </w:pPr>
      <w:r>
        <w:rPr>
          <w:rFonts w:ascii="Arial" w:cs="Arial" w:eastAsia="Arial" w:hAnsi="Arial"/>
          <w:sz w:val="14"/>
          <w:szCs w:val="14"/>
          <w:color w:val="auto"/>
        </w:rPr>
        <w:t>Ft. Smith</w:t>
      </w:r>
    </w:p>
    <w:p>
      <w:pPr>
        <w:spacing w:after="0" w:line="221" w:lineRule="auto"/>
        <w:rPr>
          <w:sz w:val="20"/>
          <w:szCs w:val="20"/>
          <w:color w:val="auto"/>
        </w:rPr>
      </w:pPr>
      <w:r>
        <w:rPr>
          <w:rFonts w:ascii="Arial" w:cs="Arial" w:eastAsia="Arial" w:hAnsi="Arial"/>
          <w:sz w:val="14"/>
          <w:szCs w:val="14"/>
          <w:color w:val="auto"/>
        </w:rPr>
        <w:t>Jonesboro</w:t>
      </w:r>
    </w:p>
    <w:p>
      <w:pPr>
        <w:spacing w:after="0"/>
        <w:rPr>
          <w:sz w:val="20"/>
          <w:szCs w:val="20"/>
          <w:color w:val="auto"/>
        </w:rPr>
      </w:pPr>
      <w:r>
        <w:rPr>
          <w:rFonts w:ascii="Arial" w:cs="Arial" w:eastAsia="Arial" w:hAnsi="Arial"/>
          <w:sz w:val="14"/>
          <w:szCs w:val="14"/>
          <w:color w:val="auto"/>
        </w:rPr>
        <w:t>Little Rock</w:t>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California</w:t>
      </w:r>
    </w:p>
    <w:p>
      <w:pPr>
        <w:spacing w:after="0" w:line="221" w:lineRule="auto"/>
        <w:rPr>
          <w:sz w:val="20"/>
          <w:szCs w:val="20"/>
          <w:color w:val="auto"/>
        </w:rPr>
      </w:pPr>
      <w:r>
        <w:rPr>
          <w:rFonts w:ascii="Arial" w:cs="Arial" w:eastAsia="Arial" w:hAnsi="Arial"/>
          <w:sz w:val="14"/>
          <w:szCs w:val="14"/>
          <w:color w:val="auto"/>
        </w:rPr>
        <w:t>Bakersfield</w:t>
      </w:r>
    </w:p>
    <w:p>
      <w:pPr>
        <w:spacing w:after="0" w:line="221" w:lineRule="auto"/>
        <w:rPr>
          <w:sz w:val="20"/>
          <w:szCs w:val="20"/>
          <w:color w:val="auto"/>
        </w:rPr>
      </w:pPr>
      <w:r>
        <w:rPr>
          <w:rFonts w:ascii="Arial" w:cs="Arial" w:eastAsia="Arial" w:hAnsi="Arial"/>
          <w:sz w:val="14"/>
          <w:szCs w:val="14"/>
          <w:color w:val="auto"/>
        </w:rPr>
        <w:t>Camarillo*</w:t>
      </w:r>
    </w:p>
    <w:p>
      <w:pPr>
        <w:spacing w:after="0" w:line="222" w:lineRule="auto"/>
        <w:rPr>
          <w:sz w:val="20"/>
          <w:szCs w:val="20"/>
          <w:color w:val="auto"/>
        </w:rPr>
      </w:pPr>
      <w:r>
        <w:rPr>
          <w:rFonts w:ascii="Arial" w:cs="Arial" w:eastAsia="Arial" w:hAnsi="Arial"/>
          <w:sz w:val="14"/>
          <w:szCs w:val="14"/>
          <w:color w:val="auto"/>
        </w:rPr>
        <w:t>Commerce</w:t>
      </w:r>
    </w:p>
    <w:p>
      <w:pPr>
        <w:spacing w:after="0" w:line="221" w:lineRule="auto"/>
        <w:rPr>
          <w:sz w:val="20"/>
          <w:szCs w:val="20"/>
          <w:color w:val="auto"/>
        </w:rPr>
      </w:pPr>
      <w:r>
        <w:rPr>
          <w:rFonts w:ascii="Arial" w:cs="Arial" w:eastAsia="Arial" w:hAnsi="Arial"/>
          <w:sz w:val="14"/>
          <w:szCs w:val="14"/>
          <w:color w:val="auto"/>
        </w:rPr>
        <w:t>Culver City</w:t>
      </w:r>
    </w:p>
    <w:p>
      <w:pPr>
        <w:spacing w:after="0" w:line="222" w:lineRule="auto"/>
        <w:rPr>
          <w:sz w:val="20"/>
          <w:szCs w:val="20"/>
          <w:color w:val="auto"/>
        </w:rPr>
      </w:pPr>
      <w:r>
        <w:rPr>
          <w:rFonts w:ascii="Arial" w:cs="Arial" w:eastAsia="Arial" w:hAnsi="Arial"/>
          <w:sz w:val="14"/>
          <w:szCs w:val="14"/>
          <w:color w:val="auto"/>
        </w:rPr>
        <w:t>Daly City</w:t>
      </w:r>
    </w:p>
    <w:p>
      <w:pPr>
        <w:spacing w:after="0" w:line="221" w:lineRule="auto"/>
        <w:rPr>
          <w:sz w:val="20"/>
          <w:szCs w:val="20"/>
          <w:color w:val="auto"/>
        </w:rPr>
      </w:pPr>
      <w:r>
        <w:rPr>
          <w:rFonts w:ascii="Arial" w:cs="Arial" w:eastAsia="Arial" w:hAnsi="Arial"/>
          <w:sz w:val="14"/>
          <w:szCs w:val="14"/>
          <w:color w:val="auto"/>
        </w:rPr>
        <w:t>Downey</w:t>
      </w:r>
    </w:p>
    <w:p>
      <w:pPr>
        <w:spacing w:after="0" w:line="222" w:lineRule="auto"/>
        <w:rPr>
          <w:sz w:val="20"/>
          <w:szCs w:val="20"/>
          <w:color w:val="auto"/>
        </w:rPr>
      </w:pPr>
      <w:r>
        <w:rPr>
          <w:rFonts w:ascii="Arial" w:cs="Arial" w:eastAsia="Arial" w:hAnsi="Arial"/>
          <w:sz w:val="14"/>
          <w:szCs w:val="14"/>
          <w:color w:val="auto"/>
        </w:rPr>
        <w:t>Dublin</w:t>
      </w:r>
    </w:p>
    <w:p>
      <w:pPr>
        <w:spacing w:after="0" w:line="221" w:lineRule="auto"/>
        <w:rPr>
          <w:sz w:val="20"/>
          <w:szCs w:val="20"/>
          <w:color w:val="auto"/>
        </w:rPr>
      </w:pPr>
      <w:r>
        <w:rPr>
          <w:rFonts w:ascii="Arial" w:cs="Arial" w:eastAsia="Arial" w:hAnsi="Arial"/>
          <w:sz w:val="14"/>
          <w:szCs w:val="14"/>
          <w:color w:val="auto"/>
        </w:rPr>
        <w:t>El Cajon</w:t>
      </w:r>
    </w:p>
    <w:p>
      <w:pPr>
        <w:spacing w:after="0" w:line="222" w:lineRule="auto"/>
        <w:rPr>
          <w:sz w:val="20"/>
          <w:szCs w:val="20"/>
          <w:color w:val="auto"/>
        </w:rPr>
      </w:pPr>
      <w:r>
        <w:rPr>
          <w:rFonts w:ascii="Arial" w:cs="Arial" w:eastAsia="Arial" w:hAnsi="Arial"/>
          <w:sz w:val="14"/>
          <w:szCs w:val="14"/>
          <w:color w:val="auto"/>
        </w:rPr>
        <w:t>Emeryville</w:t>
      </w:r>
    </w:p>
    <w:p>
      <w:pPr>
        <w:spacing w:after="0" w:line="221" w:lineRule="auto"/>
        <w:rPr>
          <w:sz w:val="20"/>
          <w:szCs w:val="20"/>
          <w:color w:val="auto"/>
        </w:rPr>
      </w:pPr>
      <w:r>
        <w:rPr>
          <w:rFonts w:ascii="Arial" w:cs="Arial" w:eastAsia="Arial" w:hAnsi="Arial"/>
          <w:sz w:val="14"/>
          <w:szCs w:val="14"/>
          <w:color w:val="auto"/>
        </w:rPr>
        <w:t>Escondido</w:t>
      </w:r>
    </w:p>
    <w:p>
      <w:pPr>
        <w:spacing w:after="0" w:line="222" w:lineRule="auto"/>
        <w:rPr>
          <w:sz w:val="20"/>
          <w:szCs w:val="20"/>
          <w:color w:val="auto"/>
        </w:rPr>
      </w:pPr>
      <w:r>
        <w:rPr>
          <w:rFonts w:ascii="Arial" w:cs="Arial" w:eastAsia="Arial" w:hAnsi="Arial"/>
          <w:sz w:val="14"/>
          <w:szCs w:val="14"/>
          <w:color w:val="auto"/>
        </w:rPr>
        <w:t>Folsom*</w:t>
      </w:r>
    </w:p>
    <w:p>
      <w:pPr>
        <w:spacing w:after="0" w:line="221" w:lineRule="auto"/>
        <w:rPr>
          <w:sz w:val="20"/>
          <w:szCs w:val="20"/>
          <w:color w:val="auto"/>
        </w:rPr>
      </w:pPr>
      <w:r>
        <w:rPr>
          <w:rFonts w:ascii="Arial" w:cs="Arial" w:eastAsia="Arial" w:hAnsi="Arial"/>
          <w:sz w:val="14"/>
          <w:szCs w:val="14"/>
          <w:color w:val="auto"/>
        </w:rPr>
        <w:t>Fremont</w:t>
      </w:r>
    </w:p>
    <w:p>
      <w:pPr>
        <w:spacing w:after="0" w:line="221" w:lineRule="auto"/>
        <w:rPr>
          <w:sz w:val="20"/>
          <w:szCs w:val="20"/>
          <w:color w:val="auto"/>
        </w:rPr>
      </w:pPr>
      <w:r>
        <w:rPr>
          <w:rFonts w:ascii="Arial" w:cs="Arial" w:eastAsia="Arial" w:hAnsi="Arial"/>
          <w:sz w:val="14"/>
          <w:szCs w:val="14"/>
          <w:color w:val="auto"/>
        </w:rPr>
        <w:t>Fresno</w:t>
      </w:r>
    </w:p>
    <w:p>
      <w:pPr>
        <w:spacing w:after="0" w:line="222" w:lineRule="auto"/>
        <w:rPr>
          <w:sz w:val="20"/>
          <w:szCs w:val="20"/>
          <w:color w:val="auto"/>
        </w:rPr>
      </w:pPr>
      <w:r>
        <w:rPr>
          <w:rFonts w:ascii="Arial" w:cs="Arial" w:eastAsia="Arial" w:hAnsi="Arial"/>
          <w:sz w:val="14"/>
          <w:szCs w:val="14"/>
          <w:color w:val="auto"/>
        </w:rPr>
        <w:t>Fullerton</w:t>
      </w:r>
    </w:p>
    <w:p>
      <w:pPr>
        <w:spacing w:after="0" w:line="221" w:lineRule="auto"/>
        <w:rPr>
          <w:sz w:val="20"/>
          <w:szCs w:val="20"/>
          <w:color w:val="auto"/>
        </w:rPr>
      </w:pPr>
      <w:r>
        <w:rPr>
          <w:rFonts w:ascii="Arial" w:cs="Arial" w:eastAsia="Arial" w:hAnsi="Arial"/>
          <w:sz w:val="14"/>
          <w:szCs w:val="14"/>
          <w:color w:val="auto"/>
        </w:rPr>
        <w:t>Gilroy*</w:t>
      </w:r>
    </w:p>
    <w:p>
      <w:pPr>
        <w:spacing w:after="0" w:line="222" w:lineRule="auto"/>
        <w:rPr>
          <w:sz w:val="20"/>
          <w:szCs w:val="20"/>
          <w:color w:val="auto"/>
        </w:rPr>
      </w:pPr>
      <w:r>
        <w:rPr>
          <w:rFonts w:ascii="Arial" w:cs="Arial" w:eastAsia="Arial" w:hAnsi="Arial"/>
          <w:sz w:val="14"/>
          <w:szCs w:val="14"/>
          <w:color w:val="auto"/>
        </w:rPr>
        <w:t>Glendale</w:t>
      </w:r>
    </w:p>
    <w:p>
      <w:pPr>
        <w:spacing w:after="0" w:line="221" w:lineRule="auto"/>
        <w:rPr>
          <w:sz w:val="20"/>
          <w:szCs w:val="20"/>
          <w:color w:val="auto"/>
        </w:rPr>
      </w:pPr>
      <w:r>
        <w:rPr>
          <w:rFonts w:ascii="Arial" w:cs="Arial" w:eastAsia="Arial" w:hAnsi="Arial"/>
          <w:sz w:val="14"/>
          <w:szCs w:val="14"/>
          <w:color w:val="auto"/>
        </w:rPr>
        <w:t>Laguna Hills</w:t>
      </w:r>
    </w:p>
    <w:p>
      <w:pPr>
        <w:spacing w:after="0" w:line="222" w:lineRule="auto"/>
        <w:rPr>
          <w:sz w:val="20"/>
          <w:szCs w:val="20"/>
          <w:color w:val="auto"/>
        </w:rPr>
      </w:pPr>
      <w:r>
        <w:rPr>
          <w:rFonts w:ascii="Arial" w:cs="Arial" w:eastAsia="Arial" w:hAnsi="Arial"/>
          <w:sz w:val="14"/>
          <w:szCs w:val="14"/>
          <w:color w:val="auto"/>
        </w:rPr>
        <w:t>Lake Elsinore*</w:t>
      </w:r>
    </w:p>
    <w:p>
      <w:pPr>
        <w:spacing w:after="0" w:line="221" w:lineRule="auto"/>
        <w:rPr>
          <w:sz w:val="20"/>
          <w:szCs w:val="20"/>
          <w:color w:val="auto"/>
        </w:rPr>
      </w:pPr>
      <w:r>
        <w:rPr>
          <w:rFonts w:ascii="Arial" w:cs="Arial" w:eastAsia="Arial" w:hAnsi="Arial"/>
          <w:sz w:val="14"/>
          <w:szCs w:val="14"/>
          <w:color w:val="auto"/>
        </w:rPr>
        <w:t>Lakewood</w:t>
      </w:r>
    </w:p>
    <w:p>
      <w:pPr>
        <w:spacing w:after="0" w:line="222" w:lineRule="auto"/>
        <w:rPr>
          <w:sz w:val="20"/>
          <w:szCs w:val="20"/>
          <w:color w:val="auto"/>
        </w:rPr>
      </w:pPr>
      <w:r>
        <w:rPr>
          <w:rFonts w:ascii="Arial" w:cs="Arial" w:eastAsia="Arial" w:hAnsi="Arial"/>
          <w:sz w:val="14"/>
          <w:szCs w:val="14"/>
          <w:color w:val="auto"/>
        </w:rPr>
        <w:t>Lawndale</w:t>
      </w:r>
    </w:p>
    <w:p>
      <w:pPr>
        <w:spacing w:after="0" w:line="221" w:lineRule="auto"/>
        <w:rPr>
          <w:sz w:val="20"/>
          <w:szCs w:val="20"/>
          <w:color w:val="auto"/>
        </w:rPr>
      </w:pPr>
      <w:r>
        <w:rPr>
          <w:rFonts w:ascii="Arial" w:cs="Arial" w:eastAsia="Arial" w:hAnsi="Arial"/>
          <w:sz w:val="14"/>
          <w:szCs w:val="14"/>
          <w:color w:val="auto"/>
        </w:rPr>
        <w:t>Long Beach</w:t>
      </w:r>
    </w:p>
    <w:p>
      <w:pPr>
        <w:spacing w:after="0" w:line="222" w:lineRule="auto"/>
        <w:rPr>
          <w:sz w:val="20"/>
          <w:szCs w:val="20"/>
          <w:color w:val="auto"/>
        </w:rPr>
      </w:pPr>
      <w:r>
        <w:rPr>
          <w:rFonts w:ascii="Arial" w:cs="Arial" w:eastAsia="Arial" w:hAnsi="Arial"/>
          <w:sz w:val="14"/>
          <w:szCs w:val="14"/>
          <w:color w:val="auto"/>
        </w:rPr>
        <w:t>Los Altos</w:t>
      </w:r>
    </w:p>
    <w:p>
      <w:pPr>
        <w:spacing w:after="0" w:line="221" w:lineRule="auto"/>
        <w:rPr>
          <w:sz w:val="20"/>
          <w:szCs w:val="20"/>
          <w:color w:val="auto"/>
        </w:rPr>
      </w:pPr>
      <w:r>
        <w:rPr>
          <w:rFonts w:ascii="Arial" w:cs="Arial" w:eastAsia="Arial" w:hAnsi="Arial"/>
          <w:sz w:val="14"/>
          <w:szCs w:val="14"/>
          <w:color w:val="auto"/>
        </w:rPr>
        <w:t>Los Angeles</w:t>
      </w:r>
    </w:p>
    <w:p>
      <w:pPr>
        <w:spacing w:after="0" w:line="222" w:lineRule="auto"/>
        <w:rPr>
          <w:sz w:val="20"/>
          <w:szCs w:val="20"/>
          <w:color w:val="auto"/>
        </w:rPr>
      </w:pPr>
      <w:r>
        <w:rPr>
          <w:rFonts w:ascii="Arial" w:cs="Arial" w:eastAsia="Arial" w:hAnsi="Arial"/>
          <w:sz w:val="14"/>
          <w:szCs w:val="14"/>
          <w:color w:val="auto"/>
        </w:rPr>
        <w:t>Modesto</w:t>
      </w:r>
    </w:p>
    <w:p>
      <w:pPr>
        <w:spacing w:after="0" w:line="221" w:lineRule="auto"/>
        <w:rPr>
          <w:sz w:val="20"/>
          <w:szCs w:val="20"/>
          <w:color w:val="auto"/>
        </w:rPr>
      </w:pPr>
      <w:r>
        <w:rPr>
          <w:rFonts w:ascii="Arial" w:cs="Arial" w:eastAsia="Arial" w:hAnsi="Arial"/>
          <w:sz w:val="14"/>
          <w:szCs w:val="14"/>
          <w:color w:val="auto"/>
        </w:rPr>
        <w:t>Northridge</w:t>
      </w:r>
    </w:p>
    <w:p>
      <w:pPr>
        <w:spacing w:after="0" w:line="221" w:lineRule="auto"/>
        <w:rPr>
          <w:sz w:val="20"/>
          <w:szCs w:val="20"/>
          <w:color w:val="auto"/>
        </w:rPr>
      </w:pPr>
      <w:r>
        <w:rPr>
          <w:rFonts w:ascii="Arial" w:cs="Arial" w:eastAsia="Arial" w:hAnsi="Arial"/>
          <w:sz w:val="14"/>
          <w:szCs w:val="14"/>
          <w:color w:val="auto"/>
        </w:rPr>
        <w:t>Ontario*</w:t>
      </w:r>
    </w:p>
    <w:p>
      <w:pPr>
        <w:spacing w:after="0" w:line="222" w:lineRule="auto"/>
        <w:rPr>
          <w:sz w:val="20"/>
          <w:szCs w:val="20"/>
          <w:color w:val="auto"/>
        </w:rPr>
      </w:pPr>
      <w:r>
        <w:rPr>
          <w:rFonts w:ascii="Arial" w:cs="Arial" w:eastAsia="Arial" w:hAnsi="Arial"/>
          <w:sz w:val="14"/>
          <w:szCs w:val="14"/>
          <w:color w:val="auto"/>
        </w:rPr>
        <w:t>Orange</w:t>
      </w:r>
    </w:p>
    <w:p>
      <w:pPr>
        <w:spacing w:after="0" w:line="221" w:lineRule="auto"/>
        <w:rPr>
          <w:sz w:val="20"/>
          <w:szCs w:val="20"/>
          <w:color w:val="auto"/>
        </w:rPr>
      </w:pPr>
      <w:r>
        <w:rPr>
          <w:rFonts w:ascii="Arial" w:cs="Arial" w:eastAsia="Arial" w:hAnsi="Arial"/>
          <w:sz w:val="14"/>
          <w:szCs w:val="14"/>
          <w:color w:val="auto"/>
        </w:rPr>
        <w:t>Oxnard</w:t>
      </w:r>
    </w:p>
    <w:p>
      <w:pPr>
        <w:spacing w:after="0" w:line="222" w:lineRule="auto"/>
        <w:rPr>
          <w:sz w:val="20"/>
          <w:szCs w:val="20"/>
          <w:color w:val="auto"/>
        </w:rPr>
      </w:pPr>
      <w:r>
        <w:rPr>
          <w:rFonts w:ascii="Arial" w:cs="Arial" w:eastAsia="Arial" w:hAnsi="Arial"/>
          <w:sz w:val="14"/>
          <w:szCs w:val="14"/>
          <w:color w:val="auto"/>
        </w:rPr>
        <w:t>Palmdale</w:t>
      </w:r>
    </w:p>
    <w:p>
      <w:pPr>
        <w:spacing w:after="0" w:line="221" w:lineRule="auto"/>
        <w:rPr>
          <w:sz w:val="20"/>
          <w:szCs w:val="20"/>
          <w:color w:val="auto"/>
        </w:rPr>
      </w:pPr>
      <w:r>
        <w:rPr>
          <w:rFonts w:ascii="Arial" w:cs="Arial" w:eastAsia="Arial" w:hAnsi="Arial"/>
          <w:sz w:val="14"/>
          <w:szCs w:val="14"/>
          <w:color w:val="auto"/>
        </w:rPr>
        <w:t>Palm Desert</w:t>
      </w:r>
    </w:p>
    <w:p>
      <w:pPr>
        <w:spacing w:after="0" w:line="222" w:lineRule="auto"/>
        <w:rPr>
          <w:sz w:val="20"/>
          <w:szCs w:val="20"/>
          <w:color w:val="auto"/>
        </w:rPr>
      </w:pPr>
      <w:r>
        <w:rPr>
          <w:rFonts w:ascii="Arial" w:cs="Arial" w:eastAsia="Arial" w:hAnsi="Arial"/>
          <w:sz w:val="14"/>
          <w:szCs w:val="14"/>
          <w:color w:val="auto"/>
        </w:rPr>
        <w:t>Pasadena</w:t>
      </w:r>
    </w:p>
    <w:p>
      <w:pPr>
        <w:spacing w:after="0" w:line="221" w:lineRule="auto"/>
        <w:rPr>
          <w:sz w:val="20"/>
          <w:szCs w:val="20"/>
          <w:color w:val="auto"/>
        </w:rPr>
      </w:pPr>
      <w:r>
        <w:rPr>
          <w:rFonts w:ascii="Arial" w:cs="Arial" w:eastAsia="Arial" w:hAnsi="Arial"/>
          <w:sz w:val="14"/>
          <w:szCs w:val="14"/>
          <w:color w:val="auto"/>
        </w:rPr>
        <w:t>Pleasant Hill</w:t>
      </w:r>
    </w:p>
    <w:p>
      <w:pPr>
        <w:spacing w:after="0" w:line="222" w:lineRule="auto"/>
        <w:rPr>
          <w:sz w:val="20"/>
          <w:szCs w:val="20"/>
          <w:color w:val="auto"/>
        </w:rPr>
      </w:pPr>
      <w:r>
        <w:rPr>
          <w:rFonts w:ascii="Arial" w:cs="Arial" w:eastAsia="Arial" w:hAnsi="Arial"/>
          <w:sz w:val="14"/>
          <w:szCs w:val="14"/>
          <w:color w:val="auto"/>
        </w:rPr>
        <w:t>Riverside</w:t>
      </w:r>
    </w:p>
    <w:p>
      <w:pPr>
        <w:spacing w:after="0" w:line="221" w:lineRule="auto"/>
        <w:rPr>
          <w:sz w:val="20"/>
          <w:szCs w:val="20"/>
          <w:color w:val="auto"/>
        </w:rPr>
      </w:pPr>
      <w:r>
        <w:rPr>
          <w:rFonts w:ascii="Arial" w:cs="Arial" w:eastAsia="Arial" w:hAnsi="Arial"/>
          <w:sz w:val="14"/>
          <w:szCs w:val="14"/>
          <w:color w:val="auto"/>
        </w:rPr>
        <w:t>Roseville</w:t>
      </w:r>
    </w:p>
    <w:p>
      <w:pPr>
        <w:spacing w:after="0" w:line="222" w:lineRule="auto"/>
        <w:rPr>
          <w:sz w:val="20"/>
          <w:szCs w:val="20"/>
          <w:color w:val="auto"/>
        </w:rPr>
      </w:pPr>
      <w:r>
        <w:rPr>
          <w:rFonts w:ascii="Arial" w:cs="Arial" w:eastAsia="Arial" w:hAnsi="Arial"/>
          <w:sz w:val="14"/>
          <w:szCs w:val="14"/>
          <w:color w:val="auto"/>
        </w:rPr>
        <w:t>Sacramento (2)</w:t>
      </w:r>
    </w:p>
    <w:p>
      <w:pPr>
        <w:spacing w:after="0" w:line="221" w:lineRule="auto"/>
        <w:rPr>
          <w:sz w:val="20"/>
          <w:szCs w:val="20"/>
          <w:color w:val="auto"/>
        </w:rPr>
      </w:pPr>
      <w:r>
        <w:rPr>
          <w:rFonts w:ascii="Arial" w:cs="Arial" w:eastAsia="Arial" w:hAnsi="Arial"/>
          <w:sz w:val="14"/>
          <w:szCs w:val="14"/>
          <w:color w:val="auto"/>
        </w:rPr>
        <w:t>Salinas</w:t>
      </w:r>
    </w:p>
    <w:p>
      <w:pPr>
        <w:spacing w:after="0" w:line="222" w:lineRule="auto"/>
        <w:rPr>
          <w:sz w:val="20"/>
          <w:szCs w:val="20"/>
          <w:color w:val="auto"/>
        </w:rPr>
      </w:pPr>
      <w:r>
        <w:rPr>
          <w:rFonts w:ascii="Arial" w:cs="Arial" w:eastAsia="Arial" w:hAnsi="Arial"/>
          <w:sz w:val="14"/>
          <w:szCs w:val="14"/>
          <w:color w:val="auto"/>
        </w:rPr>
        <w:t>San Bernardino</w:t>
      </w:r>
    </w:p>
    <w:p>
      <w:pPr>
        <w:spacing w:after="0"/>
        <w:rPr>
          <w:sz w:val="20"/>
          <w:szCs w:val="20"/>
          <w:color w:val="auto"/>
        </w:rPr>
      </w:pPr>
      <w:r>
        <w:rPr>
          <w:rFonts w:ascii="Arial" w:cs="Arial" w:eastAsia="Arial" w:hAnsi="Arial"/>
          <w:sz w:val="14"/>
          <w:szCs w:val="14"/>
          <w:color w:val="auto"/>
        </w:rPr>
        <w:t>San Diego</w:t>
      </w:r>
    </w:p>
    <w:p>
      <w:pPr>
        <w:spacing w:after="0" w:line="124" w:lineRule="exact"/>
        <w:rPr>
          <w:sz w:val="20"/>
          <w:szCs w:val="20"/>
          <w:color w:val="auto"/>
        </w:rPr>
      </w:pPr>
    </w:p>
    <w:p>
      <w:pPr>
        <w:ind w:left="5260"/>
        <w:spacing w:after="0"/>
        <w:rPr>
          <w:sz w:val="20"/>
          <w:szCs w:val="20"/>
          <w:color w:val="auto"/>
        </w:rPr>
      </w:pPr>
      <w:r>
        <w:rPr>
          <w:rFonts w:ascii="Arial" w:cs="Arial" w:eastAsia="Arial" w:hAnsi="Arial"/>
          <w:sz w:val="14"/>
          <w:szCs w:val="14"/>
          <w:b w:val="1"/>
          <w:bCs w:val="1"/>
          <w:i w:val="1"/>
          <w:iCs w:val="1"/>
          <w:color w:val="auto"/>
        </w:rPr>
        <w:t>California, cont.</w:t>
      </w:r>
    </w:p>
    <w:p>
      <w:pPr>
        <w:spacing w:after="0" w:line="221" w:lineRule="auto"/>
        <w:rPr>
          <w:sz w:val="20"/>
          <w:szCs w:val="20"/>
          <w:color w:val="auto"/>
        </w:rPr>
      </w:pPr>
      <w:r>
        <w:rPr>
          <w:rFonts w:ascii="Arial" w:cs="Arial" w:eastAsia="Arial" w:hAnsi="Arial"/>
          <w:sz w:val="14"/>
          <w:szCs w:val="14"/>
          <w:color w:val="auto"/>
        </w:rPr>
        <w:t>San Francisco</w:t>
      </w:r>
    </w:p>
    <w:p>
      <w:pPr>
        <w:spacing w:after="0" w:line="221" w:lineRule="auto"/>
        <w:rPr>
          <w:sz w:val="20"/>
          <w:szCs w:val="20"/>
          <w:color w:val="auto"/>
        </w:rPr>
      </w:pPr>
      <w:r>
        <w:rPr>
          <w:rFonts w:ascii="Arial" w:cs="Arial" w:eastAsia="Arial" w:hAnsi="Arial"/>
          <w:sz w:val="14"/>
          <w:szCs w:val="14"/>
          <w:color w:val="auto"/>
        </w:rPr>
        <w:t>San Jose (2)</w:t>
      </w:r>
    </w:p>
    <w:p>
      <w:pPr>
        <w:spacing w:after="0" w:line="222" w:lineRule="auto"/>
        <w:rPr>
          <w:sz w:val="20"/>
          <w:szCs w:val="20"/>
          <w:color w:val="auto"/>
        </w:rPr>
      </w:pPr>
      <w:r>
        <w:rPr>
          <w:rFonts w:ascii="Arial" w:cs="Arial" w:eastAsia="Arial" w:hAnsi="Arial"/>
          <w:sz w:val="14"/>
          <w:szCs w:val="14"/>
          <w:color w:val="auto"/>
        </w:rPr>
        <w:t>San Leandro</w:t>
      </w:r>
    </w:p>
    <w:p>
      <w:pPr>
        <w:spacing w:after="0" w:line="221" w:lineRule="auto"/>
        <w:rPr>
          <w:sz w:val="20"/>
          <w:szCs w:val="20"/>
          <w:color w:val="auto"/>
        </w:rPr>
      </w:pPr>
      <w:r>
        <w:rPr>
          <w:rFonts w:ascii="Arial" w:cs="Arial" w:eastAsia="Arial" w:hAnsi="Arial"/>
          <w:sz w:val="14"/>
          <w:szCs w:val="14"/>
          <w:color w:val="auto"/>
        </w:rPr>
        <w:t>Santa Ana</w:t>
      </w:r>
    </w:p>
    <w:p>
      <w:pPr>
        <w:spacing w:after="0" w:line="222" w:lineRule="auto"/>
        <w:rPr>
          <w:sz w:val="20"/>
          <w:szCs w:val="20"/>
          <w:color w:val="auto"/>
        </w:rPr>
      </w:pPr>
      <w:r>
        <w:rPr>
          <w:rFonts w:ascii="Arial" w:cs="Arial" w:eastAsia="Arial" w:hAnsi="Arial"/>
          <w:sz w:val="14"/>
          <w:szCs w:val="14"/>
          <w:color w:val="auto"/>
        </w:rPr>
        <w:t>Santa Clara</w:t>
      </w:r>
    </w:p>
    <w:p>
      <w:pPr>
        <w:spacing w:after="0" w:line="221" w:lineRule="auto"/>
        <w:rPr>
          <w:sz w:val="20"/>
          <w:szCs w:val="20"/>
          <w:color w:val="auto"/>
        </w:rPr>
      </w:pPr>
      <w:r>
        <w:rPr>
          <w:rFonts w:ascii="Arial" w:cs="Arial" w:eastAsia="Arial" w:hAnsi="Arial"/>
          <w:sz w:val="14"/>
          <w:szCs w:val="14"/>
          <w:color w:val="auto"/>
        </w:rPr>
        <w:t>Santa Rosa</w:t>
      </w:r>
    </w:p>
    <w:p>
      <w:pPr>
        <w:spacing w:after="0" w:line="222" w:lineRule="auto"/>
        <w:rPr>
          <w:sz w:val="20"/>
          <w:szCs w:val="20"/>
          <w:color w:val="auto"/>
        </w:rPr>
      </w:pPr>
      <w:r>
        <w:rPr>
          <w:rFonts w:ascii="Arial" w:cs="Arial" w:eastAsia="Arial" w:hAnsi="Arial"/>
          <w:sz w:val="14"/>
          <w:szCs w:val="14"/>
          <w:color w:val="auto"/>
        </w:rPr>
        <w:t>Stockton</w:t>
      </w:r>
    </w:p>
    <w:p>
      <w:pPr>
        <w:spacing w:after="0" w:line="221" w:lineRule="auto"/>
        <w:rPr>
          <w:sz w:val="20"/>
          <w:szCs w:val="20"/>
          <w:color w:val="auto"/>
        </w:rPr>
      </w:pPr>
      <w:r>
        <w:rPr>
          <w:rFonts w:ascii="Arial" w:cs="Arial" w:eastAsia="Arial" w:hAnsi="Arial"/>
          <w:sz w:val="14"/>
          <w:szCs w:val="14"/>
          <w:color w:val="auto"/>
        </w:rPr>
        <w:t>Temecula</w:t>
      </w:r>
    </w:p>
    <w:p>
      <w:pPr>
        <w:spacing w:after="0" w:line="222" w:lineRule="auto"/>
        <w:rPr>
          <w:sz w:val="20"/>
          <w:szCs w:val="20"/>
          <w:color w:val="auto"/>
        </w:rPr>
      </w:pPr>
      <w:r>
        <w:rPr>
          <w:rFonts w:ascii="Arial" w:cs="Arial" w:eastAsia="Arial" w:hAnsi="Arial"/>
          <w:sz w:val="14"/>
          <w:szCs w:val="14"/>
          <w:color w:val="auto"/>
        </w:rPr>
        <w:t>Tracy*</w:t>
      </w:r>
    </w:p>
    <w:p>
      <w:pPr>
        <w:spacing w:after="0" w:line="221" w:lineRule="auto"/>
        <w:rPr>
          <w:sz w:val="20"/>
          <w:szCs w:val="20"/>
          <w:color w:val="auto"/>
        </w:rPr>
      </w:pPr>
      <w:r>
        <w:rPr>
          <w:rFonts w:ascii="Arial" w:cs="Arial" w:eastAsia="Arial" w:hAnsi="Arial"/>
          <w:sz w:val="14"/>
          <w:szCs w:val="14"/>
          <w:color w:val="auto"/>
        </w:rPr>
        <w:t>Tulare</w:t>
      </w:r>
    </w:p>
    <w:p>
      <w:pPr>
        <w:spacing w:after="0" w:line="222" w:lineRule="auto"/>
        <w:rPr>
          <w:sz w:val="20"/>
          <w:szCs w:val="20"/>
          <w:color w:val="auto"/>
        </w:rPr>
      </w:pPr>
      <w:r>
        <w:rPr>
          <w:rFonts w:ascii="Arial" w:cs="Arial" w:eastAsia="Arial" w:hAnsi="Arial"/>
          <w:sz w:val="14"/>
          <w:szCs w:val="14"/>
          <w:color w:val="auto"/>
        </w:rPr>
        <w:t>Upland</w:t>
      </w:r>
    </w:p>
    <w:p>
      <w:pPr>
        <w:spacing w:after="0" w:line="221" w:lineRule="auto"/>
        <w:rPr>
          <w:sz w:val="20"/>
          <w:szCs w:val="20"/>
          <w:color w:val="auto"/>
        </w:rPr>
      </w:pPr>
      <w:r>
        <w:rPr>
          <w:rFonts w:ascii="Arial" w:cs="Arial" w:eastAsia="Arial" w:hAnsi="Arial"/>
          <w:sz w:val="14"/>
          <w:szCs w:val="14"/>
          <w:color w:val="auto"/>
        </w:rPr>
        <w:t>Vacaville*</w:t>
      </w:r>
    </w:p>
    <w:p>
      <w:pPr>
        <w:spacing w:after="0" w:line="221" w:lineRule="auto"/>
        <w:rPr>
          <w:sz w:val="20"/>
          <w:szCs w:val="20"/>
          <w:color w:val="auto"/>
        </w:rPr>
      </w:pPr>
      <w:r>
        <w:rPr>
          <w:rFonts w:ascii="Arial" w:cs="Arial" w:eastAsia="Arial" w:hAnsi="Arial"/>
          <w:sz w:val="14"/>
          <w:szCs w:val="14"/>
          <w:color w:val="auto"/>
        </w:rPr>
        <w:t>Valencia</w:t>
      </w:r>
    </w:p>
    <w:p>
      <w:pPr>
        <w:spacing w:after="0" w:line="222" w:lineRule="auto"/>
        <w:rPr>
          <w:sz w:val="20"/>
          <w:szCs w:val="20"/>
          <w:color w:val="auto"/>
        </w:rPr>
      </w:pPr>
      <w:r>
        <w:rPr>
          <w:rFonts w:ascii="Arial" w:cs="Arial" w:eastAsia="Arial" w:hAnsi="Arial"/>
          <w:sz w:val="14"/>
          <w:szCs w:val="14"/>
          <w:color w:val="auto"/>
        </w:rPr>
        <w:t>Victorville</w:t>
      </w:r>
    </w:p>
    <w:p>
      <w:pPr>
        <w:spacing w:after="0" w:line="221" w:lineRule="auto"/>
        <w:rPr>
          <w:sz w:val="20"/>
          <w:szCs w:val="20"/>
          <w:color w:val="auto"/>
        </w:rPr>
      </w:pPr>
      <w:r>
        <w:rPr>
          <w:rFonts w:ascii="Arial" w:cs="Arial" w:eastAsia="Arial" w:hAnsi="Arial"/>
          <w:sz w:val="14"/>
          <w:szCs w:val="14"/>
          <w:color w:val="auto"/>
        </w:rPr>
        <w:t>West Covina</w:t>
      </w:r>
    </w:p>
    <w:p>
      <w:pPr>
        <w:spacing w:after="0"/>
        <w:rPr>
          <w:sz w:val="20"/>
          <w:szCs w:val="20"/>
          <w:color w:val="auto"/>
        </w:rPr>
      </w:pPr>
      <w:r>
        <w:rPr>
          <w:rFonts w:ascii="Arial" w:cs="Arial" w:eastAsia="Arial" w:hAnsi="Arial"/>
          <w:sz w:val="14"/>
          <w:szCs w:val="14"/>
          <w:color w:val="auto"/>
        </w:rPr>
        <w:t>Woodland Hills</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Colorado</w:t>
      </w:r>
    </w:p>
    <w:p>
      <w:pPr>
        <w:spacing w:after="0" w:line="221" w:lineRule="auto"/>
        <w:rPr>
          <w:sz w:val="20"/>
          <w:szCs w:val="20"/>
          <w:color w:val="auto"/>
        </w:rPr>
      </w:pPr>
      <w:r>
        <w:rPr>
          <w:rFonts w:ascii="Arial" w:cs="Arial" w:eastAsia="Arial" w:hAnsi="Arial"/>
          <w:sz w:val="14"/>
          <w:szCs w:val="14"/>
          <w:color w:val="auto"/>
        </w:rPr>
        <w:t>Castle Rock*</w:t>
      </w:r>
    </w:p>
    <w:p>
      <w:pPr>
        <w:spacing w:after="0" w:line="221" w:lineRule="auto"/>
        <w:rPr>
          <w:sz w:val="20"/>
          <w:szCs w:val="20"/>
          <w:color w:val="auto"/>
        </w:rPr>
      </w:pPr>
      <w:r>
        <w:rPr>
          <w:rFonts w:ascii="Arial" w:cs="Arial" w:eastAsia="Arial" w:hAnsi="Arial"/>
          <w:sz w:val="14"/>
          <w:szCs w:val="14"/>
          <w:color w:val="auto"/>
        </w:rPr>
        <w:t>Colorado Springs</w:t>
      </w:r>
    </w:p>
    <w:p>
      <w:pPr>
        <w:spacing w:after="0" w:line="222" w:lineRule="auto"/>
        <w:rPr>
          <w:sz w:val="20"/>
          <w:szCs w:val="20"/>
          <w:color w:val="auto"/>
        </w:rPr>
      </w:pPr>
      <w:r>
        <w:rPr>
          <w:rFonts w:ascii="Arial" w:cs="Arial" w:eastAsia="Arial" w:hAnsi="Arial"/>
          <w:sz w:val="14"/>
          <w:szCs w:val="14"/>
          <w:color w:val="auto"/>
        </w:rPr>
        <w:t>Glendale</w:t>
      </w:r>
    </w:p>
    <w:p>
      <w:pPr>
        <w:spacing w:after="0" w:line="221" w:lineRule="auto"/>
        <w:rPr>
          <w:sz w:val="20"/>
          <w:szCs w:val="20"/>
          <w:color w:val="auto"/>
        </w:rPr>
      </w:pPr>
      <w:r>
        <w:rPr>
          <w:rFonts w:ascii="Arial" w:cs="Arial" w:eastAsia="Arial" w:hAnsi="Arial"/>
          <w:sz w:val="14"/>
          <w:szCs w:val="14"/>
          <w:color w:val="auto"/>
        </w:rPr>
        <w:t>Littleton</w:t>
      </w:r>
    </w:p>
    <w:p>
      <w:pPr>
        <w:spacing w:after="0" w:line="222" w:lineRule="auto"/>
        <w:rPr>
          <w:sz w:val="20"/>
          <w:szCs w:val="20"/>
          <w:color w:val="auto"/>
        </w:rPr>
      </w:pPr>
      <w:r>
        <w:rPr>
          <w:rFonts w:ascii="Arial" w:cs="Arial" w:eastAsia="Arial" w:hAnsi="Arial"/>
          <w:sz w:val="14"/>
          <w:szCs w:val="14"/>
          <w:color w:val="auto"/>
        </w:rPr>
        <w:t>Lone Tree</w:t>
      </w:r>
    </w:p>
    <w:p>
      <w:pPr>
        <w:spacing w:after="0" w:line="221" w:lineRule="auto"/>
        <w:rPr>
          <w:sz w:val="20"/>
          <w:szCs w:val="20"/>
          <w:color w:val="auto"/>
        </w:rPr>
      </w:pPr>
      <w:r>
        <w:rPr>
          <w:rFonts w:ascii="Arial" w:cs="Arial" w:eastAsia="Arial" w:hAnsi="Arial"/>
          <w:sz w:val="14"/>
          <w:szCs w:val="14"/>
          <w:color w:val="auto"/>
        </w:rPr>
        <w:t>Loveland*</w:t>
      </w:r>
    </w:p>
    <w:p>
      <w:pPr>
        <w:spacing w:after="0"/>
        <w:rPr>
          <w:sz w:val="20"/>
          <w:szCs w:val="20"/>
          <w:color w:val="auto"/>
        </w:rPr>
      </w:pPr>
      <w:r>
        <w:rPr>
          <w:rFonts w:ascii="Arial" w:cs="Arial" w:eastAsia="Arial" w:hAnsi="Arial"/>
          <w:sz w:val="14"/>
          <w:szCs w:val="14"/>
          <w:color w:val="auto"/>
        </w:rPr>
        <w:t>Westminster</w:t>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4"/>
          <w:szCs w:val="14"/>
          <w:b w:val="1"/>
          <w:bCs w:val="1"/>
          <w:i w:val="1"/>
          <w:iCs w:val="1"/>
          <w:color w:val="auto"/>
        </w:rPr>
        <w:t>Connecticut</w:t>
      </w:r>
    </w:p>
    <w:p>
      <w:pPr>
        <w:spacing w:after="0" w:line="221" w:lineRule="auto"/>
        <w:rPr>
          <w:sz w:val="20"/>
          <w:szCs w:val="20"/>
          <w:color w:val="auto"/>
        </w:rPr>
      </w:pPr>
      <w:r>
        <w:rPr>
          <w:rFonts w:ascii="Arial" w:cs="Arial" w:eastAsia="Arial" w:hAnsi="Arial"/>
          <w:sz w:val="14"/>
          <w:szCs w:val="14"/>
          <w:color w:val="auto"/>
        </w:rPr>
        <w:t>Danbury</w:t>
      </w:r>
    </w:p>
    <w:p>
      <w:pPr>
        <w:spacing w:after="0" w:line="221" w:lineRule="auto"/>
        <w:rPr>
          <w:sz w:val="20"/>
          <w:szCs w:val="20"/>
          <w:color w:val="auto"/>
        </w:rPr>
      </w:pPr>
      <w:r>
        <w:rPr>
          <w:rFonts w:ascii="Arial" w:cs="Arial" w:eastAsia="Arial" w:hAnsi="Arial"/>
          <w:sz w:val="14"/>
          <w:szCs w:val="14"/>
          <w:color w:val="auto"/>
        </w:rPr>
        <w:t>East Haven</w:t>
      </w:r>
    </w:p>
    <w:p>
      <w:pPr>
        <w:spacing w:after="0" w:line="222" w:lineRule="auto"/>
        <w:rPr>
          <w:sz w:val="20"/>
          <w:szCs w:val="20"/>
          <w:color w:val="auto"/>
        </w:rPr>
      </w:pPr>
      <w:r>
        <w:rPr>
          <w:rFonts w:ascii="Arial" w:cs="Arial" w:eastAsia="Arial" w:hAnsi="Arial"/>
          <w:sz w:val="14"/>
          <w:szCs w:val="14"/>
          <w:color w:val="auto"/>
        </w:rPr>
        <w:t>Fairfield</w:t>
      </w:r>
    </w:p>
    <w:p>
      <w:pPr>
        <w:spacing w:after="0" w:line="221" w:lineRule="auto"/>
        <w:rPr>
          <w:sz w:val="20"/>
          <w:szCs w:val="20"/>
          <w:color w:val="auto"/>
        </w:rPr>
      </w:pPr>
      <w:r>
        <w:rPr>
          <w:rFonts w:ascii="Arial" w:cs="Arial" w:eastAsia="Arial" w:hAnsi="Arial"/>
          <w:sz w:val="14"/>
          <w:szCs w:val="14"/>
          <w:color w:val="auto"/>
        </w:rPr>
        <w:t>Groton</w:t>
      </w:r>
    </w:p>
    <w:p>
      <w:pPr>
        <w:spacing w:after="0" w:line="222" w:lineRule="auto"/>
        <w:rPr>
          <w:sz w:val="20"/>
          <w:szCs w:val="20"/>
          <w:color w:val="auto"/>
        </w:rPr>
      </w:pPr>
      <w:r>
        <w:rPr>
          <w:rFonts w:ascii="Arial" w:cs="Arial" w:eastAsia="Arial" w:hAnsi="Arial"/>
          <w:sz w:val="14"/>
          <w:szCs w:val="14"/>
          <w:color w:val="auto"/>
        </w:rPr>
        <w:t>Hamden</w:t>
      </w:r>
    </w:p>
    <w:p>
      <w:pPr>
        <w:spacing w:after="0" w:line="221" w:lineRule="auto"/>
        <w:rPr>
          <w:sz w:val="20"/>
          <w:szCs w:val="20"/>
          <w:color w:val="auto"/>
        </w:rPr>
      </w:pPr>
      <w:r>
        <w:rPr>
          <w:rFonts w:ascii="Arial" w:cs="Arial" w:eastAsia="Arial" w:hAnsi="Arial"/>
          <w:sz w:val="14"/>
          <w:szCs w:val="14"/>
          <w:color w:val="auto"/>
        </w:rPr>
        <w:t>Manchester</w:t>
      </w:r>
    </w:p>
    <w:p>
      <w:pPr>
        <w:spacing w:after="0" w:line="222" w:lineRule="auto"/>
        <w:rPr>
          <w:sz w:val="20"/>
          <w:szCs w:val="20"/>
          <w:color w:val="auto"/>
        </w:rPr>
      </w:pPr>
      <w:r>
        <w:rPr>
          <w:rFonts w:ascii="Arial" w:cs="Arial" w:eastAsia="Arial" w:hAnsi="Arial"/>
          <w:sz w:val="14"/>
          <w:szCs w:val="14"/>
          <w:color w:val="auto"/>
        </w:rPr>
        <w:t>Milford</w:t>
      </w:r>
    </w:p>
    <w:p>
      <w:pPr>
        <w:spacing w:after="0" w:line="221" w:lineRule="auto"/>
        <w:rPr>
          <w:sz w:val="20"/>
          <w:szCs w:val="20"/>
          <w:color w:val="auto"/>
        </w:rPr>
      </w:pPr>
      <w:r>
        <w:rPr>
          <w:rFonts w:ascii="Arial" w:cs="Arial" w:eastAsia="Arial" w:hAnsi="Arial"/>
          <w:sz w:val="14"/>
          <w:szCs w:val="14"/>
          <w:color w:val="auto"/>
        </w:rPr>
        <w:t>Waterbury</w:t>
      </w:r>
    </w:p>
    <w:p>
      <w:pPr>
        <w:spacing w:after="0" w:line="222" w:lineRule="auto"/>
        <w:rPr>
          <w:sz w:val="20"/>
          <w:szCs w:val="20"/>
          <w:color w:val="auto"/>
        </w:rPr>
      </w:pPr>
      <w:r>
        <w:rPr>
          <w:rFonts w:ascii="Arial" w:cs="Arial" w:eastAsia="Arial" w:hAnsi="Arial"/>
          <w:sz w:val="14"/>
          <w:szCs w:val="14"/>
          <w:color w:val="auto"/>
        </w:rPr>
        <w:t>West Hartford</w:t>
      </w:r>
    </w:p>
    <w:p>
      <w:pPr>
        <w:spacing w:after="0" w:line="221" w:lineRule="auto"/>
        <w:rPr>
          <w:sz w:val="20"/>
          <w:szCs w:val="20"/>
          <w:color w:val="auto"/>
        </w:rPr>
      </w:pPr>
      <w:r>
        <w:rPr>
          <w:rFonts w:ascii="Arial" w:cs="Arial" w:eastAsia="Arial" w:hAnsi="Arial"/>
          <w:sz w:val="14"/>
          <w:szCs w:val="14"/>
          <w:color w:val="auto"/>
        </w:rPr>
        <w:t>Westbrook*</w:t>
      </w:r>
    </w:p>
    <w:p>
      <w:pPr>
        <w:spacing w:after="0"/>
        <w:rPr>
          <w:sz w:val="20"/>
          <w:szCs w:val="20"/>
          <w:color w:val="auto"/>
        </w:rPr>
      </w:pPr>
      <w:r>
        <w:rPr>
          <w:rFonts w:ascii="Arial" w:cs="Arial" w:eastAsia="Arial" w:hAnsi="Arial"/>
          <w:sz w:val="14"/>
          <w:szCs w:val="14"/>
          <w:color w:val="auto"/>
        </w:rPr>
        <w:t>Wethersfield</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Delaware</w:t>
      </w:r>
    </w:p>
    <w:p>
      <w:pPr>
        <w:spacing w:after="0" w:line="221" w:lineRule="auto"/>
        <w:rPr>
          <w:sz w:val="20"/>
          <w:szCs w:val="20"/>
          <w:color w:val="auto"/>
        </w:rPr>
      </w:pPr>
      <w:r>
        <w:rPr>
          <w:rFonts w:ascii="Arial" w:cs="Arial" w:eastAsia="Arial" w:hAnsi="Arial"/>
          <w:sz w:val="14"/>
          <w:szCs w:val="14"/>
          <w:color w:val="auto"/>
        </w:rPr>
        <w:t>Dover</w:t>
      </w:r>
    </w:p>
    <w:p>
      <w:pPr>
        <w:spacing w:after="0" w:line="221" w:lineRule="auto"/>
        <w:rPr>
          <w:sz w:val="20"/>
          <w:szCs w:val="20"/>
          <w:color w:val="auto"/>
        </w:rPr>
      </w:pPr>
      <w:r>
        <w:rPr>
          <w:rFonts w:ascii="Arial" w:cs="Arial" w:eastAsia="Arial" w:hAnsi="Arial"/>
          <w:sz w:val="14"/>
          <w:szCs w:val="14"/>
          <w:color w:val="auto"/>
        </w:rPr>
        <w:t>Reboboth Beach*</w:t>
      </w:r>
    </w:p>
    <w:p>
      <w:pPr>
        <w:spacing w:after="0"/>
        <w:rPr>
          <w:sz w:val="20"/>
          <w:szCs w:val="20"/>
          <w:color w:val="auto"/>
        </w:rPr>
      </w:pPr>
      <w:r>
        <w:rPr>
          <w:rFonts w:ascii="Arial" w:cs="Arial" w:eastAsia="Arial" w:hAnsi="Arial"/>
          <w:sz w:val="14"/>
          <w:szCs w:val="14"/>
          <w:color w:val="auto"/>
        </w:rPr>
        <w:t>Wilmington</w:t>
      </w:r>
    </w:p>
    <w:p>
      <w:pPr>
        <w:sectPr>
          <w:pgSz w:w="11900" w:h="16843" w:orient="portrait"/>
          <w:cols w:equalWidth="0" w:num="1">
            <w:col w:w="10219"/>
          </w:cols>
          <w:pgMar w:left="240" w:top="459" w:right="1440" w:bottom="0" w:gutter="0" w:footer="0" w:header="0"/>
        </w:sectPr>
      </w:pPr>
    </w:p>
    <w:bookmarkStart w:id="22" w:name="page23"/>
    <w:bookmarkEnd w:id="22"/>
    <w:p>
      <w:pPr>
        <w:ind w:left="5500"/>
        <w:spacing w:after="0"/>
        <w:rPr>
          <w:sz w:val="20"/>
          <w:szCs w:val="20"/>
          <w:color w:val="auto"/>
        </w:rPr>
      </w:pPr>
      <w:r>
        <w:rPr>
          <w:rFonts w:ascii="Arial" w:cs="Arial" w:eastAsia="Arial" w:hAnsi="Arial"/>
          <w:sz w:val="14"/>
          <w:szCs w:val="14"/>
          <w:b w:val="1"/>
          <w:bCs w:val="1"/>
          <w:i w:val="1"/>
          <w:iCs w:val="1"/>
          <w:color w:val="auto"/>
        </w:rPr>
        <w:t>Florida</w:t>
      </w:r>
    </w:p>
    <w:p>
      <w:pPr>
        <w:spacing w:after="0" w:line="221" w:lineRule="auto"/>
        <w:rPr>
          <w:sz w:val="20"/>
          <w:szCs w:val="20"/>
          <w:color w:val="auto"/>
        </w:rPr>
      </w:pPr>
      <w:r>
        <w:rPr>
          <w:rFonts w:ascii="Arial" w:cs="Arial" w:eastAsia="Arial" w:hAnsi="Arial"/>
          <w:sz w:val="14"/>
          <w:szCs w:val="14"/>
          <w:color w:val="auto"/>
        </w:rPr>
        <w:t>Altamonte Springs</w:t>
      </w:r>
    </w:p>
    <w:p>
      <w:pPr>
        <w:spacing w:after="0" w:line="221" w:lineRule="auto"/>
        <w:rPr>
          <w:sz w:val="20"/>
          <w:szCs w:val="20"/>
          <w:color w:val="auto"/>
        </w:rPr>
      </w:pPr>
      <w:r>
        <w:rPr>
          <w:rFonts w:ascii="Arial" w:cs="Arial" w:eastAsia="Arial" w:hAnsi="Arial"/>
          <w:sz w:val="14"/>
          <w:szCs w:val="14"/>
          <w:color w:val="auto"/>
        </w:rPr>
        <w:t>Boca Raton</w:t>
      </w:r>
    </w:p>
    <w:p>
      <w:pPr>
        <w:spacing w:after="0" w:line="222" w:lineRule="auto"/>
        <w:rPr>
          <w:sz w:val="20"/>
          <w:szCs w:val="20"/>
          <w:color w:val="auto"/>
        </w:rPr>
      </w:pPr>
      <w:r>
        <w:rPr>
          <w:rFonts w:ascii="Arial" w:cs="Arial" w:eastAsia="Arial" w:hAnsi="Arial"/>
          <w:sz w:val="14"/>
          <w:szCs w:val="14"/>
          <w:color w:val="auto"/>
        </w:rPr>
        <w:t>Boynton Beach</w:t>
      </w:r>
    </w:p>
    <w:p>
      <w:pPr>
        <w:spacing w:after="0" w:line="221" w:lineRule="auto"/>
        <w:rPr>
          <w:sz w:val="20"/>
          <w:szCs w:val="20"/>
          <w:color w:val="auto"/>
        </w:rPr>
      </w:pPr>
      <w:r>
        <w:rPr>
          <w:rFonts w:ascii="Arial" w:cs="Arial" w:eastAsia="Arial" w:hAnsi="Arial"/>
          <w:sz w:val="14"/>
          <w:szCs w:val="14"/>
          <w:color w:val="auto"/>
        </w:rPr>
        <w:t>Brandon</w:t>
      </w:r>
    </w:p>
    <w:p>
      <w:pPr>
        <w:spacing w:after="0" w:line="222" w:lineRule="auto"/>
        <w:rPr>
          <w:sz w:val="20"/>
          <w:szCs w:val="20"/>
          <w:color w:val="auto"/>
        </w:rPr>
      </w:pPr>
      <w:r>
        <w:rPr>
          <w:rFonts w:ascii="Arial" w:cs="Arial" w:eastAsia="Arial" w:hAnsi="Arial"/>
          <w:sz w:val="14"/>
          <w:szCs w:val="14"/>
          <w:color w:val="auto"/>
        </w:rPr>
        <w:t>Daytona Beach</w:t>
      </w:r>
    </w:p>
    <w:p>
      <w:pPr>
        <w:spacing w:after="0" w:line="221" w:lineRule="auto"/>
        <w:rPr>
          <w:sz w:val="20"/>
          <w:szCs w:val="20"/>
          <w:color w:val="auto"/>
        </w:rPr>
      </w:pPr>
      <w:r>
        <w:rPr>
          <w:rFonts w:ascii="Arial" w:cs="Arial" w:eastAsia="Arial" w:hAnsi="Arial"/>
          <w:sz w:val="14"/>
          <w:szCs w:val="14"/>
          <w:color w:val="auto"/>
        </w:rPr>
        <w:t>Fort Lauderdale</w:t>
      </w:r>
    </w:p>
    <w:p>
      <w:pPr>
        <w:spacing w:after="0" w:line="222" w:lineRule="auto"/>
        <w:rPr>
          <w:sz w:val="20"/>
          <w:szCs w:val="20"/>
          <w:color w:val="auto"/>
        </w:rPr>
      </w:pPr>
      <w:r>
        <w:rPr>
          <w:rFonts w:ascii="Arial" w:cs="Arial" w:eastAsia="Arial" w:hAnsi="Arial"/>
          <w:sz w:val="14"/>
          <w:szCs w:val="14"/>
          <w:color w:val="auto"/>
        </w:rPr>
        <w:t>Ft. Myers</w:t>
      </w:r>
    </w:p>
    <w:p>
      <w:pPr>
        <w:spacing w:after="0" w:line="221" w:lineRule="auto"/>
        <w:rPr>
          <w:sz w:val="20"/>
          <w:szCs w:val="20"/>
          <w:color w:val="auto"/>
        </w:rPr>
      </w:pPr>
      <w:r>
        <w:rPr>
          <w:rFonts w:ascii="Arial" w:cs="Arial" w:eastAsia="Arial" w:hAnsi="Arial"/>
          <w:sz w:val="14"/>
          <w:szCs w:val="14"/>
          <w:color w:val="auto"/>
        </w:rPr>
        <w:t>Gainesville</w:t>
      </w:r>
    </w:p>
    <w:p>
      <w:pPr>
        <w:spacing w:after="0" w:line="222" w:lineRule="auto"/>
        <w:rPr>
          <w:sz w:val="20"/>
          <w:szCs w:val="20"/>
          <w:color w:val="auto"/>
        </w:rPr>
      </w:pPr>
      <w:r>
        <w:rPr>
          <w:rFonts w:ascii="Arial" w:cs="Arial" w:eastAsia="Arial" w:hAnsi="Arial"/>
          <w:sz w:val="14"/>
          <w:szCs w:val="14"/>
          <w:color w:val="auto"/>
        </w:rPr>
        <w:t>Hialeah</w:t>
      </w:r>
    </w:p>
    <w:p>
      <w:pPr>
        <w:spacing w:after="0" w:line="221" w:lineRule="auto"/>
        <w:rPr>
          <w:sz w:val="20"/>
          <w:szCs w:val="20"/>
          <w:color w:val="auto"/>
        </w:rPr>
      </w:pPr>
      <w:r>
        <w:rPr>
          <w:rFonts w:ascii="Arial" w:cs="Arial" w:eastAsia="Arial" w:hAnsi="Arial"/>
          <w:sz w:val="14"/>
          <w:szCs w:val="14"/>
          <w:color w:val="auto"/>
        </w:rPr>
        <w:t>Jacksonville</w:t>
      </w:r>
    </w:p>
    <w:p>
      <w:pPr>
        <w:spacing w:after="0" w:line="222" w:lineRule="auto"/>
        <w:rPr>
          <w:sz w:val="20"/>
          <w:szCs w:val="20"/>
          <w:color w:val="auto"/>
        </w:rPr>
      </w:pPr>
      <w:r>
        <w:rPr>
          <w:rFonts w:ascii="Arial" w:cs="Arial" w:eastAsia="Arial" w:hAnsi="Arial"/>
          <w:sz w:val="14"/>
          <w:szCs w:val="14"/>
          <w:color w:val="auto"/>
        </w:rPr>
        <w:t>Lakeland</w:t>
      </w:r>
    </w:p>
    <w:p>
      <w:pPr>
        <w:spacing w:after="0" w:line="221" w:lineRule="auto"/>
        <w:rPr>
          <w:sz w:val="20"/>
          <w:szCs w:val="20"/>
          <w:color w:val="auto"/>
        </w:rPr>
      </w:pPr>
      <w:r>
        <w:rPr>
          <w:rFonts w:ascii="Arial" w:cs="Arial" w:eastAsia="Arial" w:hAnsi="Arial"/>
          <w:sz w:val="14"/>
          <w:szCs w:val="14"/>
          <w:color w:val="auto"/>
        </w:rPr>
        <w:t>Largo</w:t>
      </w:r>
    </w:p>
    <w:p>
      <w:pPr>
        <w:spacing w:after="0" w:line="221" w:lineRule="auto"/>
        <w:rPr>
          <w:sz w:val="20"/>
          <w:szCs w:val="20"/>
          <w:color w:val="auto"/>
        </w:rPr>
      </w:pPr>
      <w:r>
        <w:rPr>
          <w:rFonts w:ascii="Arial" w:cs="Arial" w:eastAsia="Arial" w:hAnsi="Arial"/>
          <w:sz w:val="14"/>
          <w:szCs w:val="14"/>
          <w:color w:val="auto"/>
        </w:rPr>
        <w:t>Lauderdale Lakes</w:t>
      </w:r>
    </w:p>
    <w:p>
      <w:pPr>
        <w:jc w:val="right"/>
        <w:ind w:right="4119"/>
        <w:spacing w:after="0" w:line="222" w:lineRule="auto"/>
        <w:rPr>
          <w:sz w:val="20"/>
          <w:szCs w:val="20"/>
          <w:color w:val="auto"/>
        </w:rPr>
      </w:pPr>
      <w:r>
        <w:rPr>
          <w:rFonts w:ascii="Arial" w:cs="Arial" w:eastAsia="Arial" w:hAnsi="Arial"/>
          <w:sz w:val="14"/>
          <w:szCs w:val="14"/>
          <w:b w:val="1"/>
          <w:bCs w:val="1"/>
          <w:i w:val="1"/>
          <w:iCs w:val="1"/>
          <w:color w:val="auto"/>
        </w:rPr>
        <w:t>Florida, cont.</w:t>
      </w:r>
    </w:p>
    <w:p>
      <w:pPr>
        <w:spacing w:after="0" w:line="221" w:lineRule="auto"/>
        <w:rPr>
          <w:sz w:val="20"/>
          <w:szCs w:val="20"/>
          <w:color w:val="auto"/>
        </w:rPr>
      </w:pPr>
      <w:r>
        <w:rPr>
          <w:rFonts w:ascii="Arial" w:cs="Arial" w:eastAsia="Arial" w:hAnsi="Arial"/>
          <w:sz w:val="14"/>
          <w:szCs w:val="14"/>
          <w:color w:val="auto"/>
        </w:rPr>
        <w:t>Miami</w:t>
      </w:r>
    </w:p>
    <w:p>
      <w:pPr>
        <w:spacing w:after="0" w:line="222" w:lineRule="auto"/>
        <w:rPr>
          <w:sz w:val="20"/>
          <w:szCs w:val="20"/>
          <w:color w:val="auto"/>
        </w:rPr>
      </w:pPr>
      <w:r>
        <w:rPr>
          <w:rFonts w:ascii="Arial" w:cs="Arial" w:eastAsia="Arial" w:hAnsi="Arial"/>
          <w:sz w:val="14"/>
          <w:szCs w:val="14"/>
          <w:color w:val="auto"/>
        </w:rPr>
        <w:t>No. Miami Beach</w:t>
      </w:r>
    </w:p>
    <w:p>
      <w:pPr>
        <w:spacing w:after="0" w:line="221" w:lineRule="auto"/>
        <w:rPr>
          <w:sz w:val="20"/>
          <w:szCs w:val="20"/>
          <w:color w:val="auto"/>
        </w:rPr>
      </w:pPr>
      <w:r>
        <w:rPr>
          <w:rFonts w:ascii="Arial" w:cs="Arial" w:eastAsia="Arial" w:hAnsi="Arial"/>
          <w:sz w:val="14"/>
          <w:szCs w:val="14"/>
          <w:color w:val="auto"/>
        </w:rPr>
        <w:t>Ocala</w:t>
      </w:r>
    </w:p>
    <w:p>
      <w:pPr>
        <w:spacing w:after="0" w:line="222" w:lineRule="auto"/>
        <w:rPr>
          <w:sz w:val="20"/>
          <w:szCs w:val="20"/>
          <w:color w:val="auto"/>
        </w:rPr>
      </w:pPr>
      <w:r>
        <w:rPr>
          <w:rFonts w:ascii="Arial" w:cs="Arial" w:eastAsia="Arial" w:hAnsi="Arial"/>
          <w:sz w:val="14"/>
          <w:szCs w:val="14"/>
          <w:color w:val="auto"/>
        </w:rPr>
        <w:t>Orange Park</w:t>
      </w:r>
    </w:p>
    <w:p>
      <w:pPr>
        <w:spacing w:after="0" w:line="221" w:lineRule="auto"/>
        <w:rPr>
          <w:sz w:val="20"/>
          <w:szCs w:val="20"/>
          <w:color w:val="auto"/>
        </w:rPr>
      </w:pPr>
      <w:r>
        <w:rPr>
          <w:rFonts w:ascii="Arial" w:cs="Arial" w:eastAsia="Arial" w:hAnsi="Arial"/>
          <w:sz w:val="14"/>
          <w:szCs w:val="14"/>
          <w:color w:val="auto"/>
        </w:rPr>
        <w:t>Orlando (2)</w:t>
      </w:r>
    </w:p>
    <w:p>
      <w:pPr>
        <w:spacing w:after="0" w:line="222" w:lineRule="auto"/>
        <w:rPr>
          <w:sz w:val="20"/>
          <w:szCs w:val="20"/>
          <w:color w:val="auto"/>
        </w:rPr>
      </w:pPr>
      <w:r>
        <w:rPr>
          <w:rFonts w:ascii="Arial" w:cs="Arial" w:eastAsia="Arial" w:hAnsi="Arial"/>
          <w:sz w:val="14"/>
          <w:szCs w:val="14"/>
          <w:color w:val="auto"/>
        </w:rPr>
        <w:t>Pembroke Pines</w:t>
      </w:r>
    </w:p>
    <w:p>
      <w:pPr>
        <w:spacing w:after="0" w:line="221" w:lineRule="auto"/>
        <w:rPr>
          <w:sz w:val="20"/>
          <w:szCs w:val="20"/>
          <w:color w:val="auto"/>
        </w:rPr>
      </w:pPr>
      <w:r>
        <w:rPr>
          <w:rFonts w:ascii="Arial" w:cs="Arial" w:eastAsia="Arial" w:hAnsi="Arial"/>
          <w:sz w:val="14"/>
          <w:szCs w:val="14"/>
          <w:color w:val="auto"/>
        </w:rPr>
        <w:t>Pensacola</w:t>
      </w:r>
    </w:p>
    <w:p>
      <w:pPr>
        <w:spacing w:after="0" w:line="222" w:lineRule="auto"/>
        <w:rPr>
          <w:sz w:val="20"/>
          <w:szCs w:val="20"/>
          <w:color w:val="auto"/>
        </w:rPr>
      </w:pPr>
      <w:r>
        <w:rPr>
          <w:rFonts w:ascii="Arial" w:cs="Arial" w:eastAsia="Arial" w:hAnsi="Arial"/>
          <w:sz w:val="14"/>
          <w:szCs w:val="14"/>
          <w:color w:val="auto"/>
        </w:rPr>
        <w:t>Pompano Beach</w:t>
      </w:r>
    </w:p>
    <w:p>
      <w:pPr>
        <w:spacing w:after="0" w:line="221" w:lineRule="auto"/>
        <w:rPr>
          <w:sz w:val="20"/>
          <w:szCs w:val="20"/>
          <w:color w:val="auto"/>
        </w:rPr>
      </w:pPr>
      <w:r>
        <w:rPr>
          <w:rFonts w:ascii="Arial" w:cs="Arial" w:eastAsia="Arial" w:hAnsi="Arial"/>
          <w:sz w:val="14"/>
          <w:szCs w:val="14"/>
          <w:color w:val="auto"/>
        </w:rPr>
        <w:t>Sarasota</w:t>
      </w:r>
    </w:p>
    <w:p>
      <w:pPr>
        <w:spacing w:after="0" w:line="222" w:lineRule="auto"/>
        <w:rPr>
          <w:sz w:val="20"/>
          <w:szCs w:val="20"/>
          <w:color w:val="auto"/>
        </w:rPr>
      </w:pPr>
      <w:r>
        <w:rPr>
          <w:rFonts w:ascii="Arial" w:cs="Arial" w:eastAsia="Arial" w:hAnsi="Arial"/>
          <w:sz w:val="14"/>
          <w:szCs w:val="14"/>
          <w:color w:val="auto"/>
        </w:rPr>
        <w:t>St. Augustine*</w:t>
      </w:r>
    </w:p>
    <w:p>
      <w:pPr>
        <w:spacing w:after="0" w:line="221" w:lineRule="auto"/>
        <w:rPr>
          <w:sz w:val="20"/>
          <w:szCs w:val="20"/>
          <w:color w:val="auto"/>
        </w:rPr>
      </w:pPr>
      <w:r>
        <w:rPr>
          <w:rFonts w:ascii="Arial" w:cs="Arial" w:eastAsia="Arial" w:hAnsi="Arial"/>
          <w:sz w:val="14"/>
          <w:szCs w:val="14"/>
          <w:color w:val="auto"/>
        </w:rPr>
        <w:t>Stuart</w:t>
      </w:r>
    </w:p>
    <w:p>
      <w:pPr>
        <w:spacing w:after="0" w:line="221" w:lineRule="auto"/>
        <w:rPr>
          <w:sz w:val="20"/>
          <w:szCs w:val="20"/>
          <w:color w:val="auto"/>
        </w:rPr>
      </w:pPr>
      <w:r>
        <w:rPr>
          <w:rFonts w:ascii="Arial" w:cs="Arial" w:eastAsia="Arial" w:hAnsi="Arial"/>
          <w:sz w:val="14"/>
          <w:szCs w:val="14"/>
          <w:color w:val="auto"/>
        </w:rPr>
        <w:t>Tampa (1)</w:t>
      </w:r>
    </w:p>
    <w:p>
      <w:pPr>
        <w:spacing w:after="0" w:line="222" w:lineRule="auto"/>
        <w:rPr>
          <w:sz w:val="20"/>
          <w:szCs w:val="20"/>
          <w:color w:val="auto"/>
        </w:rPr>
      </w:pPr>
      <w:r>
        <w:rPr>
          <w:rFonts w:ascii="Arial" w:cs="Arial" w:eastAsia="Arial" w:hAnsi="Arial"/>
          <w:sz w:val="14"/>
          <w:szCs w:val="14"/>
          <w:color w:val="auto"/>
        </w:rPr>
        <w:t>Vero Beach*</w:t>
      </w:r>
    </w:p>
    <w:p>
      <w:pPr>
        <w:spacing w:after="0"/>
        <w:rPr>
          <w:sz w:val="20"/>
          <w:szCs w:val="20"/>
          <w:color w:val="auto"/>
        </w:rPr>
      </w:pPr>
      <w:r>
        <w:rPr>
          <w:rFonts w:ascii="Arial" w:cs="Arial" w:eastAsia="Arial" w:hAnsi="Arial"/>
          <w:sz w:val="14"/>
          <w:szCs w:val="14"/>
          <w:color w:val="auto"/>
        </w:rPr>
        <w:t>West Palm Beach</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Georgia</w:t>
      </w:r>
    </w:p>
    <w:p>
      <w:pPr>
        <w:spacing w:after="0" w:line="221" w:lineRule="auto"/>
        <w:rPr>
          <w:sz w:val="20"/>
          <w:szCs w:val="20"/>
          <w:color w:val="auto"/>
        </w:rPr>
      </w:pPr>
      <w:r>
        <w:rPr>
          <w:rFonts w:ascii="Arial" w:cs="Arial" w:eastAsia="Arial" w:hAnsi="Arial"/>
          <w:sz w:val="14"/>
          <w:szCs w:val="14"/>
          <w:color w:val="auto"/>
        </w:rPr>
        <w:t>Alpharetta</w:t>
      </w:r>
    </w:p>
    <w:p>
      <w:pPr>
        <w:spacing w:after="0" w:line="221" w:lineRule="auto"/>
        <w:rPr>
          <w:sz w:val="20"/>
          <w:szCs w:val="20"/>
          <w:color w:val="auto"/>
        </w:rPr>
      </w:pPr>
      <w:r>
        <w:rPr>
          <w:rFonts w:ascii="Arial" w:cs="Arial" w:eastAsia="Arial" w:hAnsi="Arial"/>
          <w:sz w:val="14"/>
          <w:szCs w:val="14"/>
          <w:color w:val="auto"/>
        </w:rPr>
        <w:t>Augusta</w:t>
      </w:r>
    </w:p>
    <w:p>
      <w:pPr>
        <w:spacing w:after="0" w:line="222" w:lineRule="auto"/>
        <w:rPr>
          <w:sz w:val="20"/>
          <w:szCs w:val="20"/>
          <w:color w:val="auto"/>
        </w:rPr>
      </w:pPr>
      <w:r>
        <w:rPr>
          <w:rFonts w:ascii="Arial" w:cs="Arial" w:eastAsia="Arial" w:hAnsi="Arial"/>
          <w:sz w:val="14"/>
          <w:szCs w:val="14"/>
          <w:color w:val="auto"/>
        </w:rPr>
        <w:t>Calhoun*</w:t>
      </w:r>
    </w:p>
    <w:p>
      <w:pPr>
        <w:spacing w:after="0" w:line="221" w:lineRule="auto"/>
        <w:rPr>
          <w:sz w:val="20"/>
          <w:szCs w:val="20"/>
          <w:color w:val="auto"/>
        </w:rPr>
      </w:pPr>
      <w:r>
        <w:rPr>
          <w:rFonts w:ascii="Arial" w:cs="Arial" w:eastAsia="Arial" w:hAnsi="Arial"/>
          <w:sz w:val="14"/>
          <w:szCs w:val="14"/>
          <w:color w:val="auto"/>
        </w:rPr>
        <w:t>Commerce*</w:t>
      </w:r>
    </w:p>
    <w:p>
      <w:pPr>
        <w:spacing w:after="0" w:line="222" w:lineRule="auto"/>
        <w:rPr>
          <w:sz w:val="20"/>
          <w:szCs w:val="20"/>
          <w:color w:val="auto"/>
        </w:rPr>
      </w:pPr>
      <w:r>
        <w:rPr>
          <w:rFonts w:ascii="Arial" w:cs="Arial" w:eastAsia="Arial" w:hAnsi="Arial"/>
          <w:sz w:val="14"/>
          <w:szCs w:val="14"/>
          <w:color w:val="auto"/>
        </w:rPr>
        <w:t>Duluth</w:t>
      </w:r>
    </w:p>
    <w:p>
      <w:pPr>
        <w:spacing w:after="0" w:line="221" w:lineRule="auto"/>
        <w:rPr>
          <w:sz w:val="20"/>
          <w:szCs w:val="20"/>
          <w:color w:val="auto"/>
        </w:rPr>
      </w:pPr>
      <w:r>
        <w:rPr>
          <w:rFonts w:ascii="Arial" w:cs="Arial" w:eastAsia="Arial" w:hAnsi="Arial"/>
          <w:sz w:val="14"/>
          <w:szCs w:val="14"/>
          <w:color w:val="auto"/>
        </w:rPr>
        <w:t>Kennesaw</w:t>
      </w:r>
    </w:p>
    <w:p>
      <w:pPr>
        <w:spacing w:after="0" w:line="222" w:lineRule="auto"/>
        <w:rPr>
          <w:sz w:val="20"/>
          <w:szCs w:val="20"/>
          <w:color w:val="auto"/>
        </w:rPr>
      </w:pPr>
      <w:r>
        <w:rPr>
          <w:rFonts w:ascii="Arial" w:cs="Arial" w:eastAsia="Arial" w:hAnsi="Arial"/>
          <w:sz w:val="14"/>
          <w:szCs w:val="14"/>
          <w:color w:val="auto"/>
        </w:rPr>
        <w:t>Lake Park*</w:t>
      </w:r>
    </w:p>
    <w:p>
      <w:pPr>
        <w:spacing w:after="0" w:line="221" w:lineRule="auto"/>
        <w:rPr>
          <w:sz w:val="20"/>
          <w:szCs w:val="20"/>
          <w:color w:val="auto"/>
        </w:rPr>
      </w:pPr>
      <w:r>
        <w:rPr>
          <w:rFonts w:ascii="Arial" w:cs="Arial" w:eastAsia="Arial" w:hAnsi="Arial"/>
          <w:sz w:val="14"/>
          <w:szCs w:val="14"/>
          <w:color w:val="auto"/>
        </w:rPr>
        <w:t>Morrow</w:t>
      </w:r>
    </w:p>
    <w:p>
      <w:pPr>
        <w:spacing w:after="0" w:line="222" w:lineRule="auto"/>
        <w:rPr>
          <w:sz w:val="20"/>
          <w:szCs w:val="20"/>
          <w:color w:val="auto"/>
        </w:rPr>
      </w:pPr>
      <w:r>
        <w:rPr>
          <w:rFonts w:ascii="Arial" w:cs="Arial" w:eastAsia="Arial" w:hAnsi="Arial"/>
          <w:sz w:val="14"/>
          <w:szCs w:val="14"/>
          <w:color w:val="auto"/>
        </w:rPr>
        <w:t>Savannah</w:t>
      </w:r>
    </w:p>
    <w:p>
      <w:pPr>
        <w:spacing w:after="0" w:line="221" w:lineRule="auto"/>
        <w:rPr>
          <w:sz w:val="20"/>
          <w:szCs w:val="20"/>
          <w:color w:val="auto"/>
        </w:rPr>
      </w:pPr>
      <w:r>
        <w:rPr>
          <w:rFonts w:ascii="Arial" w:cs="Arial" w:eastAsia="Arial" w:hAnsi="Arial"/>
          <w:sz w:val="14"/>
          <w:szCs w:val="14"/>
          <w:color w:val="auto"/>
        </w:rPr>
        <w:t>Smyrna</w:t>
      </w:r>
    </w:p>
    <w:p>
      <w:pPr>
        <w:spacing w:after="0"/>
        <w:rPr>
          <w:sz w:val="20"/>
          <w:szCs w:val="20"/>
          <w:color w:val="auto"/>
        </w:rPr>
      </w:pPr>
      <w:r>
        <w:rPr>
          <w:rFonts w:ascii="Arial" w:cs="Arial" w:eastAsia="Arial" w:hAnsi="Arial"/>
          <w:sz w:val="14"/>
          <w:szCs w:val="14"/>
          <w:color w:val="auto"/>
        </w:rPr>
        <w:t>Stone Mountain</w:t>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4"/>
          <w:szCs w:val="14"/>
          <w:b w:val="1"/>
          <w:bCs w:val="1"/>
          <w:i w:val="1"/>
          <w:iCs w:val="1"/>
          <w:color w:val="auto"/>
        </w:rPr>
        <w:t>Illinois</w:t>
      </w:r>
    </w:p>
    <w:p>
      <w:pPr>
        <w:spacing w:after="0" w:line="221" w:lineRule="auto"/>
        <w:rPr>
          <w:sz w:val="20"/>
          <w:szCs w:val="20"/>
          <w:color w:val="auto"/>
        </w:rPr>
      </w:pPr>
      <w:r>
        <w:rPr>
          <w:rFonts w:ascii="Arial" w:cs="Arial" w:eastAsia="Arial" w:hAnsi="Arial"/>
          <w:sz w:val="14"/>
          <w:szCs w:val="14"/>
          <w:color w:val="auto"/>
        </w:rPr>
        <w:t>Bloomingdale</w:t>
      </w:r>
    </w:p>
    <w:p>
      <w:pPr>
        <w:spacing w:after="0" w:line="221" w:lineRule="auto"/>
        <w:rPr>
          <w:sz w:val="20"/>
          <w:szCs w:val="20"/>
          <w:color w:val="auto"/>
        </w:rPr>
      </w:pPr>
      <w:r>
        <w:rPr>
          <w:rFonts w:ascii="Arial" w:cs="Arial" w:eastAsia="Arial" w:hAnsi="Arial"/>
          <w:sz w:val="14"/>
          <w:szCs w:val="14"/>
          <w:color w:val="auto"/>
        </w:rPr>
        <w:t>Bloomington</w:t>
      </w:r>
    </w:p>
    <w:p>
      <w:pPr>
        <w:spacing w:after="0" w:line="222" w:lineRule="auto"/>
        <w:rPr>
          <w:sz w:val="20"/>
          <w:szCs w:val="20"/>
          <w:color w:val="auto"/>
        </w:rPr>
      </w:pPr>
      <w:r>
        <w:rPr>
          <w:rFonts w:ascii="Arial" w:cs="Arial" w:eastAsia="Arial" w:hAnsi="Arial"/>
          <w:sz w:val="14"/>
          <w:szCs w:val="14"/>
          <w:color w:val="auto"/>
        </w:rPr>
        <w:t>Champaign</w:t>
      </w:r>
    </w:p>
    <w:p>
      <w:pPr>
        <w:spacing w:after="0" w:line="221" w:lineRule="auto"/>
        <w:rPr>
          <w:sz w:val="20"/>
          <w:szCs w:val="20"/>
          <w:color w:val="auto"/>
        </w:rPr>
      </w:pPr>
      <w:r>
        <w:rPr>
          <w:rFonts w:ascii="Arial" w:cs="Arial" w:eastAsia="Arial" w:hAnsi="Arial"/>
          <w:sz w:val="14"/>
          <w:szCs w:val="14"/>
          <w:color w:val="auto"/>
        </w:rPr>
        <w:t>Chicago (3)</w:t>
      </w:r>
    </w:p>
    <w:p>
      <w:pPr>
        <w:spacing w:after="0" w:line="222" w:lineRule="auto"/>
        <w:rPr>
          <w:sz w:val="20"/>
          <w:szCs w:val="20"/>
          <w:color w:val="auto"/>
        </w:rPr>
      </w:pPr>
      <w:r>
        <w:rPr>
          <w:rFonts w:ascii="Arial" w:cs="Arial" w:eastAsia="Arial" w:hAnsi="Arial"/>
          <w:sz w:val="14"/>
          <w:szCs w:val="14"/>
          <w:color w:val="auto"/>
        </w:rPr>
        <w:t>Evergreen Park</w:t>
      </w:r>
    </w:p>
    <w:p>
      <w:pPr>
        <w:spacing w:after="0" w:line="221" w:lineRule="auto"/>
        <w:rPr>
          <w:sz w:val="20"/>
          <w:szCs w:val="20"/>
          <w:color w:val="auto"/>
        </w:rPr>
      </w:pPr>
      <w:r>
        <w:rPr>
          <w:rFonts w:ascii="Arial" w:cs="Arial" w:eastAsia="Arial" w:hAnsi="Arial"/>
          <w:sz w:val="14"/>
          <w:szCs w:val="14"/>
          <w:color w:val="auto"/>
        </w:rPr>
        <w:t>Fairview Heights</w:t>
      </w:r>
    </w:p>
    <w:p>
      <w:pPr>
        <w:spacing w:after="0" w:line="222" w:lineRule="auto"/>
        <w:rPr>
          <w:sz w:val="20"/>
          <w:szCs w:val="20"/>
          <w:color w:val="auto"/>
        </w:rPr>
      </w:pPr>
      <w:r>
        <w:rPr>
          <w:rFonts w:ascii="Arial" w:cs="Arial" w:eastAsia="Arial" w:hAnsi="Arial"/>
          <w:sz w:val="14"/>
          <w:szCs w:val="14"/>
          <w:color w:val="auto"/>
        </w:rPr>
        <w:t>Gurnee*</w:t>
      </w:r>
    </w:p>
    <w:p>
      <w:pPr>
        <w:spacing w:after="0" w:line="221" w:lineRule="auto"/>
        <w:rPr>
          <w:sz w:val="20"/>
          <w:szCs w:val="20"/>
          <w:color w:val="auto"/>
        </w:rPr>
      </w:pPr>
      <w:r>
        <w:rPr>
          <w:rFonts w:ascii="Arial" w:cs="Arial" w:eastAsia="Arial" w:hAnsi="Arial"/>
          <w:sz w:val="14"/>
          <w:szCs w:val="14"/>
          <w:color w:val="auto"/>
        </w:rPr>
        <w:t>Harwood Heights</w:t>
      </w:r>
    </w:p>
    <w:p>
      <w:pPr>
        <w:spacing w:after="0" w:line="222" w:lineRule="auto"/>
        <w:rPr>
          <w:sz w:val="20"/>
          <w:szCs w:val="20"/>
          <w:color w:val="auto"/>
        </w:rPr>
      </w:pPr>
      <w:r>
        <w:rPr>
          <w:rFonts w:ascii="Arial" w:cs="Arial" w:eastAsia="Arial" w:hAnsi="Arial"/>
          <w:sz w:val="14"/>
          <w:szCs w:val="14"/>
          <w:color w:val="auto"/>
        </w:rPr>
        <w:t>Hodgkins</w:t>
      </w:r>
    </w:p>
    <w:p>
      <w:pPr>
        <w:spacing w:after="0" w:line="221" w:lineRule="auto"/>
        <w:rPr>
          <w:sz w:val="20"/>
          <w:szCs w:val="20"/>
          <w:color w:val="auto"/>
        </w:rPr>
      </w:pPr>
      <w:r>
        <w:rPr>
          <w:rFonts w:ascii="Arial" w:cs="Arial" w:eastAsia="Arial" w:hAnsi="Arial"/>
          <w:sz w:val="14"/>
          <w:szCs w:val="14"/>
          <w:color w:val="auto"/>
        </w:rPr>
        <w:t>Hometown</w:t>
      </w:r>
    </w:p>
    <w:p>
      <w:pPr>
        <w:spacing w:after="0" w:line="222" w:lineRule="auto"/>
        <w:rPr>
          <w:sz w:val="20"/>
          <w:szCs w:val="20"/>
          <w:color w:val="auto"/>
        </w:rPr>
      </w:pPr>
      <w:r>
        <w:rPr>
          <w:rFonts w:ascii="Arial" w:cs="Arial" w:eastAsia="Arial" w:hAnsi="Arial"/>
          <w:sz w:val="14"/>
          <w:szCs w:val="14"/>
          <w:color w:val="auto"/>
        </w:rPr>
        <w:t>Joliet</w:t>
      </w:r>
    </w:p>
    <w:p>
      <w:pPr>
        <w:spacing w:after="0" w:line="221" w:lineRule="auto"/>
        <w:rPr>
          <w:sz w:val="20"/>
          <w:szCs w:val="20"/>
          <w:color w:val="auto"/>
        </w:rPr>
      </w:pPr>
      <w:r>
        <w:rPr>
          <w:rFonts w:ascii="Arial" w:cs="Arial" w:eastAsia="Arial" w:hAnsi="Arial"/>
          <w:sz w:val="14"/>
          <w:szCs w:val="14"/>
          <w:color w:val="auto"/>
        </w:rPr>
        <w:t>Lansing</w:t>
      </w:r>
    </w:p>
    <w:p>
      <w:pPr>
        <w:spacing w:after="0" w:line="221" w:lineRule="auto"/>
        <w:rPr>
          <w:sz w:val="20"/>
          <w:szCs w:val="20"/>
          <w:color w:val="auto"/>
        </w:rPr>
      </w:pPr>
      <w:r>
        <w:rPr>
          <w:rFonts w:ascii="Arial" w:cs="Arial" w:eastAsia="Arial" w:hAnsi="Arial"/>
          <w:sz w:val="14"/>
          <w:szCs w:val="14"/>
          <w:color w:val="auto"/>
        </w:rPr>
        <w:t>Matteson</w:t>
      </w:r>
    </w:p>
    <w:p>
      <w:pPr>
        <w:spacing w:after="0" w:line="222" w:lineRule="auto"/>
        <w:rPr>
          <w:sz w:val="20"/>
          <w:szCs w:val="20"/>
          <w:color w:val="auto"/>
        </w:rPr>
      </w:pPr>
      <w:r>
        <w:rPr>
          <w:rFonts w:ascii="Arial" w:cs="Arial" w:eastAsia="Arial" w:hAnsi="Arial"/>
          <w:sz w:val="14"/>
          <w:szCs w:val="14"/>
          <w:color w:val="auto"/>
        </w:rPr>
        <w:t>Melrose Park</w:t>
      </w:r>
    </w:p>
    <w:p>
      <w:pPr>
        <w:spacing w:after="0" w:line="221" w:lineRule="auto"/>
        <w:rPr>
          <w:sz w:val="20"/>
          <w:szCs w:val="20"/>
          <w:color w:val="auto"/>
        </w:rPr>
      </w:pPr>
      <w:r>
        <w:rPr>
          <w:rFonts w:ascii="Arial" w:cs="Arial" w:eastAsia="Arial" w:hAnsi="Arial"/>
          <w:sz w:val="14"/>
          <w:szCs w:val="14"/>
          <w:color w:val="auto"/>
        </w:rPr>
        <w:t>Naperville</w:t>
      </w:r>
    </w:p>
    <w:p>
      <w:pPr>
        <w:spacing w:after="0" w:line="222" w:lineRule="auto"/>
        <w:rPr>
          <w:sz w:val="20"/>
          <w:szCs w:val="20"/>
          <w:color w:val="auto"/>
        </w:rPr>
      </w:pPr>
      <w:r>
        <w:rPr>
          <w:rFonts w:ascii="Arial" w:cs="Arial" w:eastAsia="Arial" w:hAnsi="Arial"/>
          <w:sz w:val="14"/>
          <w:szCs w:val="14"/>
          <w:color w:val="auto"/>
        </w:rPr>
        <w:t>Niles</w:t>
      </w:r>
    </w:p>
    <w:p>
      <w:pPr>
        <w:spacing w:after="0" w:line="221" w:lineRule="auto"/>
        <w:rPr>
          <w:sz w:val="20"/>
          <w:szCs w:val="20"/>
          <w:color w:val="auto"/>
        </w:rPr>
      </w:pPr>
      <w:r>
        <w:rPr>
          <w:rFonts w:ascii="Arial" w:cs="Arial" w:eastAsia="Arial" w:hAnsi="Arial"/>
          <w:sz w:val="14"/>
          <w:szCs w:val="14"/>
          <w:color w:val="auto"/>
        </w:rPr>
        <w:t>North Riverside</w:t>
      </w:r>
    </w:p>
    <w:p>
      <w:pPr>
        <w:spacing w:after="0" w:line="222" w:lineRule="auto"/>
        <w:rPr>
          <w:sz w:val="20"/>
          <w:szCs w:val="20"/>
          <w:color w:val="auto"/>
        </w:rPr>
      </w:pPr>
      <w:r>
        <w:rPr>
          <w:rFonts w:ascii="Arial" w:cs="Arial" w:eastAsia="Arial" w:hAnsi="Arial"/>
          <w:sz w:val="14"/>
          <w:szCs w:val="14"/>
          <w:color w:val="auto"/>
        </w:rPr>
        <w:t>Oakbrook Terrace</w:t>
      </w:r>
    </w:p>
    <w:p>
      <w:pPr>
        <w:spacing w:after="0" w:line="221" w:lineRule="auto"/>
        <w:rPr>
          <w:sz w:val="20"/>
          <w:szCs w:val="20"/>
          <w:color w:val="auto"/>
        </w:rPr>
      </w:pPr>
      <w:r>
        <w:rPr>
          <w:rFonts w:ascii="Arial" w:cs="Arial" w:eastAsia="Arial" w:hAnsi="Arial"/>
          <w:sz w:val="14"/>
          <w:szCs w:val="14"/>
          <w:color w:val="auto"/>
        </w:rPr>
        <w:t>Orland Park</w:t>
      </w:r>
    </w:p>
    <w:p>
      <w:pPr>
        <w:spacing w:after="0" w:line="222" w:lineRule="auto"/>
        <w:rPr>
          <w:sz w:val="20"/>
          <w:szCs w:val="20"/>
          <w:color w:val="auto"/>
        </w:rPr>
      </w:pPr>
      <w:r>
        <w:rPr>
          <w:rFonts w:ascii="Arial" w:cs="Arial" w:eastAsia="Arial" w:hAnsi="Arial"/>
          <w:sz w:val="14"/>
          <w:szCs w:val="14"/>
          <w:color w:val="auto"/>
        </w:rPr>
        <w:t>Peoria</w:t>
      </w:r>
    </w:p>
    <w:p>
      <w:pPr>
        <w:spacing w:after="0" w:line="221" w:lineRule="auto"/>
        <w:rPr>
          <w:sz w:val="20"/>
          <w:szCs w:val="20"/>
          <w:color w:val="auto"/>
        </w:rPr>
      </w:pPr>
      <w:r>
        <w:rPr>
          <w:rFonts w:ascii="Arial" w:cs="Arial" w:eastAsia="Arial" w:hAnsi="Arial"/>
          <w:sz w:val="14"/>
          <w:szCs w:val="14"/>
          <w:color w:val="auto"/>
        </w:rPr>
        <w:t>Rockford</w:t>
      </w:r>
    </w:p>
    <w:p>
      <w:pPr>
        <w:spacing w:after="0" w:line="222" w:lineRule="auto"/>
        <w:rPr>
          <w:sz w:val="20"/>
          <w:szCs w:val="20"/>
          <w:color w:val="auto"/>
        </w:rPr>
      </w:pPr>
      <w:r>
        <w:rPr>
          <w:rFonts w:ascii="Arial" w:cs="Arial" w:eastAsia="Arial" w:hAnsi="Arial"/>
          <w:sz w:val="14"/>
          <w:szCs w:val="14"/>
          <w:color w:val="auto"/>
        </w:rPr>
        <w:t>Schaumburg</w:t>
      </w:r>
    </w:p>
    <w:p>
      <w:pPr>
        <w:spacing w:after="0" w:line="221" w:lineRule="auto"/>
        <w:rPr>
          <w:sz w:val="20"/>
          <w:szCs w:val="20"/>
          <w:color w:val="auto"/>
        </w:rPr>
      </w:pPr>
      <w:r>
        <w:rPr>
          <w:rFonts w:ascii="Arial" w:cs="Arial" w:eastAsia="Arial" w:hAnsi="Arial"/>
          <w:sz w:val="14"/>
          <w:szCs w:val="14"/>
          <w:color w:val="auto"/>
        </w:rPr>
        <w:t>Skokie</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St. Charles</w:t>
      </w:r>
    </w:p>
    <w:p>
      <w:pPr>
        <w:spacing w:after="0"/>
        <w:rPr>
          <w:sz w:val="20"/>
          <w:szCs w:val="20"/>
          <w:color w:val="auto"/>
        </w:rPr>
      </w:pPr>
      <w:r>
        <w:rPr>
          <w:rFonts w:ascii="Arial" w:cs="Arial" w:eastAsia="Arial" w:hAnsi="Arial"/>
          <w:sz w:val="14"/>
          <w:szCs w:val="14"/>
          <w:color w:val="auto"/>
        </w:rPr>
        <w:t>Vernon Hills</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Indiana</w:t>
      </w:r>
    </w:p>
    <w:p>
      <w:pPr>
        <w:spacing w:after="0" w:line="221" w:lineRule="auto"/>
        <w:rPr>
          <w:sz w:val="20"/>
          <w:szCs w:val="20"/>
          <w:color w:val="auto"/>
        </w:rPr>
      </w:pPr>
      <w:r>
        <w:rPr>
          <w:rFonts w:ascii="Arial" w:cs="Arial" w:eastAsia="Arial" w:hAnsi="Arial"/>
          <w:sz w:val="14"/>
          <w:szCs w:val="14"/>
          <w:color w:val="auto"/>
        </w:rPr>
        <w:t>Edinburgh*</w:t>
      </w:r>
    </w:p>
    <w:p>
      <w:pPr>
        <w:spacing w:after="0" w:line="221" w:lineRule="auto"/>
        <w:rPr>
          <w:sz w:val="20"/>
          <w:szCs w:val="20"/>
          <w:color w:val="auto"/>
        </w:rPr>
      </w:pPr>
      <w:r>
        <w:rPr>
          <w:rFonts w:ascii="Arial" w:cs="Arial" w:eastAsia="Arial" w:hAnsi="Arial"/>
          <w:sz w:val="14"/>
          <w:szCs w:val="14"/>
          <w:color w:val="auto"/>
        </w:rPr>
        <w:t>Evansville</w:t>
      </w:r>
    </w:p>
    <w:p>
      <w:pPr>
        <w:spacing w:after="0" w:line="222" w:lineRule="auto"/>
        <w:rPr>
          <w:sz w:val="20"/>
          <w:szCs w:val="20"/>
          <w:color w:val="auto"/>
        </w:rPr>
      </w:pPr>
      <w:r>
        <w:rPr>
          <w:rFonts w:ascii="Arial" w:cs="Arial" w:eastAsia="Arial" w:hAnsi="Arial"/>
          <w:sz w:val="14"/>
          <w:szCs w:val="14"/>
          <w:color w:val="auto"/>
        </w:rPr>
        <w:t>Fort Wayne</w:t>
      </w:r>
    </w:p>
    <w:p>
      <w:pPr>
        <w:spacing w:after="0" w:line="221" w:lineRule="auto"/>
        <w:rPr>
          <w:sz w:val="20"/>
          <w:szCs w:val="20"/>
          <w:color w:val="auto"/>
        </w:rPr>
      </w:pPr>
      <w:r>
        <w:rPr>
          <w:rFonts w:ascii="Arial" w:cs="Arial" w:eastAsia="Arial" w:hAnsi="Arial"/>
          <w:sz w:val="14"/>
          <w:szCs w:val="14"/>
          <w:color w:val="auto"/>
        </w:rPr>
        <w:t>Greenwood</w:t>
      </w:r>
    </w:p>
    <w:p>
      <w:pPr>
        <w:spacing w:after="0" w:line="222" w:lineRule="auto"/>
        <w:rPr>
          <w:sz w:val="20"/>
          <w:szCs w:val="20"/>
          <w:color w:val="auto"/>
        </w:rPr>
      </w:pPr>
      <w:r>
        <w:rPr>
          <w:rFonts w:ascii="Arial" w:cs="Arial" w:eastAsia="Arial" w:hAnsi="Arial"/>
          <w:sz w:val="14"/>
          <w:szCs w:val="14"/>
          <w:color w:val="auto"/>
        </w:rPr>
        <w:t>Indianapolis (3)</w:t>
      </w:r>
    </w:p>
    <w:p>
      <w:pPr>
        <w:spacing w:after="0" w:line="221" w:lineRule="auto"/>
        <w:rPr>
          <w:sz w:val="20"/>
          <w:szCs w:val="20"/>
          <w:color w:val="auto"/>
        </w:rPr>
      </w:pPr>
      <w:r>
        <w:rPr>
          <w:rFonts w:ascii="Arial" w:cs="Arial" w:eastAsia="Arial" w:hAnsi="Arial"/>
          <w:sz w:val="14"/>
          <w:szCs w:val="14"/>
          <w:color w:val="auto"/>
        </w:rPr>
        <w:t>Lafayette</w:t>
      </w:r>
    </w:p>
    <w:p>
      <w:pPr>
        <w:spacing w:after="0" w:line="222" w:lineRule="auto"/>
        <w:rPr>
          <w:sz w:val="20"/>
          <w:szCs w:val="20"/>
          <w:color w:val="auto"/>
        </w:rPr>
      </w:pPr>
      <w:r>
        <w:rPr>
          <w:rFonts w:ascii="Arial" w:cs="Arial" w:eastAsia="Arial" w:hAnsi="Arial"/>
          <w:sz w:val="14"/>
          <w:szCs w:val="14"/>
          <w:color w:val="auto"/>
        </w:rPr>
        <w:t>Merrillville</w:t>
      </w:r>
    </w:p>
    <w:p>
      <w:pPr>
        <w:spacing w:after="0" w:line="221" w:lineRule="auto"/>
        <w:rPr>
          <w:sz w:val="20"/>
          <w:szCs w:val="20"/>
          <w:color w:val="auto"/>
        </w:rPr>
      </w:pPr>
      <w:r>
        <w:rPr>
          <w:rFonts w:ascii="Arial" w:cs="Arial" w:eastAsia="Arial" w:hAnsi="Arial"/>
          <w:sz w:val="14"/>
          <w:szCs w:val="14"/>
          <w:color w:val="auto"/>
        </w:rPr>
        <w:t>Michigan City*</w:t>
      </w:r>
    </w:p>
    <w:p>
      <w:pPr>
        <w:spacing w:after="0" w:line="222" w:lineRule="auto"/>
        <w:rPr>
          <w:sz w:val="20"/>
          <w:szCs w:val="20"/>
          <w:color w:val="auto"/>
        </w:rPr>
      </w:pPr>
      <w:r>
        <w:rPr>
          <w:rFonts w:ascii="Arial" w:cs="Arial" w:eastAsia="Arial" w:hAnsi="Arial"/>
          <w:sz w:val="14"/>
          <w:szCs w:val="14"/>
          <w:color w:val="auto"/>
        </w:rPr>
        <w:t>Mishawaka</w:t>
      </w:r>
    </w:p>
    <w:p>
      <w:pPr>
        <w:spacing w:after="0"/>
        <w:rPr>
          <w:sz w:val="20"/>
          <w:szCs w:val="20"/>
          <w:color w:val="auto"/>
        </w:rPr>
      </w:pPr>
      <w:r>
        <w:rPr>
          <w:rFonts w:ascii="Arial" w:cs="Arial" w:eastAsia="Arial" w:hAnsi="Arial"/>
          <w:sz w:val="14"/>
          <w:szCs w:val="14"/>
          <w:color w:val="auto"/>
        </w:rPr>
        <w:t>Muncie</w:t>
      </w:r>
    </w:p>
    <w:p>
      <w:pPr>
        <w:spacing w:after="0" w:line="56" w:lineRule="exact"/>
        <w:rPr>
          <w:sz w:val="20"/>
          <w:szCs w:val="20"/>
          <w:color w:val="auto"/>
        </w:rPr>
      </w:pPr>
    </w:p>
    <w:p>
      <w:pPr>
        <w:ind w:left="5580"/>
        <w:spacing w:after="0"/>
        <w:rPr>
          <w:sz w:val="20"/>
          <w:szCs w:val="20"/>
          <w:color w:val="auto"/>
        </w:rPr>
      </w:pPr>
      <w:r>
        <w:rPr>
          <w:rFonts w:ascii="Arial" w:cs="Arial" w:eastAsia="Arial" w:hAnsi="Arial"/>
          <w:sz w:val="14"/>
          <w:szCs w:val="14"/>
          <w:b w:val="1"/>
          <w:bCs w:val="1"/>
          <w:i w:val="1"/>
          <w:iCs w:val="1"/>
          <w:color w:val="auto"/>
        </w:rPr>
        <w:t>Iowa</w:t>
      </w:r>
    </w:p>
    <w:p>
      <w:pPr>
        <w:spacing w:after="0" w:line="221" w:lineRule="auto"/>
        <w:rPr>
          <w:sz w:val="20"/>
          <w:szCs w:val="20"/>
          <w:color w:val="auto"/>
        </w:rPr>
      </w:pPr>
      <w:r>
        <w:rPr>
          <w:rFonts w:ascii="Arial" w:cs="Arial" w:eastAsia="Arial" w:hAnsi="Arial"/>
          <w:sz w:val="14"/>
          <w:szCs w:val="14"/>
          <w:color w:val="auto"/>
        </w:rPr>
        <w:t>Davenport</w:t>
      </w:r>
    </w:p>
    <w:p>
      <w:pPr>
        <w:spacing w:after="0" w:line="221" w:lineRule="auto"/>
        <w:rPr>
          <w:sz w:val="20"/>
          <w:szCs w:val="20"/>
          <w:color w:val="auto"/>
        </w:rPr>
      </w:pPr>
      <w:r>
        <w:rPr>
          <w:rFonts w:ascii="Arial" w:cs="Arial" w:eastAsia="Arial" w:hAnsi="Arial"/>
          <w:sz w:val="14"/>
          <w:szCs w:val="14"/>
          <w:color w:val="auto"/>
        </w:rPr>
        <w:t>Marion</w:t>
      </w:r>
    </w:p>
    <w:p>
      <w:pPr>
        <w:spacing w:after="0"/>
        <w:rPr>
          <w:sz w:val="20"/>
          <w:szCs w:val="20"/>
          <w:color w:val="auto"/>
        </w:rPr>
      </w:pPr>
      <w:r>
        <w:rPr>
          <w:rFonts w:ascii="Arial" w:cs="Arial" w:eastAsia="Arial" w:hAnsi="Arial"/>
          <w:sz w:val="14"/>
          <w:szCs w:val="14"/>
          <w:color w:val="auto"/>
        </w:rPr>
        <w:t>Williamsburg*</w:t>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4"/>
          <w:szCs w:val="14"/>
          <w:b w:val="1"/>
          <w:bCs w:val="1"/>
          <w:i w:val="1"/>
          <w:iCs w:val="1"/>
          <w:color w:val="auto"/>
        </w:rPr>
        <w:t>Kansas</w:t>
      </w:r>
    </w:p>
    <w:p>
      <w:pPr>
        <w:spacing w:after="0" w:line="221" w:lineRule="auto"/>
        <w:rPr>
          <w:sz w:val="20"/>
          <w:szCs w:val="20"/>
          <w:color w:val="auto"/>
        </w:rPr>
      </w:pPr>
      <w:r>
        <w:rPr>
          <w:rFonts w:ascii="Arial" w:cs="Arial" w:eastAsia="Arial" w:hAnsi="Arial"/>
          <w:sz w:val="14"/>
          <w:szCs w:val="14"/>
          <w:color w:val="auto"/>
        </w:rPr>
        <w:t>Olathe*</w:t>
      </w:r>
    </w:p>
    <w:p>
      <w:pPr>
        <w:spacing w:after="0" w:line="221" w:lineRule="auto"/>
        <w:rPr>
          <w:sz w:val="20"/>
          <w:szCs w:val="20"/>
          <w:color w:val="auto"/>
        </w:rPr>
      </w:pPr>
      <w:r>
        <w:rPr>
          <w:rFonts w:ascii="Arial" w:cs="Arial" w:eastAsia="Arial" w:hAnsi="Arial"/>
          <w:sz w:val="14"/>
          <w:szCs w:val="14"/>
          <w:color w:val="auto"/>
        </w:rPr>
        <w:t>Overland Park</w:t>
      </w:r>
    </w:p>
    <w:p>
      <w:pPr>
        <w:spacing w:after="0" w:line="222" w:lineRule="auto"/>
        <w:rPr>
          <w:sz w:val="20"/>
          <w:szCs w:val="20"/>
          <w:color w:val="auto"/>
        </w:rPr>
      </w:pPr>
      <w:r>
        <w:rPr>
          <w:rFonts w:ascii="Arial" w:cs="Arial" w:eastAsia="Arial" w:hAnsi="Arial"/>
          <w:sz w:val="14"/>
          <w:szCs w:val="14"/>
          <w:color w:val="auto"/>
        </w:rPr>
        <w:t>Topeka</w:t>
      </w:r>
    </w:p>
    <w:p>
      <w:pPr>
        <w:spacing w:after="0"/>
        <w:rPr>
          <w:sz w:val="20"/>
          <w:szCs w:val="20"/>
          <w:color w:val="auto"/>
        </w:rPr>
      </w:pPr>
      <w:r>
        <w:rPr>
          <w:rFonts w:ascii="Arial" w:cs="Arial" w:eastAsia="Arial" w:hAnsi="Arial"/>
          <w:sz w:val="14"/>
          <w:szCs w:val="14"/>
          <w:color w:val="auto"/>
        </w:rPr>
        <w:t>Wichita</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Kentucky</w:t>
      </w:r>
    </w:p>
    <w:p>
      <w:pPr>
        <w:spacing w:after="0" w:line="221" w:lineRule="auto"/>
        <w:rPr>
          <w:sz w:val="20"/>
          <w:szCs w:val="20"/>
          <w:color w:val="auto"/>
        </w:rPr>
      </w:pPr>
      <w:r>
        <w:rPr>
          <w:rFonts w:ascii="Arial" w:cs="Arial" w:eastAsia="Arial" w:hAnsi="Arial"/>
          <w:sz w:val="14"/>
          <w:szCs w:val="14"/>
          <w:color w:val="auto"/>
        </w:rPr>
        <w:t>Bowling Green</w:t>
      </w:r>
    </w:p>
    <w:p>
      <w:pPr>
        <w:spacing w:after="0" w:line="221" w:lineRule="auto"/>
        <w:rPr>
          <w:sz w:val="20"/>
          <w:szCs w:val="20"/>
          <w:color w:val="auto"/>
        </w:rPr>
      </w:pPr>
      <w:r>
        <w:rPr>
          <w:rFonts w:ascii="Arial" w:cs="Arial" w:eastAsia="Arial" w:hAnsi="Arial"/>
          <w:sz w:val="14"/>
          <w:szCs w:val="14"/>
          <w:color w:val="auto"/>
        </w:rPr>
        <w:t>Florence</w:t>
      </w:r>
    </w:p>
    <w:p>
      <w:pPr>
        <w:spacing w:after="0" w:line="222" w:lineRule="auto"/>
        <w:rPr>
          <w:sz w:val="20"/>
          <w:szCs w:val="20"/>
          <w:color w:val="auto"/>
        </w:rPr>
      </w:pPr>
      <w:r>
        <w:rPr>
          <w:rFonts w:ascii="Arial" w:cs="Arial" w:eastAsia="Arial" w:hAnsi="Arial"/>
          <w:sz w:val="14"/>
          <w:szCs w:val="14"/>
          <w:color w:val="auto"/>
        </w:rPr>
        <w:t>Lexington</w:t>
      </w:r>
    </w:p>
    <w:p>
      <w:pPr>
        <w:spacing w:after="0"/>
        <w:rPr>
          <w:sz w:val="20"/>
          <w:szCs w:val="20"/>
          <w:color w:val="auto"/>
        </w:rPr>
      </w:pPr>
      <w:r>
        <w:rPr>
          <w:rFonts w:ascii="Arial" w:cs="Arial" w:eastAsia="Arial" w:hAnsi="Arial"/>
          <w:sz w:val="14"/>
          <w:szCs w:val="14"/>
          <w:color w:val="auto"/>
        </w:rPr>
        <w:t>Louisville (2)</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Louisiana</w:t>
      </w:r>
    </w:p>
    <w:p>
      <w:pPr>
        <w:spacing w:after="0" w:line="221" w:lineRule="auto"/>
        <w:rPr>
          <w:sz w:val="20"/>
          <w:szCs w:val="20"/>
          <w:color w:val="auto"/>
        </w:rPr>
      </w:pPr>
      <w:r>
        <w:rPr>
          <w:rFonts w:ascii="Arial" w:cs="Arial" w:eastAsia="Arial" w:hAnsi="Arial"/>
          <w:sz w:val="14"/>
          <w:szCs w:val="14"/>
          <w:color w:val="auto"/>
        </w:rPr>
        <w:t>Baton Rouge</w:t>
      </w:r>
    </w:p>
    <w:p>
      <w:pPr>
        <w:spacing w:after="0" w:line="221" w:lineRule="auto"/>
        <w:rPr>
          <w:sz w:val="20"/>
          <w:szCs w:val="20"/>
          <w:color w:val="auto"/>
        </w:rPr>
      </w:pPr>
      <w:r>
        <w:rPr>
          <w:rFonts w:ascii="Arial" w:cs="Arial" w:eastAsia="Arial" w:hAnsi="Arial"/>
          <w:sz w:val="14"/>
          <w:szCs w:val="14"/>
          <w:color w:val="auto"/>
        </w:rPr>
        <w:t>Bossier City*</w:t>
      </w:r>
    </w:p>
    <w:p>
      <w:pPr>
        <w:spacing w:after="0" w:line="222" w:lineRule="auto"/>
        <w:rPr>
          <w:sz w:val="20"/>
          <w:szCs w:val="20"/>
          <w:color w:val="auto"/>
        </w:rPr>
      </w:pPr>
      <w:r>
        <w:rPr>
          <w:rFonts w:ascii="Arial" w:cs="Arial" w:eastAsia="Arial" w:hAnsi="Arial"/>
          <w:sz w:val="14"/>
          <w:szCs w:val="14"/>
          <w:color w:val="auto"/>
        </w:rPr>
        <w:t>Gonzales*</w:t>
      </w:r>
    </w:p>
    <w:p>
      <w:pPr>
        <w:spacing w:after="0" w:line="221" w:lineRule="auto"/>
        <w:rPr>
          <w:sz w:val="20"/>
          <w:szCs w:val="20"/>
          <w:color w:val="auto"/>
        </w:rPr>
      </w:pPr>
      <w:r>
        <w:rPr>
          <w:rFonts w:ascii="Arial" w:cs="Arial" w:eastAsia="Arial" w:hAnsi="Arial"/>
          <w:sz w:val="14"/>
          <w:szCs w:val="14"/>
          <w:color w:val="auto"/>
        </w:rPr>
        <w:t>Lafayette</w:t>
      </w:r>
    </w:p>
    <w:p>
      <w:pPr>
        <w:spacing w:after="0"/>
        <w:rPr>
          <w:sz w:val="20"/>
          <w:szCs w:val="20"/>
          <w:color w:val="auto"/>
        </w:rPr>
      </w:pPr>
      <w:r>
        <w:rPr>
          <w:rFonts w:ascii="Arial" w:cs="Arial" w:eastAsia="Arial" w:hAnsi="Arial"/>
          <w:sz w:val="14"/>
          <w:szCs w:val="14"/>
          <w:color w:val="auto"/>
        </w:rPr>
        <w:t>Metairie</w:t>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Maine</w:t>
      </w:r>
    </w:p>
    <w:p>
      <w:pPr>
        <w:spacing w:after="0" w:line="221" w:lineRule="auto"/>
        <w:rPr>
          <w:sz w:val="20"/>
          <w:szCs w:val="20"/>
          <w:color w:val="auto"/>
        </w:rPr>
      </w:pPr>
      <w:r>
        <w:rPr>
          <w:rFonts w:ascii="Arial" w:cs="Arial" w:eastAsia="Arial" w:hAnsi="Arial"/>
          <w:sz w:val="14"/>
          <w:szCs w:val="14"/>
          <w:color w:val="auto"/>
        </w:rPr>
        <w:t>Bangor</w:t>
      </w:r>
    </w:p>
    <w:p>
      <w:pPr>
        <w:spacing w:after="0" w:line="221" w:lineRule="auto"/>
        <w:rPr>
          <w:sz w:val="20"/>
          <w:szCs w:val="20"/>
          <w:color w:val="auto"/>
        </w:rPr>
      </w:pPr>
      <w:r>
        <w:rPr>
          <w:rFonts w:ascii="Arial" w:cs="Arial" w:eastAsia="Arial" w:hAnsi="Arial"/>
          <w:sz w:val="14"/>
          <w:szCs w:val="14"/>
          <w:color w:val="auto"/>
        </w:rPr>
        <w:t>Kittery*</w:t>
      </w:r>
    </w:p>
    <w:p>
      <w:pPr>
        <w:spacing w:after="0"/>
        <w:rPr>
          <w:sz w:val="20"/>
          <w:szCs w:val="20"/>
          <w:color w:val="auto"/>
        </w:rPr>
      </w:pPr>
      <w:r>
        <w:rPr>
          <w:rFonts w:ascii="Arial" w:cs="Arial" w:eastAsia="Arial" w:hAnsi="Arial"/>
          <w:sz w:val="14"/>
          <w:szCs w:val="14"/>
          <w:color w:val="auto"/>
        </w:rPr>
        <w:t>South Portland</w:t>
      </w:r>
    </w:p>
    <w:p>
      <w:pPr>
        <w:sectPr>
          <w:pgSz w:w="11900" w:h="16838" w:orient="portrait"/>
          <w:cols w:equalWidth="0" w:num="1">
            <w:col w:w="10219"/>
          </w:cols>
          <w:pgMar w:left="240" w:top="128" w:right="1440" w:bottom="0" w:gutter="0" w:footer="0" w:header="0"/>
        </w:sectPr>
      </w:pPr>
    </w:p>
    <w:p>
      <w:pPr>
        <w:spacing w:after="0" w:line="57" w:lineRule="exact"/>
        <w:rPr>
          <w:sz w:val="20"/>
          <w:szCs w:val="20"/>
          <w:color w:val="auto"/>
        </w:rPr>
      </w:pPr>
    </w:p>
    <w:p>
      <w:pPr>
        <w:ind w:left="5440"/>
        <w:spacing w:after="0"/>
        <w:rPr>
          <w:sz w:val="20"/>
          <w:szCs w:val="20"/>
          <w:color w:val="auto"/>
        </w:rPr>
      </w:pPr>
      <w:r>
        <w:rPr>
          <w:rFonts w:ascii="Arial" w:cs="Arial" w:eastAsia="Arial" w:hAnsi="Arial"/>
          <w:sz w:val="12"/>
          <w:szCs w:val="12"/>
          <w:b w:val="1"/>
          <w:bCs w:val="1"/>
          <w:i w:val="1"/>
          <w:iCs w:val="1"/>
          <w:color w:val="auto"/>
        </w:rPr>
        <w:t>Maryland</w:t>
      </w:r>
    </w:p>
    <w:p>
      <w:pPr>
        <w:sectPr>
          <w:pgSz w:w="11900" w:h="16838" w:orient="portrait"/>
          <w:cols w:equalWidth="0" w:num="1">
            <w:col w:w="10219"/>
          </w:cols>
          <w:pgMar w:left="240" w:top="128" w:right="144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auto"/>
        </w:rPr>
        <w:t>Annapolis</w:t>
      </w:r>
    </w:p>
    <w:p>
      <w:pPr>
        <w:spacing w:after="0" w:line="221" w:lineRule="auto"/>
        <w:rPr>
          <w:sz w:val="20"/>
          <w:szCs w:val="20"/>
          <w:color w:val="auto"/>
        </w:rPr>
      </w:pPr>
      <w:r>
        <w:rPr>
          <w:rFonts w:ascii="Arial" w:cs="Arial" w:eastAsia="Arial" w:hAnsi="Arial"/>
          <w:sz w:val="14"/>
          <w:szCs w:val="14"/>
          <w:color w:val="auto"/>
        </w:rPr>
        <w:t>Baltimore (1)</w:t>
      </w:r>
    </w:p>
    <w:p>
      <w:pPr>
        <w:spacing w:after="0" w:line="221" w:lineRule="auto"/>
        <w:rPr>
          <w:sz w:val="20"/>
          <w:szCs w:val="20"/>
          <w:color w:val="auto"/>
        </w:rPr>
      </w:pPr>
      <w:r>
        <w:rPr>
          <w:rFonts w:ascii="Arial" w:cs="Arial" w:eastAsia="Arial" w:hAnsi="Arial"/>
          <w:sz w:val="14"/>
          <w:szCs w:val="14"/>
          <w:color w:val="auto"/>
        </w:rPr>
        <w:t>Columbia</w:t>
      </w:r>
    </w:p>
    <w:p>
      <w:pPr>
        <w:spacing w:after="0" w:line="222" w:lineRule="auto"/>
        <w:rPr>
          <w:sz w:val="20"/>
          <w:szCs w:val="20"/>
          <w:color w:val="auto"/>
        </w:rPr>
      </w:pPr>
      <w:r>
        <w:rPr>
          <w:rFonts w:ascii="Arial" w:cs="Arial" w:eastAsia="Arial" w:hAnsi="Arial"/>
          <w:sz w:val="14"/>
          <w:szCs w:val="14"/>
          <w:color w:val="auto"/>
        </w:rPr>
        <w:t>District Heights</w:t>
      </w:r>
    </w:p>
    <w:p>
      <w:pPr>
        <w:ind w:right="9499" w:firstLine="8"/>
        <w:spacing w:after="0" w:line="263" w:lineRule="auto"/>
        <w:tabs>
          <w:tab w:leader="none" w:pos="15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Baltimore Frederick Glen Burnie Greenbelt Hagerstown* Largo Towson Rockville Waldorf</w:t>
      </w:r>
    </w:p>
    <w:p>
      <w:pPr>
        <w:spacing w:after="0" w:line="45" w:lineRule="exact"/>
        <w:rPr>
          <w:sz w:val="20"/>
          <w:szCs w:val="20"/>
          <w:color w:val="auto"/>
        </w:rPr>
      </w:pPr>
    </w:p>
    <w:p>
      <w:pPr>
        <w:ind w:left="5300"/>
        <w:spacing w:after="0"/>
        <w:rPr>
          <w:sz w:val="20"/>
          <w:szCs w:val="20"/>
          <w:color w:val="auto"/>
        </w:rPr>
      </w:pPr>
      <w:r>
        <w:rPr>
          <w:rFonts w:ascii="Arial" w:cs="Arial" w:eastAsia="Arial" w:hAnsi="Arial"/>
          <w:sz w:val="12"/>
          <w:szCs w:val="12"/>
          <w:b w:val="1"/>
          <w:bCs w:val="1"/>
          <w:i w:val="1"/>
          <w:iCs w:val="1"/>
          <w:color w:val="auto"/>
        </w:rPr>
        <w:t>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Boston</w:t>
      </w:r>
    </w:p>
    <w:p>
      <w:pPr>
        <w:spacing w:after="0" w:line="221" w:lineRule="auto"/>
        <w:rPr>
          <w:sz w:val="20"/>
          <w:szCs w:val="20"/>
          <w:color w:val="auto"/>
        </w:rPr>
      </w:pPr>
      <w:r>
        <w:rPr>
          <w:rFonts w:ascii="Arial" w:cs="Arial" w:eastAsia="Arial" w:hAnsi="Arial"/>
          <w:sz w:val="14"/>
          <w:szCs w:val="14"/>
          <w:color w:val="auto"/>
        </w:rPr>
        <w:t>Burlington</w:t>
      </w:r>
    </w:p>
    <w:p>
      <w:pPr>
        <w:spacing w:after="0" w:line="221" w:lineRule="auto"/>
        <w:rPr>
          <w:sz w:val="20"/>
          <w:szCs w:val="20"/>
          <w:color w:val="auto"/>
        </w:rPr>
      </w:pPr>
      <w:r>
        <w:rPr>
          <w:rFonts w:ascii="Arial" w:cs="Arial" w:eastAsia="Arial" w:hAnsi="Arial"/>
          <w:sz w:val="14"/>
          <w:szCs w:val="14"/>
          <w:color w:val="auto"/>
        </w:rPr>
        <w:t>Dedham</w:t>
      </w:r>
    </w:p>
    <w:p>
      <w:pPr>
        <w:jc w:val="right"/>
        <w:ind w:right="3939"/>
        <w:spacing w:after="0" w:line="222" w:lineRule="auto"/>
        <w:rPr>
          <w:sz w:val="20"/>
          <w:szCs w:val="20"/>
          <w:color w:val="auto"/>
        </w:rPr>
      </w:pPr>
      <w:r>
        <w:rPr>
          <w:rFonts w:ascii="Arial" w:cs="Arial" w:eastAsia="Arial" w:hAnsi="Arial"/>
          <w:sz w:val="14"/>
          <w:szCs w:val="14"/>
          <w:b w:val="1"/>
          <w:bCs w:val="1"/>
          <w:i w:val="1"/>
          <w:iCs w:val="1"/>
          <w:color w:val="auto"/>
        </w:rPr>
        <w:t>Massachusetts cont.</w:t>
      </w:r>
    </w:p>
    <w:p>
      <w:pPr>
        <w:spacing w:after="0" w:line="221" w:lineRule="auto"/>
        <w:rPr>
          <w:sz w:val="20"/>
          <w:szCs w:val="20"/>
          <w:color w:val="auto"/>
        </w:rPr>
      </w:pPr>
      <w:r>
        <w:rPr>
          <w:rFonts w:ascii="Arial" w:cs="Arial" w:eastAsia="Arial" w:hAnsi="Arial"/>
          <w:sz w:val="14"/>
          <w:szCs w:val="14"/>
          <w:color w:val="auto"/>
        </w:rPr>
        <w:t>Framingham</w:t>
      </w:r>
    </w:p>
    <w:p>
      <w:pPr>
        <w:spacing w:after="0" w:line="222" w:lineRule="auto"/>
        <w:rPr>
          <w:sz w:val="20"/>
          <w:szCs w:val="20"/>
          <w:color w:val="auto"/>
        </w:rPr>
      </w:pPr>
      <w:r>
        <w:rPr>
          <w:rFonts w:ascii="Arial" w:cs="Arial" w:eastAsia="Arial" w:hAnsi="Arial"/>
          <w:sz w:val="14"/>
          <w:szCs w:val="14"/>
          <w:color w:val="auto"/>
        </w:rPr>
        <w:t>Hanover</w:t>
      </w:r>
    </w:p>
    <w:p>
      <w:pPr>
        <w:spacing w:after="0" w:line="221" w:lineRule="auto"/>
        <w:rPr>
          <w:sz w:val="20"/>
          <w:szCs w:val="20"/>
          <w:color w:val="auto"/>
        </w:rPr>
      </w:pPr>
      <w:r>
        <w:rPr>
          <w:rFonts w:ascii="Arial" w:cs="Arial" w:eastAsia="Arial" w:hAnsi="Arial"/>
          <w:sz w:val="14"/>
          <w:szCs w:val="14"/>
          <w:color w:val="auto"/>
        </w:rPr>
        <w:t>Hyannis</w:t>
      </w:r>
    </w:p>
    <w:p>
      <w:pPr>
        <w:spacing w:after="0" w:line="222" w:lineRule="auto"/>
        <w:rPr>
          <w:sz w:val="20"/>
          <w:szCs w:val="20"/>
          <w:color w:val="auto"/>
        </w:rPr>
      </w:pPr>
      <w:r>
        <w:rPr>
          <w:rFonts w:ascii="Arial" w:cs="Arial" w:eastAsia="Arial" w:hAnsi="Arial"/>
          <w:sz w:val="14"/>
          <w:szCs w:val="14"/>
          <w:color w:val="auto"/>
        </w:rPr>
        <w:t>Medford</w:t>
      </w:r>
    </w:p>
    <w:p>
      <w:pPr>
        <w:spacing w:after="0" w:line="221" w:lineRule="auto"/>
        <w:rPr>
          <w:sz w:val="20"/>
          <w:szCs w:val="20"/>
          <w:color w:val="auto"/>
        </w:rPr>
      </w:pPr>
      <w:r>
        <w:rPr>
          <w:rFonts w:ascii="Arial" w:cs="Arial" w:eastAsia="Arial" w:hAnsi="Arial"/>
          <w:sz w:val="14"/>
          <w:szCs w:val="14"/>
          <w:color w:val="auto"/>
        </w:rPr>
        <w:t>North Attleboro</w:t>
      </w:r>
    </w:p>
    <w:p>
      <w:pPr>
        <w:spacing w:after="0" w:line="222" w:lineRule="auto"/>
        <w:rPr>
          <w:sz w:val="20"/>
          <w:szCs w:val="20"/>
          <w:color w:val="auto"/>
        </w:rPr>
      </w:pPr>
      <w:r>
        <w:rPr>
          <w:rFonts w:ascii="Arial" w:cs="Arial" w:eastAsia="Arial" w:hAnsi="Arial"/>
          <w:sz w:val="14"/>
          <w:szCs w:val="14"/>
          <w:color w:val="auto"/>
        </w:rPr>
        <w:t>North Dartmouth</w:t>
      </w:r>
    </w:p>
    <w:p>
      <w:pPr>
        <w:spacing w:after="0" w:line="221" w:lineRule="auto"/>
        <w:rPr>
          <w:sz w:val="20"/>
          <w:szCs w:val="20"/>
          <w:color w:val="auto"/>
        </w:rPr>
      </w:pPr>
      <w:r>
        <w:rPr>
          <w:rFonts w:ascii="Arial" w:cs="Arial" w:eastAsia="Arial" w:hAnsi="Arial"/>
          <w:sz w:val="14"/>
          <w:szCs w:val="14"/>
          <w:color w:val="auto"/>
        </w:rPr>
        <w:t>Saugus</w:t>
      </w:r>
    </w:p>
    <w:p>
      <w:pPr>
        <w:spacing w:after="0" w:line="222" w:lineRule="auto"/>
        <w:rPr>
          <w:sz w:val="20"/>
          <w:szCs w:val="20"/>
          <w:color w:val="auto"/>
        </w:rPr>
      </w:pPr>
      <w:r>
        <w:rPr>
          <w:rFonts w:ascii="Arial" w:cs="Arial" w:eastAsia="Arial" w:hAnsi="Arial"/>
          <w:sz w:val="14"/>
          <w:szCs w:val="14"/>
          <w:color w:val="auto"/>
        </w:rPr>
        <w:t>Shrewsbury</w:t>
      </w:r>
    </w:p>
    <w:p>
      <w:pPr>
        <w:spacing w:after="0" w:line="221" w:lineRule="auto"/>
        <w:rPr>
          <w:sz w:val="20"/>
          <w:szCs w:val="20"/>
          <w:color w:val="auto"/>
        </w:rPr>
      </w:pPr>
      <w:r>
        <w:rPr>
          <w:rFonts w:ascii="Arial" w:cs="Arial" w:eastAsia="Arial" w:hAnsi="Arial"/>
          <w:sz w:val="14"/>
          <w:szCs w:val="14"/>
          <w:color w:val="auto"/>
        </w:rPr>
        <w:t>Tyngsboro</w:t>
      </w:r>
    </w:p>
    <w:p>
      <w:pPr>
        <w:spacing w:after="0" w:line="221" w:lineRule="auto"/>
        <w:rPr>
          <w:sz w:val="20"/>
          <w:szCs w:val="20"/>
          <w:color w:val="auto"/>
        </w:rPr>
      </w:pPr>
      <w:r>
        <w:rPr>
          <w:rFonts w:ascii="Arial" w:cs="Arial" w:eastAsia="Arial" w:hAnsi="Arial"/>
          <w:sz w:val="14"/>
          <w:szCs w:val="14"/>
          <w:color w:val="auto"/>
        </w:rPr>
        <w:t>West Springfield</w:t>
      </w:r>
    </w:p>
    <w:p>
      <w:pPr>
        <w:spacing w:after="0"/>
        <w:rPr>
          <w:sz w:val="20"/>
          <w:szCs w:val="20"/>
          <w:color w:val="auto"/>
        </w:rPr>
      </w:pPr>
      <w:r>
        <w:rPr>
          <w:rFonts w:ascii="Arial" w:cs="Arial" w:eastAsia="Arial" w:hAnsi="Arial"/>
          <w:sz w:val="14"/>
          <w:szCs w:val="14"/>
          <w:color w:val="auto"/>
        </w:rPr>
        <w:t>Wrentham*</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Michigan</w:t>
      </w:r>
    </w:p>
    <w:p>
      <w:pPr>
        <w:spacing w:after="0" w:line="221" w:lineRule="auto"/>
        <w:rPr>
          <w:sz w:val="20"/>
          <w:szCs w:val="20"/>
          <w:color w:val="auto"/>
        </w:rPr>
      </w:pPr>
      <w:r>
        <w:rPr>
          <w:rFonts w:ascii="Arial" w:cs="Arial" w:eastAsia="Arial" w:hAnsi="Arial"/>
          <w:sz w:val="14"/>
          <w:szCs w:val="14"/>
          <w:color w:val="auto"/>
        </w:rPr>
        <w:t>Allen Park</w:t>
      </w:r>
    </w:p>
    <w:p>
      <w:pPr>
        <w:spacing w:after="0" w:line="221" w:lineRule="auto"/>
        <w:rPr>
          <w:sz w:val="20"/>
          <w:szCs w:val="20"/>
          <w:color w:val="auto"/>
        </w:rPr>
      </w:pPr>
      <w:r>
        <w:rPr>
          <w:rFonts w:ascii="Arial" w:cs="Arial" w:eastAsia="Arial" w:hAnsi="Arial"/>
          <w:sz w:val="14"/>
          <w:szCs w:val="14"/>
          <w:color w:val="auto"/>
        </w:rPr>
        <w:t>Ann Arbor</w:t>
      </w:r>
    </w:p>
    <w:p>
      <w:pPr>
        <w:spacing w:after="0" w:line="222" w:lineRule="auto"/>
        <w:rPr>
          <w:sz w:val="20"/>
          <w:szCs w:val="20"/>
          <w:color w:val="auto"/>
        </w:rPr>
      </w:pPr>
      <w:r>
        <w:rPr>
          <w:rFonts w:ascii="Arial" w:cs="Arial" w:eastAsia="Arial" w:hAnsi="Arial"/>
          <w:sz w:val="14"/>
          <w:szCs w:val="14"/>
          <w:color w:val="auto"/>
        </w:rPr>
        <w:t>Battle Creek</w:t>
      </w:r>
    </w:p>
    <w:p>
      <w:pPr>
        <w:spacing w:after="0" w:line="221" w:lineRule="auto"/>
        <w:rPr>
          <w:sz w:val="20"/>
          <w:szCs w:val="20"/>
          <w:color w:val="auto"/>
        </w:rPr>
      </w:pPr>
      <w:r>
        <w:rPr>
          <w:rFonts w:ascii="Arial" w:cs="Arial" w:eastAsia="Arial" w:hAnsi="Arial"/>
          <w:sz w:val="14"/>
          <w:szCs w:val="14"/>
          <w:color w:val="auto"/>
        </w:rPr>
        <w:t>Birch Run*</w:t>
      </w:r>
    </w:p>
    <w:p>
      <w:pPr>
        <w:spacing w:after="0" w:line="222" w:lineRule="auto"/>
        <w:rPr>
          <w:sz w:val="20"/>
          <w:szCs w:val="20"/>
          <w:color w:val="auto"/>
        </w:rPr>
      </w:pPr>
      <w:r>
        <w:rPr>
          <w:rFonts w:ascii="Arial" w:cs="Arial" w:eastAsia="Arial" w:hAnsi="Arial"/>
          <w:sz w:val="14"/>
          <w:szCs w:val="14"/>
          <w:color w:val="auto"/>
        </w:rPr>
        <w:t>Dearborn</w:t>
      </w:r>
    </w:p>
    <w:p>
      <w:pPr>
        <w:spacing w:after="0" w:line="221" w:lineRule="auto"/>
        <w:rPr>
          <w:sz w:val="20"/>
          <w:szCs w:val="20"/>
          <w:color w:val="auto"/>
        </w:rPr>
      </w:pPr>
      <w:r>
        <w:rPr>
          <w:rFonts w:ascii="Arial" w:cs="Arial" w:eastAsia="Arial" w:hAnsi="Arial"/>
          <w:sz w:val="14"/>
          <w:szCs w:val="14"/>
          <w:color w:val="auto"/>
        </w:rPr>
        <w:t>Flint*</w:t>
      </w:r>
    </w:p>
    <w:p>
      <w:pPr>
        <w:spacing w:after="0" w:line="222" w:lineRule="auto"/>
        <w:rPr>
          <w:sz w:val="20"/>
          <w:szCs w:val="20"/>
          <w:color w:val="auto"/>
        </w:rPr>
      </w:pPr>
      <w:r>
        <w:rPr>
          <w:rFonts w:ascii="Arial" w:cs="Arial" w:eastAsia="Arial" w:hAnsi="Arial"/>
          <w:sz w:val="14"/>
          <w:szCs w:val="14"/>
          <w:color w:val="auto"/>
        </w:rPr>
        <w:t>Grand Rapids</w:t>
      </w:r>
    </w:p>
    <w:p>
      <w:pPr>
        <w:spacing w:after="0" w:line="221" w:lineRule="auto"/>
        <w:rPr>
          <w:sz w:val="20"/>
          <w:szCs w:val="20"/>
          <w:color w:val="auto"/>
        </w:rPr>
      </w:pPr>
      <w:r>
        <w:rPr>
          <w:rFonts w:ascii="Arial" w:cs="Arial" w:eastAsia="Arial" w:hAnsi="Arial"/>
          <w:sz w:val="14"/>
          <w:szCs w:val="14"/>
          <w:color w:val="auto"/>
        </w:rPr>
        <w:t>Howell*</w:t>
      </w:r>
    </w:p>
    <w:p>
      <w:pPr>
        <w:spacing w:after="0" w:line="222" w:lineRule="auto"/>
        <w:rPr>
          <w:sz w:val="20"/>
          <w:szCs w:val="20"/>
          <w:color w:val="auto"/>
        </w:rPr>
      </w:pPr>
      <w:r>
        <w:rPr>
          <w:rFonts w:ascii="Arial" w:cs="Arial" w:eastAsia="Arial" w:hAnsi="Arial"/>
          <w:sz w:val="14"/>
          <w:szCs w:val="14"/>
          <w:color w:val="auto"/>
        </w:rPr>
        <w:t>Lansing</w:t>
      </w:r>
    </w:p>
    <w:p>
      <w:pPr>
        <w:spacing w:after="0" w:line="221" w:lineRule="auto"/>
        <w:rPr>
          <w:sz w:val="20"/>
          <w:szCs w:val="20"/>
          <w:color w:val="auto"/>
        </w:rPr>
      </w:pPr>
      <w:r>
        <w:rPr>
          <w:rFonts w:ascii="Arial" w:cs="Arial" w:eastAsia="Arial" w:hAnsi="Arial"/>
          <w:sz w:val="14"/>
          <w:szCs w:val="14"/>
          <w:color w:val="auto"/>
        </w:rPr>
        <w:t>Lanthrup Village</w:t>
      </w:r>
    </w:p>
    <w:p>
      <w:pPr>
        <w:spacing w:after="0" w:line="222" w:lineRule="auto"/>
        <w:rPr>
          <w:sz w:val="20"/>
          <w:szCs w:val="20"/>
          <w:color w:val="auto"/>
        </w:rPr>
      </w:pPr>
      <w:r>
        <w:rPr>
          <w:rFonts w:ascii="Arial" w:cs="Arial" w:eastAsia="Arial" w:hAnsi="Arial"/>
          <w:sz w:val="14"/>
          <w:szCs w:val="14"/>
          <w:color w:val="auto"/>
        </w:rPr>
        <w:t>Madison Heights</w:t>
      </w:r>
    </w:p>
    <w:p>
      <w:pPr>
        <w:spacing w:after="0" w:line="221" w:lineRule="auto"/>
        <w:rPr>
          <w:sz w:val="20"/>
          <w:szCs w:val="20"/>
          <w:color w:val="auto"/>
        </w:rPr>
      </w:pPr>
      <w:r>
        <w:rPr>
          <w:rFonts w:ascii="Arial" w:cs="Arial" w:eastAsia="Arial" w:hAnsi="Arial"/>
          <w:sz w:val="14"/>
          <w:szCs w:val="14"/>
          <w:color w:val="auto"/>
        </w:rPr>
        <w:t>Monroe*</w:t>
      </w:r>
    </w:p>
    <w:p>
      <w:pPr>
        <w:spacing w:after="0" w:line="221" w:lineRule="auto"/>
        <w:rPr>
          <w:sz w:val="20"/>
          <w:szCs w:val="20"/>
          <w:color w:val="auto"/>
        </w:rPr>
      </w:pPr>
      <w:r>
        <w:rPr>
          <w:rFonts w:ascii="Arial" w:cs="Arial" w:eastAsia="Arial" w:hAnsi="Arial"/>
          <w:sz w:val="14"/>
          <w:szCs w:val="14"/>
          <w:color w:val="auto"/>
        </w:rPr>
        <w:t>Novi (Detroit)</w:t>
      </w:r>
    </w:p>
    <w:p>
      <w:pPr>
        <w:spacing w:after="0" w:line="222" w:lineRule="auto"/>
        <w:rPr>
          <w:sz w:val="20"/>
          <w:szCs w:val="20"/>
          <w:color w:val="auto"/>
        </w:rPr>
      </w:pPr>
      <w:r>
        <w:rPr>
          <w:rFonts w:ascii="Arial" w:cs="Arial" w:eastAsia="Arial" w:hAnsi="Arial"/>
          <w:sz w:val="14"/>
          <w:szCs w:val="14"/>
          <w:color w:val="auto"/>
        </w:rPr>
        <w:t>Portage</w:t>
      </w:r>
    </w:p>
    <w:p>
      <w:pPr>
        <w:spacing w:after="0" w:line="221" w:lineRule="auto"/>
        <w:rPr>
          <w:sz w:val="20"/>
          <w:szCs w:val="20"/>
          <w:color w:val="auto"/>
        </w:rPr>
      </w:pPr>
      <w:r>
        <w:rPr>
          <w:rFonts w:ascii="Arial" w:cs="Arial" w:eastAsia="Arial" w:hAnsi="Arial"/>
          <w:sz w:val="14"/>
          <w:szCs w:val="14"/>
          <w:color w:val="auto"/>
        </w:rPr>
        <w:t>Port Huron*</w:t>
      </w:r>
    </w:p>
    <w:p>
      <w:pPr>
        <w:spacing w:after="0" w:line="222" w:lineRule="auto"/>
        <w:rPr>
          <w:sz w:val="20"/>
          <w:szCs w:val="20"/>
          <w:color w:val="auto"/>
        </w:rPr>
      </w:pPr>
      <w:r>
        <w:rPr>
          <w:rFonts w:ascii="Arial" w:cs="Arial" w:eastAsia="Arial" w:hAnsi="Arial"/>
          <w:sz w:val="14"/>
          <w:szCs w:val="14"/>
          <w:color w:val="auto"/>
        </w:rPr>
        <w:t>Redford Township</w:t>
      </w:r>
    </w:p>
    <w:p>
      <w:pPr>
        <w:spacing w:after="0" w:line="221" w:lineRule="auto"/>
        <w:rPr>
          <w:sz w:val="20"/>
          <w:szCs w:val="20"/>
          <w:color w:val="auto"/>
        </w:rPr>
      </w:pPr>
      <w:r>
        <w:rPr>
          <w:rFonts w:ascii="Arial" w:cs="Arial" w:eastAsia="Arial" w:hAnsi="Arial"/>
          <w:sz w:val="14"/>
          <w:szCs w:val="14"/>
          <w:color w:val="auto"/>
        </w:rPr>
        <w:t>Roseville</w:t>
      </w:r>
    </w:p>
    <w:p>
      <w:pPr>
        <w:spacing w:after="0" w:line="222" w:lineRule="auto"/>
        <w:rPr>
          <w:sz w:val="20"/>
          <w:szCs w:val="20"/>
          <w:color w:val="auto"/>
        </w:rPr>
      </w:pPr>
      <w:r>
        <w:rPr>
          <w:rFonts w:ascii="Arial" w:cs="Arial" w:eastAsia="Arial" w:hAnsi="Arial"/>
          <w:sz w:val="14"/>
          <w:szCs w:val="14"/>
          <w:color w:val="auto"/>
        </w:rPr>
        <w:t>Saginaw</w:t>
      </w:r>
    </w:p>
    <w:p>
      <w:pPr>
        <w:spacing w:after="0" w:line="221" w:lineRule="auto"/>
        <w:rPr>
          <w:sz w:val="20"/>
          <w:szCs w:val="20"/>
          <w:color w:val="auto"/>
        </w:rPr>
      </w:pPr>
      <w:r>
        <w:rPr>
          <w:rFonts w:ascii="Arial" w:cs="Arial" w:eastAsia="Arial" w:hAnsi="Arial"/>
          <w:sz w:val="14"/>
          <w:szCs w:val="14"/>
          <w:color w:val="auto"/>
        </w:rPr>
        <w:t>Southfield</w:t>
      </w:r>
    </w:p>
    <w:p>
      <w:pPr>
        <w:spacing w:after="0" w:line="222" w:lineRule="auto"/>
        <w:rPr>
          <w:sz w:val="20"/>
          <w:szCs w:val="20"/>
          <w:color w:val="auto"/>
        </w:rPr>
      </w:pPr>
      <w:r>
        <w:rPr>
          <w:rFonts w:ascii="Arial" w:cs="Arial" w:eastAsia="Arial" w:hAnsi="Arial"/>
          <w:sz w:val="14"/>
          <w:szCs w:val="14"/>
          <w:color w:val="auto"/>
        </w:rPr>
        <w:t>Southgate</w:t>
      </w:r>
    </w:p>
    <w:p>
      <w:pPr>
        <w:spacing w:after="0" w:line="221" w:lineRule="auto"/>
        <w:rPr>
          <w:sz w:val="20"/>
          <w:szCs w:val="20"/>
          <w:color w:val="auto"/>
        </w:rPr>
      </w:pPr>
      <w:r>
        <w:rPr>
          <w:rFonts w:ascii="Arial" w:cs="Arial" w:eastAsia="Arial" w:hAnsi="Arial"/>
          <w:sz w:val="14"/>
          <w:szCs w:val="14"/>
          <w:color w:val="auto"/>
        </w:rPr>
        <w:t>Utica</w:t>
      </w:r>
    </w:p>
    <w:p>
      <w:pPr>
        <w:spacing w:after="0" w:line="222" w:lineRule="auto"/>
        <w:rPr>
          <w:sz w:val="20"/>
          <w:szCs w:val="20"/>
          <w:color w:val="auto"/>
        </w:rPr>
      </w:pPr>
      <w:r>
        <w:rPr>
          <w:rFonts w:ascii="Arial" w:cs="Arial" w:eastAsia="Arial" w:hAnsi="Arial"/>
          <w:sz w:val="14"/>
          <w:szCs w:val="14"/>
          <w:color w:val="auto"/>
        </w:rPr>
        <w:t>Warren</w:t>
      </w:r>
    </w:p>
    <w:p>
      <w:pPr>
        <w:spacing w:after="0" w:line="221" w:lineRule="auto"/>
        <w:rPr>
          <w:sz w:val="20"/>
          <w:szCs w:val="20"/>
          <w:color w:val="auto"/>
        </w:rPr>
      </w:pPr>
      <w:r>
        <w:rPr>
          <w:rFonts w:ascii="Arial" w:cs="Arial" w:eastAsia="Arial" w:hAnsi="Arial"/>
          <w:sz w:val="14"/>
          <w:szCs w:val="14"/>
          <w:color w:val="auto"/>
        </w:rPr>
        <w:t>Waterford</w:t>
      </w:r>
    </w:p>
    <w:p>
      <w:pPr>
        <w:spacing w:after="0"/>
        <w:rPr>
          <w:sz w:val="20"/>
          <w:szCs w:val="20"/>
          <w:color w:val="auto"/>
        </w:rPr>
      </w:pPr>
      <w:r>
        <w:rPr>
          <w:rFonts w:ascii="Arial" w:cs="Arial" w:eastAsia="Arial" w:hAnsi="Arial"/>
          <w:sz w:val="14"/>
          <w:szCs w:val="14"/>
          <w:color w:val="auto"/>
        </w:rPr>
        <w:t>Westland</w:t>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Minnesota</w:t>
      </w:r>
    </w:p>
    <w:p>
      <w:pPr>
        <w:spacing w:after="0" w:line="221" w:lineRule="auto"/>
        <w:rPr>
          <w:sz w:val="20"/>
          <w:szCs w:val="20"/>
          <w:color w:val="auto"/>
        </w:rPr>
      </w:pPr>
      <w:r>
        <w:rPr>
          <w:rFonts w:ascii="Arial" w:cs="Arial" w:eastAsia="Arial" w:hAnsi="Arial"/>
          <w:sz w:val="14"/>
          <w:szCs w:val="14"/>
          <w:color w:val="auto"/>
        </w:rPr>
        <w:t>Albertville*</w:t>
      </w:r>
    </w:p>
    <w:p>
      <w:pPr>
        <w:spacing w:after="0" w:line="221" w:lineRule="auto"/>
        <w:rPr>
          <w:sz w:val="20"/>
          <w:szCs w:val="20"/>
          <w:color w:val="auto"/>
        </w:rPr>
      </w:pPr>
      <w:r>
        <w:rPr>
          <w:rFonts w:ascii="Arial" w:cs="Arial" w:eastAsia="Arial" w:hAnsi="Arial"/>
          <w:sz w:val="14"/>
          <w:szCs w:val="14"/>
          <w:color w:val="auto"/>
        </w:rPr>
        <w:t>Blaine</w:t>
      </w:r>
    </w:p>
    <w:p>
      <w:pPr>
        <w:spacing w:after="0" w:line="222" w:lineRule="auto"/>
        <w:rPr>
          <w:sz w:val="20"/>
          <w:szCs w:val="20"/>
          <w:color w:val="auto"/>
        </w:rPr>
      </w:pPr>
      <w:r>
        <w:rPr>
          <w:rFonts w:ascii="Arial" w:cs="Arial" w:eastAsia="Arial" w:hAnsi="Arial"/>
          <w:sz w:val="14"/>
          <w:szCs w:val="14"/>
          <w:color w:val="auto"/>
        </w:rPr>
        <w:t>Burnsville</w:t>
      </w:r>
    </w:p>
    <w:p>
      <w:pPr>
        <w:spacing w:after="0" w:line="221" w:lineRule="auto"/>
        <w:rPr>
          <w:sz w:val="20"/>
          <w:szCs w:val="20"/>
          <w:color w:val="auto"/>
        </w:rPr>
      </w:pPr>
      <w:r>
        <w:rPr>
          <w:rFonts w:ascii="Arial" w:cs="Arial" w:eastAsia="Arial" w:hAnsi="Arial"/>
          <w:sz w:val="14"/>
          <w:szCs w:val="14"/>
          <w:color w:val="auto"/>
        </w:rPr>
        <w:t>Duluth</w:t>
      </w:r>
    </w:p>
    <w:p>
      <w:pPr>
        <w:spacing w:after="0" w:line="222" w:lineRule="auto"/>
        <w:rPr>
          <w:sz w:val="20"/>
          <w:szCs w:val="20"/>
          <w:color w:val="auto"/>
        </w:rPr>
      </w:pPr>
      <w:r>
        <w:rPr>
          <w:rFonts w:ascii="Arial" w:cs="Arial" w:eastAsia="Arial" w:hAnsi="Arial"/>
          <w:sz w:val="14"/>
          <w:szCs w:val="14"/>
          <w:color w:val="auto"/>
        </w:rPr>
        <w:t>Maplewood</w:t>
      </w:r>
    </w:p>
    <w:p>
      <w:pPr>
        <w:spacing w:after="0" w:line="221" w:lineRule="auto"/>
        <w:rPr>
          <w:sz w:val="20"/>
          <w:szCs w:val="20"/>
          <w:color w:val="auto"/>
        </w:rPr>
      </w:pPr>
      <w:r>
        <w:rPr>
          <w:rFonts w:ascii="Arial" w:cs="Arial" w:eastAsia="Arial" w:hAnsi="Arial"/>
          <w:sz w:val="14"/>
          <w:szCs w:val="14"/>
          <w:color w:val="auto"/>
        </w:rPr>
        <w:t>Richfield</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West St. Paul</w:t>
      </w:r>
    </w:p>
    <w:p>
      <w:pPr>
        <w:spacing w:after="0"/>
        <w:rPr>
          <w:sz w:val="20"/>
          <w:szCs w:val="20"/>
          <w:color w:val="auto"/>
        </w:rPr>
      </w:pPr>
      <w:r>
        <w:rPr>
          <w:rFonts w:ascii="Arial" w:cs="Arial" w:eastAsia="Arial" w:hAnsi="Arial"/>
          <w:sz w:val="14"/>
          <w:szCs w:val="14"/>
          <w:color w:val="auto"/>
        </w:rPr>
        <w:t>Woodbury</w:t>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4"/>
          <w:szCs w:val="14"/>
          <w:b w:val="1"/>
          <w:bCs w:val="1"/>
          <w:i w:val="1"/>
          <w:iCs w:val="1"/>
          <w:color w:val="auto"/>
        </w:rPr>
        <w:t>Mississippi</w:t>
      </w:r>
    </w:p>
    <w:p>
      <w:pPr>
        <w:spacing w:after="0"/>
        <w:rPr>
          <w:sz w:val="20"/>
          <w:szCs w:val="20"/>
          <w:color w:val="auto"/>
        </w:rPr>
      </w:pPr>
      <w:r>
        <w:rPr>
          <w:rFonts w:ascii="Arial" w:cs="Arial" w:eastAsia="Arial" w:hAnsi="Arial"/>
          <w:sz w:val="14"/>
          <w:szCs w:val="14"/>
          <w:color w:val="auto"/>
        </w:rPr>
        <w:t>Jackson</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Missouri</w:t>
      </w:r>
    </w:p>
    <w:p>
      <w:pPr>
        <w:spacing w:after="0" w:line="221" w:lineRule="auto"/>
        <w:rPr>
          <w:sz w:val="20"/>
          <w:szCs w:val="20"/>
          <w:color w:val="auto"/>
        </w:rPr>
      </w:pPr>
      <w:r>
        <w:rPr>
          <w:rFonts w:ascii="Arial" w:cs="Arial" w:eastAsia="Arial" w:hAnsi="Arial"/>
          <w:sz w:val="14"/>
          <w:szCs w:val="14"/>
          <w:color w:val="auto"/>
        </w:rPr>
        <w:t>Chesterfield</w:t>
      </w:r>
    </w:p>
    <w:p>
      <w:pPr>
        <w:spacing w:after="0" w:line="221" w:lineRule="auto"/>
        <w:rPr>
          <w:sz w:val="20"/>
          <w:szCs w:val="20"/>
          <w:color w:val="auto"/>
        </w:rPr>
      </w:pPr>
      <w:r>
        <w:rPr>
          <w:rFonts w:ascii="Arial" w:cs="Arial" w:eastAsia="Arial" w:hAnsi="Arial"/>
          <w:sz w:val="14"/>
          <w:szCs w:val="14"/>
          <w:color w:val="auto"/>
        </w:rPr>
        <w:t>Columbia</w:t>
      </w:r>
    </w:p>
    <w:p>
      <w:pPr>
        <w:spacing w:after="0" w:line="222" w:lineRule="auto"/>
        <w:rPr>
          <w:sz w:val="20"/>
          <w:szCs w:val="20"/>
          <w:color w:val="auto"/>
        </w:rPr>
      </w:pPr>
      <w:r>
        <w:rPr>
          <w:rFonts w:ascii="Arial" w:cs="Arial" w:eastAsia="Arial" w:hAnsi="Arial"/>
          <w:sz w:val="14"/>
          <w:szCs w:val="14"/>
          <w:color w:val="auto"/>
        </w:rPr>
        <w:t>Independence</w:t>
      </w:r>
    </w:p>
    <w:p>
      <w:pPr>
        <w:spacing w:after="0" w:line="221" w:lineRule="auto"/>
        <w:rPr>
          <w:sz w:val="20"/>
          <w:szCs w:val="20"/>
          <w:color w:val="auto"/>
        </w:rPr>
      </w:pPr>
      <w:r>
        <w:rPr>
          <w:rFonts w:ascii="Arial" w:cs="Arial" w:eastAsia="Arial" w:hAnsi="Arial"/>
          <w:sz w:val="14"/>
          <w:szCs w:val="14"/>
          <w:color w:val="auto"/>
        </w:rPr>
        <w:t>Kansas City</w:t>
      </w:r>
    </w:p>
    <w:p>
      <w:pPr>
        <w:spacing w:after="0"/>
        <w:rPr>
          <w:sz w:val="20"/>
          <w:szCs w:val="20"/>
          <w:color w:val="auto"/>
        </w:rPr>
      </w:pPr>
      <w:r>
        <w:rPr>
          <w:rFonts w:ascii="Arial" w:cs="Arial" w:eastAsia="Arial" w:hAnsi="Arial"/>
          <w:sz w:val="14"/>
          <w:szCs w:val="14"/>
          <w:color w:val="auto"/>
        </w:rPr>
        <w:t>Richmond Heights</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128" w:right="1440" w:bottom="1440" w:gutter="0" w:footer="0" w:header="0"/>
        </w:sectPr>
      </w:pPr>
    </w:p>
    <w:bookmarkStart w:id="24" w:name="page25"/>
    <w:bookmarkEnd w:id="2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Casual Male XL and Casual Male Big &amp; Tall Retail and Outlet stores, continued</w:t>
      </w:r>
    </w:p>
    <w:p>
      <w:pPr>
        <w:spacing w:after="0" w:line="178" w:lineRule="exact"/>
        <w:rPr>
          <w:sz w:val="20"/>
          <w:szCs w:val="20"/>
          <w:color w:val="auto"/>
        </w:rPr>
      </w:pPr>
    </w:p>
    <w:p>
      <w:pPr>
        <w:ind w:left="5320"/>
        <w:spacing w:after="0"/>
        <w:rPr>
          <w:sz w:val="20"/>
          <w:szCs w:val="20"/>
          <w:color w:val="auto"/>
        </w:rPr>
      </w:pPr>
      <w:r>
        <w:rPr>
          <w:rFonts w:ascii="Arial" w:cs="Arial" w:eastAsia="Arial" w:hAnsi="Arial"/>
          <w:sz w:val="12"/>
          <w:szCs w:val="12"/>
          <w:b w:val="1"/>
          <w:bCs w:val="1"/>
          <w:i w:val="1"/>
          <w:iCs w:val="1"/>
          <w:color w:val="auto"/>
        </w:rPr>
        <w:t>Missouri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St. Ana</w:t>
      </w:r>
    </w:p>
    <w:p>
      <w:pPr>
        <w:spacing w:after="0" w:line="221" w:lineRule="auto"/>
        <w:rPr>
          <w:sz w:val="20"/>
          <w:szCs w:val="20"/>
          <w:color w:val="auto"/>
        </w:rPr>
      </w:pPr>
      <w:r>
        <w:rPr>
          <w:rFonts w:ascii="Arial" w:cs="Arial" w:eastAsia="Arial" w:hAnsi="Arial"/>
          <w:sz w:val="14"/>
          <w:szCs w:val="14"/>
          <w:color w:val="auto"/>
        </w:rPr>
        <w:t>St. Louis</w:t>
      </w:r>
    </w:p>
    <w:p>
      <w:pPr>
        <w:spacing w:after="0" w:line="221" w:lineRule="auto"/>
        <w:rPr>
          <w:sz w:val="20"/>
          <w:szCs w:val="20"/>
          <w:color w:val="auto"/>
        </w:rPr>
      </w:pPr>
      <w:r>
        <w:rPr>
          <w:rFonts w:ascii="Arial" w:cs="Arial" w:eastAsia="Arial" w:hAnsi="Arial"/>
          <w:sz w:val="14"/>
          <w:szCs w:val="14"/>
          <w:color w:val="auto"/>
        </w:rPr>
        <w:t>St. Peters</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Branson*</w:t>
      </w:r>
    </w:p>
    <w:p>
      <w:pPr>
        <w:spacing w:after="0" w:line="222" w:lineRule="auto"/>
        <w:rPr>
          <w:sz w:val="20"/>
          <w:szCs w:val="20"/>
          <w:color w:val="auto"/>
        </w:rPr>
      </w:pPr>
      <w:r>
        <w:rPr>
          <w:rFonts w:ascii="Arial" w:cs="Arial" w:eastAsia="Arial" w:hAnsi="Arial"/>
          <w:sz w:val="14"/>
          <w:szCs w:val="14"/>
          <w:color w:val="auto"/>
        </w:rPr>
        <w:t>Osage Beach*</w:t>
      </w:r>
    </w:p>
    <w:p>
      <w:pPr>
        <w:spacing w:after="0"/>
        <w:rPr>
          <w:sz w:val="20"/>
          <w:szCs w:val="20"/>
          <w:color w:val="auto"/>
        </w:rPr>
      </w:pPr>
      <w:r>
        <w:rPr>
          <w:rFonts w:ascii="Arial" w:cs="Arial" w:eastAsia="Arial" w:hAnsi="Arial"/>
          <w:sz w:val="14"/>
          <w:szCs w:val="14"/>
          <w:color w:val="auto"/>
        </w:rPr>
        <w:t>Warrentown*</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Nebraska</w:t>
      </w:r>
    </w:p>
    <w:p>
      <w:pPr>
        <w:spacing w:after="0" w:line="221" w:lineRule="auto"/>
        <w:rPr>
          <w:sz w:val="20"/>
          <w:szCs w:val="20"/>
          <w:color w:val="auto"/>
        </w:rPr>
      </w:pPr>
      <w:r>
        <w:rPr>
          <w:rFonts w:ascii="Arial" w:cs="Arial" w:eastAsia="Arial" w:hAnsi="Arial"/>
          <w:sz w:val="14"/>
          <w:szCs w:val="14"/>
          <w:color w:val="auto"/>
        </w:rPr>
        <w:t>Lincoln</w:t>
      </w:r>
    </w:p>
    <w:p>
      <w:pPr>
        <w:spacing w:after="0"/>
        <w:rPr>
          <w:sz w:val="20"/>
          <w:szCs w:val="20"/>
          <w:color w:val="auto"/>
        </w:rPr>
      </w:pPr>
      <w:r>
        <w:rPr>
          <w:rFonts w:ascii="Arial" w:cs="Arial" w:eastAsia="Arial" w:hAnsi="Arial"/>
          <w:sz w:val="14"/>
          <w:szCs w:val="14"/>
          <w:color w:val="auto"/>
        </w:rPr>
        <w:t>Omaha (3)</w:t>
      </w:r>
    </w:p>
    <w:p>
      <w:pPr>
        <w:spacing w:after="0" w:line="56" w:lineRule="exact"/>
        <w:rPr>
          <w:sz w:val="20"/>
          <w:szCs w:val="20"/>
          <w:color w:val="auto"/>
        </w:rPr>
      </w:pPr>
    </w:p>
    <w:p>
      <w:pPr>
        <w:jc w:val="right"/>
        <w:ind w:right="4059"/>
        <w:spacing w:after="0"/>
        <w:rPr>
          <w:sz w:val="20"/>
          <w:szCs w:val="20"/>
          <w:color w:val="auto"/>
        </w:rPr>
      </w:pPr>
      <w:r>
        <w:rPr>
          <w:rFonts w:ascii="Arial" w:cs="Arial" w:eastAsia="Arial" w:hAnsi="Arial"/>
          <w:sz w:val="14"/>
          <w:szCs w:val="14"/>
          <w:b w:val="1"/>
          <w:bCs w:val="1"/>
          <w:i w:val="1"/>
          <w:iCs w:val="1"/>
          <w:color w:val="auto"/>
        </w:rPr>
        <w:t>New Hampshire</w:t>
      </w:r>
    </w:p>
    <w:p>
      <w:pPr>
        <w:spacing w:after="0" w:line="221" w:lineRule="auto"/>
        <w:rPr>
          <w:sz w:val="20"/>
          <w:szCs w:val="20"/>
          <w:color w:val="auto"/>
        </w:rPr>
      </w:pPr>
      <w:r>
        <w:rPr>
          <w:rFonts w:ascii="Arial" w:cs="Arial" w:eastAsia="Arial" w:hAnsi="Arial"/>
          <w:sz w:val="14"/>
          <w:szCs w:val="14"/>
          <w:color w:val="auto"/>
        </w:rPr>
        <w:t>Salem</w:t>
      </w:r>
    </w:p>
    <w:p>
      <w:pPr>
        <w:spacing w:after="0" w:line="221" w:lineRule="auto"/>
        <w:rPr>
          <w:sz w:val="20"/>
          <w:szCs w:val="20"/>
          <w:color w:val="auto"/>
        </w:rPr>
      </w:pPr>
      <w:r>
        <w:rPr>
          <w:rFonts w:ascii="Arial" w:cs="Arial" w:eastAsia="Arial" w:hAnsi="Arial"/>
          <w:sz w:val="14"/>
          <w:szCs w:val="14"/>
          <w:color w:val="auto"/>
        </w:rPr>
        <w:t>Manchester</w:t>
      </w:r>
    </w:p>
    <w:p>
      <w:pPr>
        <w:spacing w:after="0"/>
        <w:rPr>
          <w:sz w:val="20"/>
          <w:szCs w:val="20"/>
          <w:color w:val="auto"/>
        </w:rPr>
      </w:pPr>
      <w:r>
        <w:rPr>
          <w:rFonts w:ascii="Arial" w:cs="Arial" w:eastAsia="Arial" w:hAnsi="Arial"/>
          <w:sz w:val="14"/>
          <w:szCs w:val="14"/>
          <w:color w:val="auto"/>
        </w:rPr>
        <w:t>Tilton*</w:t>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2"/>
          <w:szCs w:val="12"/>
          <w:b w:val="1"/>
          <w:bCs w:val="1"/>
          <w:i w:val="1"/>
          <w:iCs w:val="1"/>
          <w:color w:val="auto"/>
        </w:rPr>
        <w:t>New Jersey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Bloomfield</w:t>
      </w:r>
    </w:p>
    <w:p>
      <w:pPr>
        <w:spacing w:after="0" w:line="221" w:lineRule="auto"/>
        <w:rPr>
          <w:sz w:val="20"/>
          <w:szCs w:val="20"/>
          <w:color w:val="auto"/>
        </w:rPr>
      </w:pPr>
      <w:r>
        <w:rPr>
          <w:rFonts w:ascii="Arial" w:cs="Arial" w:eastAsia="Arial" w:hAnsi="Arial"/>
          <w:sz w:val="14"/>
          <w:szCs w:val="14"/>
          <w:color w:val="auto"/>
        </w:rPr>
        <w:t>Cherry Hill</w:t>
      </w:r>
    </w:p>
    <w:p>
      <w:pPr>
        <w:spacing w:after="0" w:line="221" w:lineRule="auto"/>
        <w:rPr>
          <w:sz w:val="20"/>
          <w:szCs w:val="20"/>
          <w:color w:val="auto"/>
        </w:rPr>
      </w:pPr>
      <w:r>
        <w:rPr>
          <w:rFonts w:ascii="Arial" w:cs="Arial" w:eastAsia="Arial" w:hAnsi="Arial"/>
          <w:sz w:val="14"/>
          <w:szCs w:val="14"/>
          <w:color w:val="auto"/>
        </w:rPr>
        <w:t>Deptford</w:t>
      </w:r>
    </w:p>
    <w:p>
      <w:pPr>
        <w:spacing w:after="0" w:line="1" w:lineRule="exact"/>
        <w:rPr>
          <w:sz w:val="20"/>
          <w:szCs w:val="20"/>
          <w:color w:val="auto"/>
        </w:rPr>
      </w:pPr>
    </w:p>
    <w:p>
      <w:pPr>
        <w:ind w:right="9359" w:firstLine="8"/>
        <w:spacing w:after="0" w:line="259" w:lineRule="auto"/>
        <w:tabs>
          <w:tab w:leader="none" w:pos="150" w:val="left"/>
        </w:tabs>
        <w:numPr>
          <w:ilvl w:val="0"/>
          <w:numId w:val="9"/>
        </w:numPr>
        <w:rPr>
          <w:rFonts w:ascii="Arial" w:cs="Arial" w:eastAsia="Arial" w:hAnsi="Arial"/>
          <w:sz w:val="12"/>
          <w:szCs w:val="12"/>
          <w:color w:val="auto"/>
        </w:rPr>
      </w:pPr>
      <w:r>
        <w:rPr>
          <w:rFonts w:ascii="Arial" w:cs="Arial" w:eastAsia="Arial" w:hAnsi="Arial"/>
          <w:sz w:val="12"/>
          <w:szCs w:val="12"/>
          <w:color w:val="auto"/>
        </w:rPr>
        <w:t>Brunswick East Rutherford Eatontown Hazlet Jackson* Lawrenceville Linden May’s Landing Menlo Park Paramus Riverton Secaucus Somerville Succasunna Toms River Totowa Union</w:t>
      </w:r>
    </w:p>
    <w:p>
      <w:pPr>
        <w:spacing w:after="0" w:line="29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West Berlin</w:t>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2"/>
          <w:szCs w:val="12"/>
          <w:b w:val="1"/>
          <w:bCs w:val="1"/>
          <w:i w:val="1"/>
          <w:iCs w:val="1"/>
          <w:color w:val="auto"/>
        </w:rPr>
        <w:t>New Mexico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Albuquerque (2)</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Nevada</w:t>
      </w:r>
    </w:p>
    <w:p>
      <w:pPr>
        <w:spacing w:after="0" w:line="221" w:lineRule="auto"/>
        <w:rPr>
          <w:sz w:val="20"/>
          <w:szCs w:val="20"/>
          <w:color w:val="auto"/>
        </w:rPr>
      </w:pPr>
      <w:r>
        <w:rPr>
          <w:rFonts w:ascii="Arial" w:cs="Arial" w:eastAsia="Arial" w:hAnsi="Arial"/>
          <w:sz w:val="14"/>
          <w:szCs w:val="14"/>
          <w:color w:val="auto"/>
        </w:rPr>
        <w:t>Henderson</w:t>
      </w:r>
    </w:p>
    <w:p>
      <w:pPr>
        <w:spacing w:after="0" w:line="221" w:lineRule="auto"/>
        <w:rPr>
          <w:sz w:val="20"/>
          <w:szCs w:val="20"/>
          <w:color w:val="auto"/>
        </w:rPr>
      </w:pPr>
      <w:r>
        <w:rPr>
          <w:rFonts w:ascii="Arial" w:cs="Arial" w:eastAsia="Arial" w:hAnsi="Arial"/>
          <w:sz w:val="14"/>
          <w:szCs w:val="14"/>
          <w:color w:val="auto"/>
        </w:rPr>
        <w:t>Las Vegas (2)</w:t>
      </w:r>
    </w:p>
    <w:p>
      <w:pPr>
        <w:spacing w:after="0"/>
        <w:rPr>
          <w:sz w:val="20"/>
          <w:szCs w:val="20"/>
          <w:color w:val="auto"/>
        </w:rPr>
      </w:pPr>
      <w:r>
        <w:rPr>
          <w:rFonts w:ascii="Arial" w:cs="Arial" w:eastAsia="Arial" w:hAnsi="Arial"/>
          <w:sz w:val="14"/>
          <w:szCs w:val="14"/>
          <w:color w:val="auto"/>
        </w:rPr>
        <w:t>Reno</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New York</w:t>
      </w:r>
    </w:p>
    <w:p>
      <w:pPr>
        <w:spacing w:after="0" w:line="221" w:lineRule="auto"/>
        <w:rPr>
          <w:sz w:val="20"/>
          <w:szCs w:val="20"/>
          <w:color w:val="auto"/>
        </w:rPr>
      </w:pPr>
      <w:r>
        <w:rPr>
          <w:rFonts w:ascii="Arial" w:cs="Arial" w:eastAsia="Arial" w:hAnsi="Arial"/>
          <w:sz w:val="14"/>
          <w:szCs w:val="14"/>
          <w:color w:val="auto"/>
        </w:rPr>
        <w:t>Albany</w:t>
      </w:r>
    </w:p>
    <w:p>
      <w:pPr>
        <w:spacing w:after="0" w:line="221" w:lineRule="auto"/>
        <w:rPr>
          <w:sz w:val="20"/>
          <w:szCs w:val="20"/>
          <w:color w:val="auto"/>
        </w:rPr>
      </w:pPr>
      <w:r>
        <w:rPr>
          <w:rFonts w:ascii="Arial" w:cs="Arial" w:eastAsia="Arial" w:hAnsi="Arial"/>
          <w:sz w:val="14"/>
          <w:szCs w:val="14"/>
          <w:color w:val="auto"/>
        </w:rPr>
        <w:t>Bayshore L.I.</w:t>
      </w:r>
    </w:p>
    <w:p>
      <w:pPr>
        <w:spacing w:after="0" w:line="222" w:lineRule="auto"/>
        <w:rPr>
          <w:sz w:val="20"/>
          <w:szCs w:val="20"/>
          <w:color w:val="auto"/>
        </w:rPr>
      </w:pPr>
      <w:r>
        <w:rPr>
          <w:rFonts w:ascii="Arial" w:cs="Arial" w:eastAsia="Arial" w:hAnsi="Arial"/>
          <w:sz w:val="14"/>
          <w:szCs w:val="14"/>
          <w:color w:val="auto"/>
        </w:rPr>
        <w:t>Bronx (2)</w:t>
      </w:r>
    </w:p>
    <w:p>
      <w:pPr>
        <w:spacing w:after="0" w:line="221" w:lineRule="auto"/>
        <w:rPr>
          <w:sz w:val="20"/>
          <w:szCs w:val="20"/>
          <w:color w:val="auto"/>
        </w:rPr>
      </w:pPr>
      <w:r>
        <w:rPr>
          <w:rFonts w:ascii="Arial" w:cs="Arial" w:eastAsia="Arial" w:hAnsi="Arial"/>
          <w:sz w:val="14"/>
          <w:szCs w:val="14"/>
          <w:color w:val="auto"/>
        </w:rPr>
        <w:t>Brooklyn (3)</w:t>
      </w:r>
    </w:p>
    <w:p>
      <w:pPr>
        <w:spacing w:after="0" w:line="222" w:lineRule="auto"/>
        <w:rPr>
          <w:sz w:val="20"/>
          <w:szCs w:val="20"/>
          <w:color w:val="auto"/>
        </w:rPr>
      </w:pPr>
      <w:r>
        <w:rPr>
          <w:rFonts w:ascii="Arial" w:cs="Arial" w:eastAsia="Arial" w:hAnsi="Arial"/>
          <w:sz w:val="14"/>
          <w:szCs w:val="14"/>
          <w:color w:val="auto"/>
        </w:rPr>
        <w:t>Camillus</w:t>
      </w:r>
    </w:p>
    <w:p>
      <w:pPr>
        <w:spacing w:after="0" w:line="221" w:lineRule="auto"/>
        <w:rPr>
          <w:sz w:val="20"/>
          <w:szCs w:val="20"/>
          <w:color w:val="auto"/>
        </w:rPr>
      </w:pPr>
      <w:r>
        <w:rPr>
          <w:rFonts w:ascii="Arial" w:cs="Arial" w:eastAsia="Arial" w:hAnsi="Arial"/>
          <w:sz w:val="14"/>
          <w:szCs w:val="14"/>
          <w:color w:val="auto"/>
        </w:rPr>
        <w:t>Carle Place</w:t>
      </w:r>
    </w:p>
    <w:p>
      <w:pPr>
        <w:spacing w:after="0" w:line="222" w:lineRule="auto"/>
        <w:rPr>
          <w:sz w:val="20"/>
          <w:szCs w:val="20"/>
          <w:color w:val="auto"/>
        </w:rPr>
      </w:pPr>
      <w:r>
        <w:rPr>
          <w:rFonts w:ascii="Arial" w:cs="Arial" w:eastAsia="Arial" w:hAnsi="Arial"/>
          <w:sz w:val="14"/>
          <w:szCs w:val="14"/>
          <w:color w:val="auto"/>
        </w:rPr>
        <w:t>Centerreach</w:t>
      </w:r>
    </w:p>
    <w:p>
      <w:pPr>
        <w:spacing w:after="0" w:line="221" w:lineRule="auto"/>
        <w:rPr>
          <w:sz w:val="20"/>
          <w:szCs w:val="20"/>
          <w:color w:val="auto"/>
        </w:rPr>
      </w:pPr>
      <w:r>
        <w:rPr>
          <w:rFonts w:ascii="Arial" w:cs="Arial" w:eastAsia="Arial" w:hAnsi="Arial"/>
          <w:sz w:val="14"/>
          <w:szCs w:val="14"/>
          <w:color w:val="auto"/>
        </w:rPr>
        <w:t>Cheektowaga</w:t>
      </w:r>
    </w:p>
    <w:p>
      <w:pPr>
        <w:spacing w:after="0" w:line="222" w:lineRule="auto"/>
        <w:rPr>
          <w:sz w:val="20"/>
          <w:szCs w:val="20"/>
          <w:color w:val="auto"/>
        </w:rPr>
      </w:pPr>
      <w:r>
        <w:rPr>
          <w:rFonts w:ascii="Arial" w:cs="Arial" w:eastAsia="Arial" w:hAnsi="Arial"/>
          <w:sz w:val="14"/>
          <w:szCs w:val="14"/>
          <w:color w:val="auto"/>
        </w:rPr>
        <w:t>Elmhurst</w:t>
      </w:r>
    </w:p>
    <w:p>
      <w:pPr>
        <w:spacing w:after="0" w:line="221" w:lineRule="auto"/>
        <w:rPr>
          <w:sz w:val="20"/>
          <w:szCs w:val="20"/>
          <w:color w:val="auto"/>
        </w:rPr>
      </w:pPr>
      <w:r>
        <w:rPr>
          <w:rFonts w:ascii="Arial" w:cs="Arial" w:eastAsia="Arial" w:hAnsi="Arial"/>
          <w:sz w:val="14"/>
          <w:szCs w:val="14"/>
          <w:color w:val="auto"/>
        </w:rPr>
        <w:t>Greenburgh</w:t>
      </w:r>
    </w:p>
    <w:p>
      <w:pPr>
        <w:spacing w:after="0" w:line="222" w:lineRule="auto"/>
        <w:rPr>
          <w:sz w:val="20"/>
          <w:szCs w:val="20"/>
          <w:color w:val="auto"/>
        </w:rPr>
      </w:pPr>
      <w:r>
        <w:rPr>
          <w:rFonts w:ascii="Arial" w:cs="Arial" w:eastAsia="Arial" w:hAnsi="Arial"/>
          <w:sz w:val="14"/>
          <w:szCs w:val="14"/>
          <w:color w:val="auto"/>
        </w:rPr>
        <w:t>Irondequoit</w:t>
      </w:r>
    </w:p>
    <w:p>
      <w:pPr>
        <w:spacing w:after="0" w:line="221" w:lineRule="auto"/>
        <w:rPr>
          <w:sz w:val="20"/>
          <w:szCs w:val="20"/>
          <w:color w:val="auto"/>
        </w:rPr>
      </w:pPr>
      <w:r>
        <w:rPr>
          <w:rFonts w:ascii="Arial" w:cs="Arial" w:eastAsia="Arial" w:hAnsi="Arial"/>
          <w:sz w:val="14"/>
          <w:szCs w:val="14"/>
          <w:color w:val="auto"/>
        </w:rPr>
        <w:t>Johnson City</w:t>
      </w:r>
    </w:p>
    <w:p>
      <w:pPr>
        <w:ind w:left="5300"/>
        <w:spacing w:after="0"/>
        <w:rPr>
          <w:sz w:val="20"/>
          <w:szCs w:val="20"/>
          <w:color w:val="auto"/>
        </w:rPr>
      </w:pPr>
      <w:r>
        <w:rPr>
          <w:rFonts w:ascii="Arial" w:cs="Arial" w:eastAsia="Arial" w:hAnsi="Arial"/>
          <w:sz w:val="11"/>
          <w:szCs w:val="11"/>
          <w:b w:val="1"/>
          <w:bCs w:val="1"/>
          <w:i w:val="1"/>
          <w:iCs w:val="1"/>
          <w:color w:val="auto"/>
        </w:rPr>
        <w:t>New York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Lake George*</w:t>
      </w:r>
    </w:p>
    <w:p>
      <w:pPr>
        <w:spacing w:after="0" w:line="221" w:lineRule="auto"/>
        <w:rPr>
          <w:sz w:val="20"/>
          <w:szCs w:val="20"/>
          <w:color w:val="auto"/>
        </w:rPr>
      </w:pPr>
      <w:r>
        <w:rPr>
          <w:rFonts w:ascii="Arial" w:cs="Arial" w:eastAsia="Arial" w:hAnsi="Arial"/>
          <w:sz w:val="14"/>
          <w:szCs w:val="14"/>
          <w:color w:val="auto"/>
        </w:rPr>
        <w:t>Massapequa</w:t>
      </w:r>
    </w:p>
    <w:p>
      <w:pPr>
        <w:spacing w:after="0" w:line="221" w:lineRule="auto"/>
        <w:rPr>
          <w:sz w:val="20"/>
          <w:szCs w:val="20"/>
          <w:color w:val="auto"/>
        </w:rPr>
      </w:pPr>
      <w:r>
        <w:rPr>
          <w:rFonts w:ascii="Arial" w:cs="Arial" w:eastAsia="Arial" w:hAnsi="Arial"/>
          <w:sz w:val="14"/>
          <w:szCs w:val="14"/>
          <w:color w:val="auto"/>
        </w:rPr>
        <w:t>Nanuet</w:t>
      </w:r>
    </w:p>
    <w:p>
      <w:pPr>
        <w:spacing w:after="0" w:line="222" w:lineRule="auto"/>
        <w:rPr>
          <w:sz w:val="20"/>
          <w:szCs w:val="20"/>
          <w:color w:val="auto"/>
        </w:rPr>
      </w:pPr>
      <w:r>
        <w:rPr>
          <w:rFonts w:ascii="Arial" w:cs="Arial" w:eastAsia="Arial" w:hAnsi="Arial"/>
          <w:sz w:val="14"/>
          <w:szCs w:val="14"/>
          <w:color w:val="auto"/>
        </w:rPr>
        <w:t>New York</w:t>
      </w:r>
    </w:p>
    <w:p>
      <w:pPr>
        <w:spacing w:after="0" w:line="221" w:lineRule="auto"/>
        <w:rPr>
          <w:sz w:val="20"/>
          <w:szCs w:val="20"/>
          <w:color w:val="auto"/>
        </w:rPr>
      </w:pPr>
      <w:r>
        <w:rPr>
          <w:rFonts w:ascii="Arial" w:cs="Arial" w:eastAsia="Arial" w:hAnsi="Arial"/>
          <w:sz w:val="14"/>
          <w:szCs w:val="14"/>
          <w:color w:val="auto"/>
        </w:rPr>
        <w:t>Niagara Falls*</w:t>
      </w:r>
    </w:p>
    <w:p>
      <w:pPr>
        <w:spacing w:after="0" w:line="222" w:lineRule="auto"/>
        <w:rPr>
          <w:sz w:val="20"/>
          <w:szCs w:val="20"/>
          <w:color w:val="auto"/>
        </w:rPr>
      </w:pPr>
      <w:r>
        <w:rPr>
          <w:rFonts w:ascii="Arial" w:cs="Arial" w:eastAsia="Arial" w:hAnsi="Arial"/>
          <w:sz w:val="14"/>
          <w:szCs w:val="14"/>
          <w:color w:val="auto"/>
        </w:rPr>
        <w:t>Northport</w:t>
      </w:r>
    </w:p>
    <w:p>
      <w:pPr>
        <w:spacing w:after="0" w:line="221" w:lineRule="auto"/>
        <w:rPr>
          <w:sz w:val="20"/>
          <w:szCs w:val="20"/>
          <w:color w:val="auto"/>
        </w:rPr>
      </w:pPr>
      <w:r>
        <w:rPr>
          <w:rFonts w:ascii="Arial" w:cs="Arial" w:eastAsia="Arial" w:hAnsi="Arial"/>
          <w:sz w:val="14"/>
          <w:szCs w:val="14"/>
          <w:color w:val="auto"/>
        </w:rPr>
        <w:t>Patchogue</w:t>
      </w:r>
    </w:p>
    <w:p>
      <w:pPr>
        <w:spacing w:after="0" w:line="222" w:lineRule="auto"/>
        <w:rPr>
          <w:sz w:val="20"/>
          <w:szCs w:val="20"/>
          <w:color w:val="auto"/>
        </w:rPr>
      </w:pPr>
      <w:r>
        <w:rPr>
          <w:rFonts w:ascii="Arial" w:cs="Arial" w:eastAsia="Arial" w:hAnsi="Arial"/>
          <w:sz w:val="14"/>
          <w:szCs w:val="14"/>
          <w:color w:val="auto"/>
        </w:rPr>
        <w:t>Poughkeepsie</w:t>
      </w:r>
    </w:p>
    <w:p>
      <w:pPr>
        <w:spacing w:after="0" w:line="221" w:lineRule="auto"/>
        <w:rPr>
          <w:sz w:val="20"/>
          <w:szCs w:val="20"/>
          <w:color w:val="auto"/>
        </w:rPr>
      </w:pPr>
      <w:r>
        <w:rPr>
          <w:rFonts w:ascii="Arial" w:cs="Arial" w:eastAsia="Arial" w:hAnsi="Arial"/>
          <w:sz w:val="14"/>
          <w:szCs w:val="14"/>
          <w:color w:val="auto"/>
        </w:rPr>
        <w:t>Riverhead*</w:t>
      </w:r>
    </w:p>
    <w:p>
      <w:pPr>
        <w:spacing w:after="0" w:line="222" w:lineRule="auto"/>
        <w:rPr>
          <w:sz w:val="20"/>
          <w:szCs w:val="20"/>
          <w:color w:val="auto"/>
        </w:rPr>
      </w:pPr>
      <w:r>
        <w:rPr>
          <w:rFonts w:ascii="Arial" w:cs="Arial" w:eastAsia="Arial" w:hAnsi="Arial"/>
          <w:sz w:val="14"/>
          <w:szCs w:val="14"/>
          <w:color w:val="auto"/>
        </w:rPr>
        <w:t>Rochester</w:t>
      </w:r>
    </w:p>
    <w:p>
      <w:pPr>
        <w:spacing w:after="0" w:line="221" w:lineRule="auto"/>
        <w:rPr>
          <w:sz w:val="20"/>
          <w:szCs w:val="20"/>
          <w:color w:val="auto"/>
        </w:rPr>
      </w:pPr>
      <w:r>
        <w:rPr>
          <w:rFonts w:ascii="Arial" w:cs="Arial" w:eastAsia="Arial" w:hAnsi="Arial"/>
          <w:sz w:val="14"/>
          <w:szCs w:val="14"/>
          <w:color w:val="auto"/>
        </w:rPr>
        <w:t>Staten Island</w:t>
      </w:r>
    </w:p>
    <w:p>
      <w:pPr>
        <w:spacing w:after="0" w:line="222" w:lineRule="auto"/>
        <w:rPr>
          <w:sz w:val="20"/>
          <w:szCs w:val="20"/>
          <w:color w:val="auto"/>
        </w:rPr>
      </w:pPr>
      <w:r>
        <w:rPr>
          <w:rFonts w:ascii="Arial" w:cs="Arial" w:eastAsia="Arial" w:hAnsi="Arial"/>
          <w:sz w:val="14"/>
          <w:szCs w:val="14"/>
          <w:color w:val="auto"/>
        </w:rPr>
        <w:t>Syracuse</w:t>
      </w:r>
    </w:p>
    <w:p>
      <w:pPr>
        <w:spacing w:after="0" w:line="221" w:lineRule="auto"/>
        <w:rPr>
          <w:sz w:val="20"/>
          <w:szCs w:val="20"/>
          <w:color w:val="auto"/>
        </w:rPr>
      </w:pPr>
      <w:r>
        <w:rPr>
          <w:rFonts w:ascii="Arial" w:cs="Arial" w:eastAsia="Arial" w:hAnsi="Arial"/>
          <w:sz w:val="14"/>
          <w:szCs w:val="14"/>
          <w:color w:val="auto"/>
        </w:rPr>
        <w:t>Tonawanda</w:t>
      </w:r>
    </w:p>
    <w:p>
      <w:pPr>
        <w:spacing w:after="0" w:line="221" w:lineRule="auto"/>
        <w:rPr>
          <w:sz w:val="20"/>
          <w:szCs w:val="20"/>
          <w:color w:val="auto"/>
        </w:rPr>
      </w:pPr>
      <w:r>
        <w:rPr>
          <w:rFonts w:ascii="Arial" w:cs="Arial" w:eastAsia="Arial" w:hAnsi="Arial"/>
          <w:sz w:val="14"/>
          <w:szCs w:val="14"/>
          <w:color w:val="auto"/>
        </w:rPr>
        <w:t>Valley Stream</w:t>
      </w:r>
    </w:p>
    <w:p>
      <w:pPr>
        <w:spacing w:after="0" w:line="222" w:lineRule="auto"/>
        <w:rPr>
          <w:sz w:val="20"/>
          <w:szCs w:val="20"/>
          <w:color w:val="auto"/>
        </w:rPr>
      </w:pPr>
      <w:r>
        <w:rPr>
          <w:rFonts w:ascii="Arial" w:cs="Arial" w:eastAsia="Arial" w:hAnsi="Arial"/>
          <w:sz w:val="14"/>
          <w:szCs w:val="14"/>
          <w:color w:val="auto"/>
        </w:rPr>
        <w:t>Victor</w:t>
      </w:r>
    </w:p>
    <w:p>
      <w:pPr>
        <w:spacing w:after="0" w:line="221" w:lineRule="auto"/>
        <w:rPr>
          <w:sz w:val="20"/>
          <w:szCs w:val="20"/>
          <w:color w:val="auto"/>
        </w:rPr>
      </w:pPr>
      <w:r>
        <w:rPr>
          <w:rFonts w:ascii="Arial" w:cs="Arial" w:eastAsia="Arial" w:hAnsi="Arial"/>
          <w:sz w:val="14"/>
          <w:szCs w:val="14"/>
          <w:color w:val="auto"/>
        </w:rPr>
        <w:t>Waterloo*</w:t>
      </w:r>
    </w:p>
    <w:p>
      <w:pPr>
        <w:spacing w:after="0"/>
        <w:rPr>
          <w:sz w:val="20"/>
          <w:szCs w:val="20"/>
          <w:color w:val="auto"/>
        </w:rPr>
      </w:pPr>
      <w:r>
        <w:rPr>
          <w:rFonts w:ascii="Arial" w:cs="Arial" w:eastAsia="Arial" w:hAnsi="Arial"/>
          <w:sz w:val="14"/>
          <w:szCs w:val="14"/>
          <w:color w:val="auto"/>
        </w:rPr>
        <w:t>Yonkers</w:t>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2"/>
          <w:szCs w:val="12"/>
          <w:b w:val="1"/>
          <w:bCs w:val="1"/>
          <w:i w:val="1"/>
          <w:iCs w:val="1"/>
          <w:color w:val="auto"/>
        </w:rPr>
        <w:t>North Carolina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Asheville</w:t>
      </w:r>
    </w:p>
    <w:p>
      <w:pPr>
        <w:spacing w:after="0" w:line="221" w:lineRule="auto"/>
        <w:rPr>
          <w:sz w:val="20"/>
          <w:szCs w:val="20"/>
          <w:color w:val="auto"/>
        </w:rPr>
      </w:pPr>
      <w:r>
        <w:rPr>
          <w:rFonts w:ascii="Arial" w:cs="Arial" w:eastAsia="Arial" w:hAnsi="Arial"/>
          <w:sz w:val="14"/>
          <w:szCs w:val="14"/>
          <w:color w:val="auto"/>
        </w:rPr>
        <w:t>Burlington*</w:t>
      </w:r>
    </w:p>
    <w:p>
      <w:pPr>
        <w:spacing w:after="0" w:line="221" w:lineRule="auto"/>
        <w:rPr>
          <w:sz w:val="20"/>
          <w:szCs w:val="20"/>
          <w:color w:val="auto"/>
        </w:rPr>
      </w:pPr>
      <w:r>
        <w:rPr>
          <w:rFonts w:ascii="Arial" w:cs="Arial" w:eastAsia="Arial" w:hAnsi="Arial"/>
          <w:sz w:val="14"/>
          <w:szCs w:val="14"/>
          <w:color w:val="auto"/>
        </w:rPr>
        <w:t>Charlotte</w:t>
      </w:r>
    </w:p>
    <w:p>
      <w:pPr>
        <w:spacing w:after="0" w:line="222" w:lineRule="auto"/>
        <w:rPr>
          <w:sz w:val="20"/>
          <w:szCs w:val="20"/>
          <w:color w:val="auto"/>
        </w:rPr>
      </w:pPr>
      <w:r>
        <w:rPr>
          <w:rFonts w:ascii="Arial" w:cs="Arial" w:eastAsia="Arial" w:hAnsi="Arial"/>
          <w:sz w:val="14"/>
          <w:szCs w:val="14"/>
          <w:color w:val="auto"/>
        </w:rPr>
        <w:t>Fayetteville</w:t>
      </w:r>
    </w:p>
    <w:p>
      <w:pPr>
        <w:spacing w:after="0" w:line="221" w:lineRule="auto"/>
        <w:rPr>
          <w:sz w:val="20"/>
          <w:szCs w:val="20"/>
          <w:color w:val="auto"/>
        </w:rPr>
      </w:pPr>
      <w:r>
        <w:rPr>
          <w:rFonts w:ascii="Arial" w:cs="Arial" w:eastAsia="Arial" w:hAnsi="Arial"/>
          <w:sz w:val="14"/>
          <w:szCs w:val="14"/>
          <w:color w:val="auto"/>
        </w:rPr>
        <w:t>Greensboro</w:t>
      </w:r>
    </w:p>
    <w:p>
      <w:pPr>
        <w:spacing w:after="0" w:line="222" w:lineRule="auto"/>
        <w:rPr>
          <w:sz w:val="20"/>
          <w:szCs w:val="20"/>
          <w:color w:val="auto"/>
        </w:rPr>
      </w:pPr>
      <w:r>
        <w:rPr>
          <w:rFonts w:ascii="Arial" w:cs="Arial" w:eastAsia="Arial" w:hAnsi="Arial"/>
          <w:sz w:val="14"/>
          <w:szCs w:val="14"/>
          <w:color w:val="auto"/>
        </w:rPr>
        <w:t>Greenville</w:t>
      </w:r>
    </w:p>
    <w:p>
      <w:pPr>
        <w:spacing w:after="0" w:line="221" w:lineRule="auto"/>
        <w:rPr>
          <w:sz w:val="20"/>
          <w:szCs w:val="20"/>
          <w:color w:val="auto"/>
        </w:rPr>
      </w:pPr>
      <w:r>
        <w:rPr>
          <w:rFonts w:ascii="Arial" w:cs="Arial" w:eastAsia="Arial" w:hAnsi="Arial"/>
          <w:sz w:val="14"/>
          <w:szCs w:val="14"/>
          <w:color w:val="auto"/>
        </w:rPr>
        <w:t>Pineville</w:t>
      </w:r>
    </w:p>
    <w:p>
      <w:pPr>
        <w:spacing w:after="0" w:line="222" w:lineRule="auto"/>
        <w:rPr>
          <w:sz w:val="20"/>
          <w:szCs w:val="20"/>
          <w:color w:val="auto"/>
        </w:rPr>
      </w:pPr>
      <w:r>
        <w:rPr>
          <w:rFonts w:ascii="Arial" w:cs="Arial" w:eastAsia="Arial" w:hAnsi="Arial"/>
          <w:sz w:val="14"/>
          <w:szCs w:val="14"/>
          <w:color w:val="auto"/>
        </w:rPr>
        <w:t>Raleigh</w:t>
      </w:r>
    </w:p>
    <w:p>
      <w:pPr>
        <w:spacing w:after="0" w:line="221" w:lineRule="auto"/>
        <w:rPr>
          <w:sz w:val="20"/>
          <w:szCs w:val="20"/>
          <w:color w:val="auto"/>
        </w:rPr>
      </w:pPr>
      <w:r>
        <w:rPr>
          <w:rFonts w:ascii="Arial" w:cs="Arial" w:eastAsia="Arial" w:hAnsi="Arial"/>
          <w:sz w:val="14"/>
          <w:szCs w:val="14"/>
          <w:color w:val="auto"/>
        </w:rPr>
        <w:t>Smithfield*</w:t>
      </w:r>
    </w:p>
    <w:p>
      <w:pPr>
        <w:spacing w:after="0" w:line="222" w:lineRule="auto"/>
        <w:rPr>
          <w:sz w:val="20"/>
          <w:szCs w:val="20"/>
          <w:color w:val="auto"/>
        </w:rPr>
      </w:pPr>
      <w:r>
        <w:rPr>
          <w:rFonts w:ascii="Arial" w:cs="Arial" w:eastAsia="Arial" w:hAnsi="Arial"/>
          <w:sz w:val="14"/>
          <w:szCs w:val="14"/>
          <w:color w:val="auto"/>
        </w:rPr>
        <w:t>Wilmington</w:t>
      </w:r>
    </w:p>
    <w:p>
      <w:pPr>
        <w:spacing w:after="0"/>
        <w:rPr>
          <w:sz w:val="20"/>
          <w:szCs w:val="20"/>
          <w:color w:val="auto"/>
        </w:rPr>
      </w:pPr>
      <w:r>
        <w:rPr>
          <w:rFonts w:ascii="Arial" w:cs="Arial" w:eastAsia="Arial" w:hAnsi="Arial"/>
          <w:sz w:val="14"/>
          <w:szCs w:val="14"/>
          <w:color w:val="auto"/>
        </w:rPr>
        <w:t>Winston-Salem</w:t>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2"/>
          <w:szCs w:val="12"/>
          <w:b w:val="1"/>
          <w:bCs w:val="1"/>
          <w:i w:val="1"/>
          <w:iCs w:val="1"/>
          <w:color w:val="auto"/>
        </w:rPr>
        <w:t>North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Fargo</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b w:val="1"/>
          <w:bCs w:val="1"/>
          <w:i w:val="1"/>
          <w:iCs w:val="1"/>
          <w:color w:val="auto"/>
        </w:rPr>
        <w:t>Ohio</w:t>
      </w:r>
    </w:p>
    <w:p>
      <w:pPr>
        <w:spacing w:after="0" w:line="221" w:lineRule="auto"/>
        <w:rPr>
          <w:sz w:val="20"/>
          <w:szCs w:val="20"/>
          <w:color w:val="auto"/>
        </w:rPr>
      </w:pPr>
      <w:r>
        <w:rPr>
          <w:rFonts w:ascii="Arial" w:cs="Arial" w:eastAsia="Arial" w:hAnsi="Arial"/>
          <w:sz w:val="14"/>
          <w:szCs w:val="14"/>
          <w:color w:val="auto"/>
        </w:rPr>
        <w:t>Akron</w:t>
      </w:r>
    </w:p>
    <w:p>
      <w:pPr>
        <w:spacing w:after="0" w:line="221" w:lineRule="auto"/>
        <w:rPr>
          <w:sz w:val="20"/>
          <w:szCs w:val="20"/>
          <w:color w:val="auto"/>
        </w:rPr>
      </w:pPr>
      <w:r>
        <w:rPr>
          <w:rFonts w:ascii="Arial" w:cs="Arial" w:eastAsia="Arial" w:hAnsi="Arial"/>
          <w:sz w:val="14"/>
          <w:szCs w:val="14"/>
          <w:color w:val="auto"/>
        </w:rPr>
        <w:t>Boardman</w:t>
      </w:r>
    </w:p>
    <w:p>
      <w:pPr>
        <w:spacing w:after="0" w:line="222" w:lineRule="auto"/>
        <w:rPr>
          <w:sz w:val="20"/>
          <w:szCs w:val="20"/>
          <w:color w:val="auto"/>
        </w:rPr>
      </w:pPr>
      <w:r>
        <w:rPr>
          <w:rFonts w:ascii="Arial" w:cs="Arial" w:eastAsia="Arial" w:hAnsi="Arial"/>
          <w:sz w:val="14"/>
          <w:szCs w:val="14"/>
          <w:color w:val="auto"/>
        </w:rPr>
        <w:t>Burbank*</w:t>
      </w:r>
    </w:p>
    <w:p>
      <w:pPr>
        <w:spacing w:after="0" w:line="221" w:lineRule="auto"/>
        <w:rPr>
          <w:sz w:val="20"/>
          <w:szCs w:val="20"/>
          <w:color w:val="auto"/>
        </w:rPr>
      </w:pPr>
      <w:r>
        <w:rPr>
          <w:rFonts w:ascii="Arial" w:cs="Arial" w:eastAsia="Arial" w:hAnsi="Arial"/>
          <w:sz w:val="14"/>
          <w:szCs w:val="14"/>
          <w:color w:val="auto"/>
        </w:rPr>
        <w:t>Canton</w:t>
      </w:r>
    </w:p>
    <w:p>
      <w:pPr>
        <w:spacing w:after="0" w:line="222" w:lineRule="auto"/>
        <w:rPr>
          <w:sz w:val="20"/>
          <w:szCs w:val="20"/>
          <w:color w:val="auto"/>
        </w:rPr>
      </w:pPr>
      <w:r>
        <w:rPr>
          <w:rFonts w:ascii="Arial" w:cs="Arial" w:eastAsia="Arial" w:hAnsi="Arial"/>
          <w:sz w:val="14"/>
          <w:szCs w:val="14"/>
          <w:color w:val="auto"/>
        </w:rPr>
        <w:t>Cincinnati</w:t>
      </w:r>
    </w:p>
    <w:p>
      <w:pPr>
        <w:spacing w:after="0" w:line="221" w:lineRule="auto"/>
        <w:rPr>
          <w:sz w:val="20"/>
          <w:szCs w:val="20"/>
          <w:color w:val="auto"/>
        </w:rPr>
      </w:pPr>
      <w:r>
        <w:rPr>
          <w:rFonts w:ascii="Arial" w:cs="Arial" w:eastAsia="Arial" w:hAnsi="Arial"/>
          <w:sz w:val="14"/>
          <w:szCs w:val="14"/>
          <w:color w:val="auto"/>
        </w:rPr>
        <w:t>Columbus (5)*</w:t>
      </w:r>
    </w:p>
    <w:p>
      <w:pPr>
        <w:spacing w:after="0" w:line="222" w:lineRule="auto"/>
        <w:rPr>
          <w:sz w:val="20"/>
          <w:szCs w:val="20"/>
          <w:color w:val="auto"/>
        </w:rPr>
      </w:pPr>
      <w:r>
        <w:rPr>
          <w:rFonts w:ascii="Arial" w:cs="Arial" w:eastAsia="Arial" w:hAnsi="Arial"/>
          <w:sz w:val="14"/>
          <w:szCs w:val="14"/>
          <w:color w:val="auto"/>
        </w:rPr>
        <w:t>Fairlawn</w:t>
      </w:r>
    </w:p>
    <w:p>
      <w:pPr>
        <w:spacing w:after="0" w:line="221" w:lineRule="auto"/>
        <w:rPr>
          <w:sz w:val="20"/>
          <w:szCs w:val="20"/>
          <w:color w:val="auto"/>
        </w:rPr>
      </w:pPr>
      <w:r>
        <w:rPr>
          <w:rFonts w:ascii="Arial" w:cs="Arial" w:eastAsia="Arial" w:hAnsi="Arial"/>
          <w:sz w:val="14"/>
          <w:szCs w:val="14"/>
          <w:color w:val="auto"/>
        </w:rPr>
        <w:t>Jeffersonville*</w:t>
      </w:r>
    </w:p>
    <w:p>
      <w:pPr>
        <w:spacing w:after="0"/>
        <w:rPr>
          <w:sz w:val="20"/>
          <w:szCs w:val="20"/>
          <w:color w:val="auto"/>
        </w:rPr>
      </w:pPr>
      <w:r>
        <w:rPr>
          <w:rFonts w:ascii="Arial" w:cs="Arial" w:eastAsia="Arial" w:hAnsi="Arial"/>
          <w:sz w:val="14"/>
          <w:szCs w:val="14"/>
          <w:color w:val="auto"/>
        </w:rPr>
        <w:t>Mansfield</w:t>
      </w:r>
    </w:p>
    <w:p>
      <w:pPr>
        <w:sectPr>
          <w:pgSz w:w="11900" w:h="16857" w:orient="portrait"/>
          <w:cols w:equalWidth="0" w:num="1">
            <w:col w:w="10219"/>
          </w:cols>
          <w:pgMar w:left="240" w:top="459" w:right="1440" w:bottom="0" w:gutter="0" w:footer="0" w:header="0"/>
        </w:sectPr>
      </w:pPr>
    </w:p>
    <w:bookmarkStart w:id="25" w:name="page26"/>
    <w:bookmarkEnd w:id="25"/>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Mentor</w:t>
      </w:r>
    </w:p>
    <w:p>
      <w:pPr>
        <w:spacing w:after="0" w:line="221" w:lineRule="auto"/>
        <w:rPr>
          <w:sz w:val="20"/>
          <w:szCs w:val="20"/>
          <w:color w:val="auto"/>
        </w:rPr>
      </w:pPr>
      <w:r>
        <w:rPr>
          <w:rFonts w:ascii="Arial" w:cs="Arial" w:eastAsia="Arial" w:hAnsi="Arial"/>
          <w:sz w:val="14"/>
          <w:szCs w:val="14"/>
          <w:color w:val="auto"/>
        </w:rPr>
        <w:t>Miamisburg (2)</w:t>
      </w:r>
    </w:p>
    <w:p>
      <w:pPr>
        <w:spacing w:after="0" w:line="221" w:lineRule="auto"/>
        <w:rPr>
          <w:sz w:val="20"/>
          <w:szCs w:val="20"/>
          <w:color w:val="auto"/>
        </w:rPr>
      </w:pPr>
      <w:r>
        <w:rPr>
          <w:rFonts w:ascii="Arial" w:cs="Arial" w:eastAsia="Arial" w:hAnsi="Arial"/>
          <w:sz w:val="14"/>
          <w:szCs w:val="14"/>
          <w:color w:val="auto"/>
        </w:rPr>
        <w:t>Niles</w:t>
      </w:r>
    </w:p>
    <w:p>
      <w:pPr>
        <w:spacing w:after="0" w:line="222" w:lineRule="auto"/>
        <w:rPr>
          <w:sz w:val="20"/>
          <w:szCs w:val="20"/>
          <w:color w:val="auto"/>
        </w:rPr>
      </w:pPr>
      <w:r>
        <w:rPr>
          <w:rFonts w:ascii="Arial" w:cs="Arial" w:eastAsia="Arial" w:hAnsi="Arial"/>
          <w:sz w:val="14"/>
          <w:szCs w:val="14"/>
          <w:color w:val="auto"/>
        </w:rPr>
        <w:t>North Olmsted</w:t>
      </w:r>
    </w:p>
    <w:p>
      <w:pPr>
        <w:spacing w:after="0" w:line="221" w:lineRule="auto"/>
        <w:rPr>
          <w:sz w:val="20"/>
          <w:szCs w:val="20"/>
          <w:color w:val="auto"/>
        </w:rPr>
      </w:pPr>
      <w:r>
        <w:rPr>
          <w:rFonts w:ascii="Arial" w:cs="Arial" w:eastAsia="Arial" w:hAnsi="Arial"/>
          <w:sz w:val="14"/>
          <w:szCs w:val="14"/>
          <w:color w:val="auto"/>
        </w:rPr>
        <w:t>North Randall</w:t>
      </w:r>
    </w:p>
    <w:p>
      <w:pPr>
        <w:spacing w:after="0" w:line="222" w:lineRule="auto"/>
        <w:rPr>
          <w:sz w:val="20"/>
          <w:szCs w:val="20"/>
          <w:color w:val="auto"/>
        </w:rPr>
      </w:pPr>
      <w:r>
        <w:rPr>
          <w:rFonts w:ascii="Arial" w:cs="Arial" w:eastAsia="Arial" w:hAnsi="Arial"/>
          <w:sz w:val="14"/>
          <w:szCs w:val="14"/>
          <w:color w:val="auto"/>
        </w:rPr>
        <w:t>Springdale</w:t>
      </w:r>
    </w:p>
    <w:p>
      <w:pPr>
        <w:spacing w:after="0" w:line="221" w:lineRule="auto"/>
        <w:rPr>
          <w:sz w:val="20"/>
          <w:szCs w:val="20"/>
          <w:color w:val="auto"/>
        </w:rPr>
      </w:pPr>
      <w:r>
        <w:rPr>
          <w:rFonts w:ascii="Arial" w:cs="Arial" w:eastAsia="Arial" w:hAnsi="Arial"/>
          <w:sz w:val="14"/>
          <w:szCs w:val="14"/>
          <w:color w:val="auto"/>
        </w:rPr>
        <w:t>Toledo</w:t>
      </w:r>
    </w:p>
    <w:p>
      <w:pPr>
        <w:spacing w:after="0"/>
        <w:rPr>
          <w:sz w:val="20"/>
          <w:szCs w:val="20"/>
          <w:color w:val="auto"/>
        </w:rPr>
      </w:pPr>
      <w:r>
        <w:rPr>
          <w:rFonts w:ascii="Arial" w:cs="Arial" w:eastAsia="Arial" w:hAnsi="Arial"/>
          <w:sz w:val="14"/>
          <w:szCs w:val="14"/>
          <w:color w:val="auto"/>
        </w:rPr>
        <w:t>Trotwood</w:t>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Oklahoma</w:t>
      </w:r>
    </w:p>
    <w:p>
      <w:pPr>
        <w:spacing w:after="0" w:line="221" w:lineRule="auto"/>
        <w:rPr>
          <w:sz w:val="20"/>
          <w:szCs w:val="20"/>
          <w:color w:val="auto"/>
        </w:rPr>
      </w:pPr>
      <w:r>
        <w:rPr>
          <w:rFonts w:ascii="Arial" w:cs="Arial" w:eastAsia="Arial" w:hAnsi="Arial"/>
          <w:sz w:val="14"/>
          <w:szCs w:val="14"/>
          <w:color w:val="auto"/>
        </w:rPr>
        <w:t>Oklahoma City (2)</w:t>
      </w:r>
    </w:p>
    <w:p>
      <w:pPr>
        <w:spacing w:after="0"/>
        <w:rPr>
          <w:sz w:val="20"/>
          <w:szCs w:val="20"/>
          <w:color w:val="auto"/>
        </w:rPr>
      </w:pPr>
      <w:r>
        <w:rPr>
          <w:rFonts w:ascii="Arial" w:cs="Arial" w:eastAsia="Arial" w:hAnsi="Arial"/>
          <w:sz w:val="14"/>
          <w:szCs w:val="14"/>
          <w:color w:val="auto"/>
        </w:rPr>
        <w:t>Tulsa</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Oregon</w:t>
      </w:r>
    </w:p>
    <w:p>
      <w:pPr>
        <w:spacing w:after="0" w:line="221" w:lineRule="auto"/>
        <w:rPr>
          <w:sz w:val="20"/>
          <w:szCs w:val="20"/>
          <w:color w:val="auto"/>
        </w:rPr>
      </w:pPr>
      <w:r>
        <w:rPr>
          <w:rFonts w:ascii="Arial" w:cs="Arial" w:eastAsia="Arial" w:hAnsi="Arial"/>
          <w:sz w:val="14"/>
          <w:szCs w:val="14"/>
          <w:color w:val="auto"/>
        </w:rPr>
        <w:t>Beaverton</w:t>
      </w:r>
    </w:p>
    <w:p>
      <w:pPr>
        <w:spacing w:after="0" w:line="221" w:lineRule="auto"/>
        <w:rPr>
          <w:sz w:val="20"/>
          <w:szCs w:val="20"/>
          <w:color w:val="auto"/>
        </w:rPr>
      </w:pPr>
      <w:r>
        <w:rPr>
          <w:rFonts w:ascii="Arial" w:cs="Arial" w:eastAsia="Arial" w:hAnsi="Arial"/>
          <w:sz w:val="14"/>
          <w:szCs w:val="14"/>
          <w:color w:val="auto"/>
        </w:rPr>
        <w:t>Eugene</w:t>
      </w:r>
    </w:p>
    <w:p>
      <w:pPr>
        <w:spacing w:after="0"/>
        <w:rPr>
          <w:sz w:val="20"/>
          <w:szCs w:val="20"/>
          <w:color w:val="auto"/>
        </w:rPr>
      </w:pPr>
      <w:r>
        <w:rPr>
          <w:rFonts w:ascii="Arial" w:cs="Arial" w:eastAsia="Arial" w:hAnsi="Arial"/>
          <w:sz w:val="14"/>
          <w:szCs w:val="14"/>
          <w:color w:val="auto"/>
        </w:rPr>
        <w:t>Lincoln City*</w:t>
      </w:r>
    </w:p>
    <w:p>
      <w:pPr>
        <w:spacing w:after="0" w:line="125" w:lineRule="exact"/>
        <w:rPr>
          <w:sz w:val="20"/>
          <w:szCs w:val="20"/>
          <w:color w:val="auto"/>
        </w:rPr>
      </w:pPr>
    </w:p>
    <w:p>
      <w:pPr>
        <w:ind w:left="5360"/>
        <w:spacing w:after="0"/>
        <w:rPr>
          <w:sz w:val="20"/>
          <w:szCs w:val="20"/>
          <w:color w:val="auto"/>
        </w:rPr>
      </w:pPr>
      <w:r>
        <w:rPr>
          <w:rFonts w:ascii="Arial" w:cs="Arial" w:eastAsia="Arial" w:hAnsi="Arial"/>
          <w:sz w:val="12"/>
          <w:szCs w:val="12"/>
          <w:b w:val="1"/>
          <w:bCs w:val="1"/>
          <w:i w:val="1"/>
          <w:iCs w:val="1"/>
          <w:color w:val="auto"/>
        </w:rPr>
        <w:t>Oregon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Portland</w:t>
      </w:r>
    </w:p>
    <w:p>
      <w:pPr>
        <w:spacing w:after="0"/>
        <w:rPr>
          <w:sz w:val="20"/>
          <w:szCs w:val="20"/>
          <w:color w:val="auto"/>
        </w:rPr>
      </w:pPr>
      <w:r>
        <w:rPr>
          <w:rFonts w:ascii="Arial" w:cs="Arial" w:eastAsia="Arial" w:hAnsi="Arial"/>
          <w:sz w:val="14"/>
          <w:szCs w:val="14"/>
          <w:color w:val="auto"/>
        </w:rPr>
        <w:t>Salem</w:t>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Pennsylvania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Altoona</w:t>
      </w:r>
    </w:p>
    <w:p>
      <w:pPr>
        <w:spacing w:after="0" w:line="221" w:lineRule="auto"/>
        <w:rPr>
          <w:sz w:val="20"/>
          <w:szCs w:val="20"/>
          <w:color w:val="auto"/>
        </w:rPr>
      </w:pPr>
      <w:r>
        <w:rPr>
          <w:rFonts w:ascii="Arial" w:cs="Arial" w:eastAsia="Arial" w:hAnsi="Arial"/>
          <w:sz w:val="14"/>
          <w:szCs w:val="14"/>
          <w:color w:val="auto"/>
        </w:rPr>
        <w:t>Erie</w:t>
      </w:r>
    </w:p>
    <w:p>
      <w:pPr>
        <w:spacing w:after="0" w:line="221" w:lineRule="auto"/>
        <w:rPr>
          <w:sz w:val="20"/>
          <w:szCs w:val="20"/>
          <w:color w:val="auto"/>
        </w:rPr>
      </w:pPr>
      <w:r>
        <w:rPr>
          <w:rFonts w:ascii="Arial" w:cs="Arial" w:eastAsia="Arial" w:hAnsi="Arial"/>
          <w:sz w:val="14"/>
          <w:szCs w:val="14"/>
          <w:color w:val="auto"/>
        </w:rPr>
        <w:t>Franklin Mills</w:t>
      </w:r>
    </w:p>
    <w:p>
      <w:pPr>
        <w:spacing w:after="0" w:line="222" w:lineRule="auto"/>
        <w:rPr>
          <w:sz w:val="20"/>
          <w:szCs w:val="20"/>
          <w:color w:val="auto"/>
        </w:rPr>
      </w:pPr>
      <w:r>
        <w:rPr>
          <w:rFonts w:ascii="Arial" w:cs="Arial" w:eastAsia="Arial" w:hAnsi="Arial"/>
          <w:sz w:val="14"/>
          <w:szCs w:val="14"/>
          <w:color w:val="auto"/>
        </w:rPr>
        <w:t>Gettysburg*</w:t>
      </w:r>
    </w:p>
    <w:p>
      <w:pPr>
        <w:spacing w:after="0" w:line="221" w:lineRule="auto"/>
        <w:rPr>
          <w:sz w:val="20"/>
          <w:szCs w:val="20"/>
          <w:color w:val="auto"/>
        </w:rPr>
      </w:pPr>
      <w:r>
        <w:rPr>
          <w:rFonts w:ascii="Arial" w:cs="Arial" w:eastAsia="Arial" w:hAnsi="Arial"/>
          <w:sz w:val="14"/>
          <w:szCs w:val="14"/>
          <w:color w:val="auto"/>
        </w:rPr>
        <w:t>Greensburg</w:t>
      </w:r>
    </w:p>
    <w:p>
      <w:pPr>
        <w:spacing w:after="0" w:line="222" w:lineRule="auto"/>
        <w:rPr>
          <w:sz w:val="20"/>
          <w:szCs w:val="20"/>
          <w:color w:val="auto"/>
        </w:rPr>
      </w:pPr>
      <w:r>
        <w:rPr>
          <w:rFonts w:ascii="Arial" w:cs="Arial" w:eastAsia="Arial" w:hAnsi="Arial"/>
          <w:sz w:val="14"/>
          <w:szCs w:val="14"/>
          <w:color w:val="auto"/>
        </w:rPr>
        <w:t>Grove City*</w:t>
      </w:r>
    </w:p>
    <w:p>
      <w:pPr>
        <w:spacing w:after="0" w:line="221" w:lineRule="auto"/>
        <w:rPr>
          <w:sz w:val="20"/>
          <w:szCs w:val="20"/>
          <w:color w:val="auto"/>
        </w:rPr>
      </w:pPr>
      <w:r>
        <w:rPr>
          <w:rFonts w:ascii="Arial" w:cs="Arial" w:eastAsia="Arial" w:hAnsi="Arial"/>
          <w:sz w:val="14"/>
          <w:szCs w:val="14"/>
          <w:color w:val="auto"/>
        </w:rPr>
        <w:t>Harrisburg</w:t>
      </w:r>
    </w:p>
    <w:p>
      <w:pPr>
        <w:spacing w:after="0" w:line="222" w:lineRule="auto"/>
        <w:rPr>
          <w:sz w:val="20"/>
          <w:szCs w:val="20"/>
          <w:color w:val="auto"/>
        </w:rPr>
      </w:pPr>
      <w:r>
        <w:rPr>
          <w:rFonts w:ascii="Arial" w:cs="Arial" w:eastAsia="Arial" w:hAnsi="Arial"/>
          <w:sz w:val="14"/>
          <w:szCs w:val="14"/>
          <w:color w:val="auto"/>
        </w:rPr>
        <w:t>King Of Prussia</w:t>
      </w:r>
    </w:p>
    <w:p>
      <w:pPr>
        <w:spacing w:after="0" w:line="221" w:lineRule="auto"/>
        <w:rPr>
          <w:sz w:val="20"/>
          <w:szCs w:val="20"/>
          <w:color w:val="auto"/>
        </w:rPr>
      </w:pPr>
      <w:r>
        <w:rPr>
          <w:rFonts w:ascii="Arial" w:cs="Arial" w:eastAsia="Arial" w:hAnsi="Arial"/>
          <w:sz w:val="14"/>
          <w:szCs w:val="14"/>
          <w:color w:val="auto"/>
        </w:rPr>
        <w:t>Lancaster*</w:t>
      </w:r>
    </w:p>
    <w:p>
      <w:pPr>
        <w:spacing w:after="0" w:line="222" w:lineRule="auto"/>
        <w:rPr>
          <w:sz w:val="20"/>
          <w:szCs w:val="20"/>
          <w:color w:val="auto"/>
        </w:rPr>
      </w:pPr>
      <w:r>
        <w:rPr>
          <w:rFonts w:ascii="Arial" w:cs="Arial" w:eastAsia="Arial" w:hAnsi="Arial"/>
          <w:sz w:val="14"/>
          <w:szCs w:val="14"/>
          <w:color w:val="auto"/>
        </w:rPr>
        <w:t>Langhorne</w:t>
      </w:r>
    </w:p>
    <w:p>
      <w:pPr>
        <w:spacing w:after="0" w:line="221" w:lineRule="auto"/>
        <w:rPr>
          <w:sz w:val="20"/>
          <w:szCs w:val="20"/>
          <w:color w:val="auto"/>
        </w:rPr>
      </w:pPr>
      <w:r>
        <w:rPr>
          <w:rFonts w:ascii="Arial" w:cs="Arial" w:eastAsia="Arial" w:hAnsi="Arial"/>
          <w:sz w:val="14"/>
          <w:szCs w:val="14"/>
          <w:color w:val="auto"/>
        </w:rPr>
        <w:t>Monroeville</w:t>
      </w:r>
    </w:p>
    <w:p>
      <w:pPr>
        <w:spacing w:after="0" w:line="222" w:lineRule="auto"/>
        <w:rPr>
          <w:sz w:val="20"/>
          <w:szCs w:val="20"/>
          <w:color w:val="auto"/>
        </w:rPr>
      </w:pPr>
      <w:r>
        <w:rPr>
          <w:rFonts w:ascii="Arial" w:cs="Arial" w:eastAsia="Arial" w:hAnsi="Arial"/>
          <w:sz w:val="14"/>
          <w:szCs w:val="14"/>
          <w:color w:val="auto"/>
        </w:rPr>
        <w:t>Philadelphia (5)*</w:t>
      </w:r>
    </w:p>
    <w:p>
      <w:pPr>
        <w:spacing w:after="0" w:line="221" w:lineRule="auto"/>
        <w:rPr>
          <w:sz w:val="20"/>
          <w:szCs w:val="20"/>
          <w:color w:val="auto"/>
        </w:rPr>
      </w:pPr>
      <w:r>
        <w:rPr>
          <w:rFonts w:ascii="Arial" w:cs="Arial" w:eastAsia="Arial" w:hAnsi="Arial"/>
          <w:sz w:val="14"/>
          <w:szCs w:val="14"/>
          <w:color w:val="auto"/>
        </w:rPr>
        <w:t>Pittsburgh (2)</w:t>
      </w:r>
    </w:p>
    <w:p>
      <w:pPr>
        <w:spacing w:after="0" w:line="221" w:lineRule="auto"/>
        <w:rPr>
          <w:sz w:val="20"/>
          <w:szCs w:val="20"/>
          <w:color w:val="auto"/>
        </w:rPr>
      </w:pPr>
      <w:r>
        <w:rPr>
          <w:rFonts w:ascii="Arial" w:cs="Arial" w:eastAsia="Arial" w:hAnsi="Arial"/>
          <w:sz w:val="14"/>
          <w:szCs w:val="14"/>
          <w:color w:val="auto"/>
        </w:rPr>
        <w:t>Scranton</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Tannersville</w:t>
      </w:r>
    </w:p>
    <w:p>
      <w:pPr>
        <w:spacing w:after="0" w:line="222" w:lineRule="auto"/>
        <w:rPr>
          <w:sz w:val="20"/>
          <w:szCs w:val="20"/>
          <w:color w:val="auto"/>
        </w:rPr>
      </w:pPr>
      <w:r>
        <w:rPr>
          <w:rFonts w:ascii="Arial" w:cs="Arial" w:eastAsia="Arial" w:hAnsi="Arial"/>
          <w:sz w:val="14"/>
          <w:szCs w:val="14"/>
          <w:color w:val="auto"/>
        </w:rPr>
        <w:t>West Mifflin</w:t>
      </w:r>
    </w:p>
    <w:p>
      <w:pPr>
        <w:spacing w:after="0" w:line="221" w:lineRule="auto"/>
        <w:rPr>
          <w:sz w:val="20"/>
          <w:szCs w:val="20"/>
          <w:color w:val="auto"/>
        </w:rPr>
      </w:pPr>
      <w:r>
        <w:rPr>
          <w:rFonts w:ascii="Arial" w:cs="Arial" w:eastAsia="Arial" w:hAnsi="Arial"/>
          <w:sz w:val="14"/>
          <w:szCs w:val="14"/>
          <w:color w:val="auto"/>
        </w:rPr>
        <w:t>Whitehall</w:t>
      </w:r>
    </w:p>
    <w:p>
      <w:pPr>
        <w:spacing w:after="0" w:line="222" w:lineRule="auto"/>
        <w:rPr>
          <w:sz w:val="20"/>
          <w:szCs w:val="20"/>
          <w:color w:val="auto"/>
        </w:rPr>
      </w:pPr>
      <w:r>
        <w:rPr>
          <w:rFonts w:ascii="Arial" w:cs="Arial" w:eastAsia="Arial" w:hAnsi="Arial"/>
          <w:sz w:val="14"/>
          <w:szCs w:val="14"/>
          <w:color w:val="auto"/>
        </w:rPr>
        <w:t>Wilkes Barre</w:t>
      </w:r>
    </w:p>
    <w:p>
      <w:pPr>
        <w:spacing w:after="0" w:line="221" w:lineRule="auto"/>
        <w:rPr>
          <w:sz w:val="20"/>
          <w:szCs w:val="20"/>
          <w:color w:val="auto"/>
        </w:rPr>
      </w:pPr>
      <w:r>
        <w:rPr>
          <w:rFonts w:ascii="Arial" w:cs="Arial" w:eastAsia="Arial" w:hAnsi="Arial"/>
          <w:sz w:val="14"/>
          <w:szCs w:val="14"/>
          <w:color w:val="auto"/>
        </w:rPr>
        <w:t>Willow Grove</w:t>
      </w:r>
    </w:p>
    <w:p>
      <w:pPr>
        <w:spacing w:after="0" w:line="222" w:lineRule="auto"/>
        <w:rPr>
          <w:sz w:val="20"/>
          <w:szCs w:val="20"/>
          <w:color w:val="auto"/>
        </w:rPr>
      </w:pPr>
      <w:r>
        <w:rPr>
          <w:rFonts w:ascii="Arial" w:cs="Arial" w:eastAsia="Arial" w:hAnsi="Arial"/>
          <w:sz w:val="14"/>
          <w:szCs w:val="14"/>
          <w:color w:val="auto"/>
        </w:rPr>
        <w:t>Wyomissing</w:t>
      </w:r>
    </w:p>
    <w:p>
      <w:pPr>
        <w:spacing w:after="0"/>
        <w:rPr>
          <w:sz w:val="20"/>
          <w:szCs w:val="20"/>
          <w:color w:val="auto"/>
        </w:rPr>
      </w:pPr>
      <w:r>
        <w:rPr>
          <w:rFonts w:ascii="Arial" w:cs="Arial" w:eastAsia="Arial" w:hAnsi="Arial"/>
          <w:sz w:val="14"/>
          <w:szCs w:val="14"/>
          <w:color w:val="auto"/>
        </w:rPr>
        <w:t>York</w:t>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Rhode Island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Warwick</w:t>
      </w:r>
    </w:p>
    <w:p>
      <w:pPr>
        <w:spacing w:after="0" w:line="57" w:lineRule="exact"/>
        <w:rPr>
          <w:sz w:val="20"/>
          <w:szCs w:val="20"/>
          <w:color w:val="auto"/>
        </w:rPr>
      </w:pPr>
    </w:p>
    <w:p>
      <w:pPr>
        <w:jc w:val="right"/>
        <w:ind w:right="4079"/>
        <w:spacing w:after="0"/>
        <w:rPr>
          <w:sz w:val="20"/>
          <w:szCs w:val="20"/>
          <w:color w:val="auto"/>
        </w:rPr>
      </w:pPr>
      <w:r>
        <w:rPr>
          <w:rFonts w:ascii="Arial" w:cs="Arial" w:eastAsia="Arial" w:hAnsi="Arial"/>
          <w:sz w:val="14"/>
          <w:szCs w:val="14"/>
          <w:b w:val="1"/>
          <w:bCs w:val="1"/>
          <w:i w:val="1"/>
          <w:iCs w:val="1"/>
          <w:color w:val="auto"/>
        </w:rPr>
        <w:t>South Carolina</w:t>
      </w:r>
    </w:p>
    <w:p>
      <w:pPr>
        <w:spacing w:after="0" w:line="221" w:lineRule="auto"/>
        <w:rPr>
          <w:sz w:val="20"/>
          <w:szCs w:val="20"/>
          <w:color w:val="auto"/>
        </w:rPr>
      </w:pPr>
      <w:r>
        <w:rPr>
          <w:rFonts w:ascii="Arial" w:cs="Arial" w:eastAsia="Arial" w:hAnsi="Arial"/>
          <w:sz w:val="14"/>
          <w:szCs w:val="14"/>
          <w:color w:val="auto"/>
        </w:rPr>
        <w:t>Anderson</w:t>
      </w:r>
    </w:p>
    <w:p>
      <w:pPr>
        <w:spacing w:after="0" w:line="221" w:lineRule="auto"/>
        <w:rPr>
          <w:sz w:val="20"/>
          <w:szCs w:val="20"/>
          <w:color w:val="auto"/>
        </w:rPr>
      </w:pPr>
      <w:r>
        <w:rPr>
          <w:rFonts w:ascii="Arial" w:cs="Arial" w:eastAsia="Arial" w:hAnsi="Arial"/>
          <w:sz w:val="14"/>
          <w:szCs w:val="14"/>
          <w:color w:val="auto"/>
        </w:rPr>
        <w:t>Charleston</w:t>
      </w:r>
    </w:p>
    <w:p>
      <w:pPr>
        <w:spacing w:after="0" w:line="222" w:lineRule="auto"/>
        <w:rPr>
          <w:sz w:val="20"/>
          <w:szCs w:val="20"/>
          <w:color w:val="auto"/>
        </w:rPr>
      </w:pPr>
      <w:r>
        <w:rPr>
          <w:rFonts w:ascii="Arial" w:cs="Arial" w:eastAsia="Arial" w:hAnsi="Arial"/>
          <w:sz w:val="14"/>
          <w:szCs w:val="14"/>
          <w:color w:val="auto"/>
        </w:rPr>
        <w:t>Columbia (2)*</w:t>
      </w:r>
    </w:p>
    <w:p>
      <w:pPr>
        <w:spacing w:after="0" w:line="221" w:lineRule="auto"/>
        <w:rPr>
          <w:sz w:val="20"/>
          <w:szCs w:val="20"/>
          <w:color w:val="auto"/>
        </w:rPr>
      </w:pPr>
      <w:r>
        <w:rPr>
          <w:rFonts w:ascii="Arial" w:cs="Arial" w:eastAsia="Arial" w:hAnsi="Arial"/>
          <w:sz w:val="14"/>
          <w:szCs w:val="14"/>
          <w:color w:val="auto"/>
        </w:rPr>
        <w:t>Florence</w:t>
      </w:r>
    </w:p>
    <w:p>
      <w:pPr>
        <w:spacing w:after="0" w:line="222" w:lineRule="auto"/>
        <w:rPr>
          <w:sz w:val="20"/>
          <w:szCs w:val="20"/>
          <w:color w:val="auto"/>
        </w:rPr>
      </w:pPr>
      <w:r>
        <w:rPr>
          <w:rFonts w:ascii="Arial" w:cs="Arial" w:eastAsia="Arial" w:hAnsi="Arial"/>
          <w:sz w:val="14"/>
          <w:szCs w:val="14"/>
          <w:color w:val="auto"/>
        </w:rPr>
        <w:t>Gaffney*</w:t>
      </w:r>
    </w:p>
    <w:p>
      <w:pPr>
        <w:spacing w:after="0" w:line="221" w:lineRule="auto"/>
        <w:rPr>
          <w:sz w:val="20"/>
          <w:szCs w:val="20"/>
          <w:color w:val="auto"/>
        </w:rPr>
      </w:pPr>
      <w:r>
        <w:rPr>
          <w:rFonts w:ascii="Arial" w:cs="Arial" w:eastAsia="Arial" w:hAnsi="Arial"/>
          <w:sz w:val="14"/>
          <w:szCs w:val="14"/>
          <w:color w:val="auto"/>
        </w:rPr>
        <w:t>Greenville</w:t>
      </w:r>
    </w:p>
    <w:p>
      <w:pPr>
        <w:spacing w:after="0" w:line="222" w:lineRule="auto"/>
        <w:rPr>
          <w:sz w:val="20"/>
          <w:szCs w:val="20"/>
          <w:color w:val="auto"/>
        </w:rPr>
      </w:pPr>
      <w:r>
        <w:rPr>
          <w:rFonts w:ascii="Arial" w:cs="Arial" w:eastAsia="Arial" w:hAnsi="Arial"/>
          <w:sz w:val="14"/>
          <w:szCs w:val="14"/>
          <w:color w:val="auto"/>
        </w:rPr>
        <w:t>Myrtle Beach*</w:t>
      </w:r>
    </w:p>
    <w:p>
      <w:pPr>
        <w:spacing w:after="0"/>
        <w:rPr>
          <w:sz w:val="20"/>
          <w:szCs w:val="20"/>
          <w:color w:val="auto"/>
        </w:rPr>
      </w:pPr>
      <w:r>
        <w:rPr>
          <w:rFonts w:ascii="Arial" w:cs="Arial" w:eastAsia="Arial" w:hAnsi="Arial"/>
          <w:sz w:val="14"/>
          <w:szCs w:val="14"/>
          <w:color w:val="auto"/>
        </w:rPr>
        <w:t>Spartanburg</w:t>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2"/>
          <w:szCs w:val="12"/>
          <w:b w:val="1"/>
          <w:bCs w:val="1"/>
          <w:i w:val="1"/>
          <w:iCs w:val="1"/>
          <w:color w:val="auto"/>
        </w:rPr>
        <w:t>South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Sioux Falls</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2"/>
          <w:szCs w:val="12"/>
          <w:b w:val="1"/>
          <w:bCs w:val="1"/>
          <w:i w:val="1"/>
          <w:iCs w:val="1"/>
          <w:color w:val="auto"/>
        </w:rPr>
        <w:t>Tennessee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Antioch</w:t>
      </w:r>
    </w:p>
    <w:p>
      <w:pPr>
        <w:spacing w:after="0" w:line="221" w:lineRule="auto"/>
        <w:rPr>
          <w:sz w:val="20"/>
          <w:szCs w:val="20"/>
          <w:color w:val="auto"/>
        </w:rPr>
      </w:pPr>
      <w:r>
        <w:rPr>
          <w:rFonts w:ascii="Arial" w:cs="Arial" w:eastAsia="Arial" w:hAnsi="Arial"/>
          <w:sz w:val="14"/>
          <w:szCs w:val="14"/>
          <w:color w:val="auto"/>
        </w:rPr>
        <w:t>Chattanooga</w:t>
      </w:r>
    </w:p>
    <w:p>
      <w:pPr>
        <w:spacing w:after="0" w:line="221" w:lineRule="auto"/>
        <w:rPr>
          <w:sz w:val="20"/>
          <w:szCs w:val="20"/>
          <w:color w:val="auto"/>
        </w:rPr>
      </w:pPr>
      <w:r>
        <w:rPr>
          <w:rFonts w:ascii="Arial" w:cs="Arial" w:eastAsia="Arial" w:hAnsi="Arial"/>
          <w:sz w:val="14"/>
          <w:szCs w:val="14"/>
          <w:color w:val="auto"/>
        </w:rPr>
        <w:t>Jackson</w:t>
      </w:r>
    </w:p>
    <w:p>
      <w:pPr>
        <w:spacing w:after="0" w:line="222" w:lineRule="auto"/>
        <w:rPr>
          <w:sz w:val="20"/>
          <w:szCs w:val="20"/>
          <w:color w:val="auto"/>
        </w:rPr>
      </w:pPr>
      <w:r>
        <w:rPr>
          <w:rFonts w:ascii="Arial" w:cs="Arial" w:eastAsia="Arial" w:hAnsi="Arial"/>
          <w:sz w:val="14"/>
          <w:szCs w:val="14"/>
          <w:color w:val="auto"/>
        </w:rPr>
        <w:t>Knoxville</w:t>
      </w:r>
    </w:p>
    <w:p>
      <w:pPr>
        <w:spacing w:after="0" w:line="221" w:lineRule="auto"/>
        <w:rPr>
          <w:sz w:val="20"/>
          <w:szCs w:val="20"/>
          <w:color w:val="auto"/>
        </w:rPr>
      </w:pPr>
      <w:r>
        <w:rPr>
          <w:rFonts w:ascii="Arial" w:cs="Arial" w:eastAsia="Arial" w:hAnsi="Arial"/>
          <w:sz w:val="14"/>
          <w:szCs w:val="14"/>
          <w:color w:val="auto"/>
        </w:rPr>
        <w:t>Lakeland*</w:t>
      </w:r>
    </w:p>
    <w:p>
      <w:pPr>
        <w:spacing w:after="0" w:line="222" w:lineRule="auto"/>
        <w:rPr>
          <w:sz w:val="20"/>
          <w:szCs w:val="20"/>
          <w:color w:val="auto"/>
        </w:rPr>
      </w:pPr>
      <w:r>
        <w:rPr>
          <w:rFonts w:ascii="Arial" w:cs="Arial" w:eastAsia="Arial" w:hAnsi="Arial"/>
          <w:sz w:val="14"/>
          <w:szCs w:val="14"/>
          <w:color w:val="auto"/>
        </w:rPr>
        <w:t>Madison</w:t>
      </w:r>
    </w:p>
    <w:p>
      <w:pPr>
        <w:spacing w:after="0" w:line="221" w:lineRule="auto"/>
        <w:rPr>
          <w:sz w:val="20"/>
          <w:szCs w:val="20"/>
          <w:color w:val="auto"/>
        </w:rPr>
      </w:pPr>
      <w:r>
        <w:rPr>
          <w:rFonts w:ascii="Arial" w:cs="Arial" w:eastAsia="Arial" w:hAnsi="Arial"/>
          <w:sz w:val="14"/>
          <w:szCs w:val="14"/>
          <w:color w:val="auto"/>
        </w:rPr>
        <w:t>Memphis (2)</w:t>
      </w:r>
    </w:p>
    <w:p>
      <w:pPr>
        <w:spacing w:after="0"/>
        <w:rPr>
          <w:sz w:val="20"/>
          <w:szCs w:val="20"/>
          <w:color w:val="auto"/>
        </w:rPr>
      </w:pPr>
      <w:r>
        <w:rPr>
          <w:rFonts w:ascii="Arial" w:cs="Arial" w:eastAsia="Arial" w:hAnsi="Arial"/>
          <w:sz w:val="14"/>
          <w:szCs w:val="14"/>
          <w:color w:val="auto"/>
        </w:rPr>
        <w:t>Pigeon Forge*</w:t>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4"/>
          <w:szCs w:val="14"/>
          <w:b w:val="1"/>
          <w:bCs w:val="1"/>
          <w:i w:val="1"/>
          <w:iCs w:val="1"/>
          <w:color w:val="auto"/>
        </w:rPr>
        <w:t>Texas</w:t>
      </w:r>
    </w:p>
    <w:p>
      <w:pPr>
        <w:spacing w:after="0" w:line="221" w:lineRule="auto"/>
        <w:rPr>
          <w:sz w:val="20"/>
          <w:szCs w:val="20"/>
          <w:color w:val="auto"/>
        </w:rPr>
      </w:pPr>
      <w:r>
        <w:rPr>
          <w:rFonts w:ascii="Arial" w:cs="Arial" w:eastAsia="Arial" w:hAnsi="Arial"/>
          <w:sz w:val="14"/>
          <w:szCs w:val="14"/>
          <w:color w:val="auto"/>
        </w:rPr>
        <w:t>Amarillo</w:t>
      </w:r>
    </w:p>
    <w:p>
      <w:pPr>
        <w:spacing w:after="0" w:line="221" w:lineRule="auto"/>
        <w:rPr>
          <w:sz w:val="20"/>
          <w:szCs w:val="20"/>
          <w:color w:val="auto"/>
        </w:rPr>
      </w:pPr>
      <w:r>
        <w:rPr>
          <w:rFonts w:ascii="Arial" w:cs="Arial" w:eastAsia="Arial" w:hAnsi="Arial"/>
          <w:sz w:val="14"/>
          <w:szCs w:val="14"/>
          <w:color w:val="auto"/>
        </w:rPr>
        <w:t>Arlington</w:t>
      </w:r>
    </w:p>
    <w:p>
      <w:pPr>
        <w:spacing w:after="0" w:line="222" w:lineRule="auto"/>
        <w:rPr>
          <w:sz w:val="20"/>
          <w:szCs w:val="20"/>
          <w:color w:val="auto"/>
        </w:rPr>
      </w:pPr>
      <w:r>
        <w:rPr>
          <w:rFonts w:ascii="Arial" w:cs="Arial" w:eastAsia="Arial" w:hAnsi="Arial"/>
          <w:sz w:val="14"/>
          <w:szCs w:val="14"/>
          <w:color w:val="auto"/>
        </w:rPr>
        <w:t>Austin</w:t>
      </w:r>
    </w:p>
    <w:p>
      <w:pPr>
        <w:spacing w:after="0" w:line="221" w:lineRule="auto"/>
        <w:rPr>
          <w:sz w:val="20"/>
          <w:szCs w:val="20"/>
          <w:color w:val="auto"/>
        </w:rPr>
      </w:pPr>
      <w:r>
        <w:rPr>
          <w:rFonts w:ascii="Arial" w:cs="Arial" w:eastAsia="Arial" w:hAnsi="Arial"/>
          <w:sz w:val="14"/>
          <w:szCs w:val="14"/>
          <w:color w:val="auto"/>
        </w:rPr>
        <w:t>Conroe*</w:t>
      </w:r>
    </w:p>
    <w:p>
      <w:pPr>
        <w:spacing w:after="0" w:line="222" w:lineRule="auto"/>
        <w:rPr>
          <w:sz w:val="20"/>
          <w:szCs w:val="20"/>
          <w:color w:val="auto"/>
        </w:rPr>
      </w:pPr>
      <w:r>
        <w:rPr>
          <w:rFonts w:ascii="Arial" w:cs="Arial" w:eastAsia="Arial" w:hAnsi="Arial"/>
          <w:sz w:val="14"/>
          <w:szCs w:val="14"/>
          <w:color w:val="auto"/>
        </w:rPr>
        <w:t>Corpus Christi</w:t>
      </w:r>
    </w:p>
    <w:p>
      <w:pPr>
        <w:spacing w:after="0" w:line="221" w:lineRule="auto"/>
        <w:rPr>
          <w:sz w:val="20"/>
          <w:szCs w:val="20"/>
          <w:color w:val="auto"/>
        </w:rPr>
      </w:pPr>
      <w:r>
        <w:rPr>
          <w:rFonts w:ascii="Arial" w:cs="Arial" w:eastAsia="Arial" w:hAnsi="Arial"/>
          <w:sz w:val="14"/>
          <w:szCs w:val="14"/>
          <w:color w:val="auto"/>
        </w:rPr>
        <w:t>Dallas (2)</w:t>
      </w:r>
    </w:p>
    <w:p>
      <w:pPr>
        <w:spacing w:after="0"/>
        <w:rPr>
          <w:sz w:val="20"/>
          <w:szCs w:val="20"/>
          <w:color w:val="auto"/>
        </w:rPr>
      </w:pPr>
      <w:r>
        <w:rPr>
          <w:rFonts w:ascii="Arial" w:cs="Arial" w:eastAsia="Arial" w:hAnsi="Arial"/>
          <w:sz w:val="14"/>
          <w:szCs w:val="14"/>
          <w:color w:val="auto"/>
        </w:rPr>
        <w:t>El Paso</w:t>
      </w:r>
    </w:p>
    <w:p>
      <w:pPr>
        <w:spacing w:after="0" w:line="125" w:lineRule="exact"/>
        <w:rPr>
          <w:sz w:val="20"/>
          <w:szCs w:val="20"/>
          <w:color w:val="auto"/>
        </w:rPr>
      </w:pPr>
    </w:p>
    <w:p>
      <w:pPr>
        <w:ind w:left="5400"/>
        <w:spacing w:after="0"/>
        <w:rPr>
          <w:sz w:val="20"/>
          <w:szCs w:val="20"/>
          <w:color w:val="auto"/>
        </w:rPr>
      </w:pPr>
      <w:r>
        <w:rPr>
          <w:rFonts w:ascii="Arial" w:cs="Arial" w:eastAsia="Arial" w:hAnsi="Arial"/>
          <w:sz w:val="12"/>
          <w:szCs w:val="12"/>
          <w:b w:val="1"/>
          <w:bCs w:val="1"/>
          <w:i w:val="1"/>
          <w:iCs w:val="1"/>
          <w:color w:val="auto"/>
        </w:rPr>
        <w:t>Texas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Fort Worth</w:t>
      </w:r>
    </w:p>
    <w:p>
      <w:pPr>
        <w:spacing w:after="0" w:line="221" w:lineRule="auto"/>
        <w:rPr>
          <w:sz w:val="20"/>
          <w:szCs w:val="20"/>
          <w:color w:val="auto"/>
        </w:rPr>
      </w:pPr>
      <w:r>
        <w:rPr>
          <w:rFonts w:ascii="Arial" w:cs="Arial" w:eastAsia="Arial" w:hAnsi="Arial"/>
          <w:sz w:val="14"/>
          <w:szCs w:val="14"/>
          <w:color w:val="auto"/>
        </w:rPr>
        <w:t>Hillsboro*</w:t>
      </w:r>
    </w:p>
    <w:p>
      <w:pPr>
        <w:spacing w:after="0" w:line="221" w:lineRule="auto"/>
        <w:rPr>
          <w:sz w:val="20"/>
          <w:szCs w:val="20"/>
          <w:color w:val="auto"/>
        </w:rPr>
      </w:pPr>
      <w:r>
        <w:rPr>
          <w:rFonts w:ascii="Arial" w:cs="Arial" w:eastAsia="Arial" w:hAnsi="Arial"/>
          <w:sz w:val="14"/>
          <w:szCs w:val="14"/>
          <w:color w:val="auto"/>
        </w:rPr>
        <w:t>Houston (5)</w:t>
      </w:r>
    </w:p>
    <w:p>
      <w:pPr>
        <w:spacing w:after="0" w:line="222" w:lineRule="auto"/>
        <w:rPr>
          <w:sz w:val="20"/>
          <w:szCs w:val="20"/>
          <w:color w:val="auto"/>
        </w:rPr>
      </w:pPr>
      <w:r>
        <w:rPr>
          <w:rFonts w:ascii="Arial" w:cs="Arial" w:eastAsia="Arial" w:hAnsi="Arial"/>
          <w:sz w:val="14"/>
          <w:szCs w:val="14"/>
          <w:color w:val="auto"/>
        </w:rPr>
        <w:t>Humble</w:t>
      </w:r>
    </w:p>
    <w:p>
      <w:pPr>
        <w:spacing w:after="0" w:line="221" w:lineRule="auto"/>
        <w:rPr>
          <w:sz w:val="20"/>
          <w:szCs w:val="20"/>
          <w:color w:val="auto"/>
        </w:rPr>
      </w:pPr>
      <w:r>
        <w:rPr>
          <w:rFonts w:ascii="Arial" w:cs="Arial" w:eastAsia="Arial" w:hAnsi="Arial"/>
          <w:sz w:val="14"/>
          <w:szCs w:val="14"/>
          <w:color w:val="auto"/>
        </w:rPr>
        <w:t>Hurst</w:t>
      </w:r>
    </w:p>
    <w:p>
      <w:pPr>
        <w:spacing w:after="0" w:line="222" w:lineRule="auto"/>
        <w:rPr>
          <w:sz w:val="20"/>
          <w:szCs w:val="20"/>
          <w:color w:val="auto"/>
        </w:rPr>
      </w:pPr>
      <w:r>
        <w:rPr>
          <w:rFonts w:ascii="Arial" w:cs="Arial" w:eastAsia="Arial" w:hAnsi="Arial"/>
          <w:sz w:val="14"/>
          <w:szCs w:val="14"/>
          <w:color w:val="auto"/>
        </w:rPr>
        <w:t>Irving</w:t>
      </w:r>
    </w:p>
    <w:p>
      <w:pPr>
        <w:spacing w:after="0" w:line="221" w:lineRule="auto"/>
        <w:rPr>
          <w:sz w:val="20"/>
          <w:szCs w:val="20"/>
          <w:color w:val="auto"/>
        </w:rPr>
      </w:pPr>
      <w:r>
        <w:rPr>
          <w:rFonts w:ascii="Arial" w:cs="Arial" w:eastAsia="Arial" w:hAnsi="Arial"/>
          <w:sz w:val="14"/>
          <w:szCs w:val="14"/>
          <w:color w:val="auto"/>
        </w:rPr>
        <w:t>Laredo</w:t>
      </w:r>
    </w:p>
    <w:p>
      <w:pPr>
        <w:spacing w:after="0" w:line="222" w:lineRule="auto"/>
        <w:rPr>
          <w:sz w:val="20"/>
          <w:szCs w:val="20"/>
          <w:color w:val="auto"/>
        </w:rPr>
      </w:pPr>
      <w:r>
        <w:rPr>
          <w:rFonts w:ascii="Arial" w:cs="Arial" w:eastAsia="Arial" w:hAnsi="Arial"/>
          <w:sz w:val="14"/>
          <w:szCs w:val="14"/>
          <w:color w:val="auto"/>
        </w:rPr>
        <w:t>Lewisville</w:t>
      </w:r>
    </w:p>
    <w:p>
      <w:pPr>
        <w:spacing w:after="0" w:line="221" w:lineRule="auto"/>
        <w:rPr>
          <w:sz w:val="20"/>
          <w:szCs w:val="20"/>
          <w:color w:val="auto"/>
        </w:rPr>
      </w:pPr>
      <w:r>
        <w:rPr>
          <w:rFonts w:ascii="Arial" w:cs="Arial" w:eastAsia="Arial" w:hAnsi="Arial"/>
          <w:sz w:val="14"/>
          <w:szCs w:val="14"/>
          <w:color w:val="auto"/>
        </w:rPr>
        <w:t>Lubbock</w:t>
      </w:r>
    </w:p>
    <w:p>
      <w:pPr>
        <w:spacing w:after="0" w:line="222" w:lineRule="auto"/>
        <w:rPr>
          <w:sz w:val="20"/>
          <w:szCs w:val="20"/>
          <w:color w:val="auto"/>
        </w:rPr>
      </w:pPr>
      <w:r>
        <w:rPr>
          <w:rFonts w:ascii="Arial" w:cs="Arial" w:eastAsia="Arial" w:hAnsi="Arial"/>
          <w:sz w:val="14"/>
          <w:szCs w:val="14"/>
          <w:color w:val="auto"/>
        </w:rPr>
        <w:t>Mesquite</w:t>
      </w:r>
    </w:p>
    <w:p>
      <w:pPr>
        <w:spacing w:after="0" w:line="221" w:lineRule="auto"/>
        <w:rPr>
          <w:sz w:val="20"/>
          <w:szCs w:val="20"/>
          <w:color w:val="auto"/>
        </w:rPr>
      </w:pPr>
      <w:r>
        <w:rPr>
          <w:rFonts w:ascii="Arial" w:cs="Arial" w:eastAsia="Arial" w:hAnsi="Arial"/>
          <w:sz w:val="14"/>
          <w:szCs w:val="14"/>
          <w:color w:val="auto"/>
        </w:rPr>
        <w:t>Midland</w:t>
      </w:r>
    </w:p>
    <w:p>
      <w:pPr>
        <w:spacing w:after="0" w:line="222" w:lineRule="auto"/>
        <w:rPr>
          <w:sz w:val="20"/>
          <w:szCs w:val="20"/>
          <w:color w:val="auto"/>
        </w:rPr>
      </w:pPr>
      <w:r>
        <w:rPr>
          <w:rFonts w:ascii="Arial" w:cs="Arial" w:eastAsia="Arial" w:hAnsi="Arial"/>
          <w:sz w:val="14"/>
          <w:szCs w:val="14"/>
          <w:color w:val="auto"/>
        </w:rPr>
        <w:t>Pasadena</w:t>
      </w:r>
    </w:p>
    <w:p>
      <w:pPr>
        <w:spacing w:after="0" w:line="221" w:lineRule="auto"/>
        <w:rPr>
          <w:sz w:val="20"/>
          <w:szCs w:val="20"/>
          <w:color w:val="auto"/>
        </w:rPr>
      </w:pPr>
      <w:r>
        <w:rPr>
          <w:rFonts w:ascii="Arial" w:cs="Arial" w:eastAsia="Arial" w:hAnsi="Arial"/>
          <w:sz w:val="14"/>
          <w:szCs w:val="14"/>
          <w:color w:val="auto"/>
        </w:rPr>
        <w:t>Plano</w:t>
      </w:r>
    </w:p>
    <w:p>
      <w:pPr>
        <w:spacing w:after="0" w:line="221" w:lineRule="auto"/>
        <w:rPr>
          <w:sz w:val="20"/>
          <w:szCs w:val="20"/>
          <w:color w:val="auto"/>
        </w:rPr>
      </w:pPr>
      <w:r>
        <w:rPr>
          <w:rFonts w:ascii="Arial" w:cs="Arial" w:eastAsia="Arial" w:hAnsi="Arial"/>
          <w:sz w:val="14"/>
          <w:szCs w:val="14"/>
          <w:color w:val="auto"/>
        </w:rPr>
        <w:t>San Antonio (3)</w:t>
      </w:r>
    </w:p>
    <w:p>
      <w:pPr>
        <w:spacing w:after="0" w:line="222" w:lineRule="auto"/>
        <w:rPr>
          <w:sz w:val="20"/>
          <w:szCs w:val="20"/>
          <w:color w:val="auto"/>
        </w:rPr>
      </w:pPr>
      <w:r>
        <w:rPr>
          <w:rFonts w:ascii="Arial" w:cs="Arial" w:eastAsia="Arial" w:hAnsi="Arial"/>
          <w:sz w:val="14"/>
          <w:szCs w:val="14"/>
          <w:color w:val="auto"/>
        </w:rPr>
        <w:t>San Marcos*</w:t>
      </w:r>
    </w:p>
    <w:p>
      <w:pPr>
        <w:spacing w:after="0" w:line="221" w:lineRule="auto"/>
        <w:rPr>
          <w:sz w:val="20"/>
          <w:szCs w:val="20"/>
          <w:color w:val="auto"/>
        </w:rPr>
      </w:pPr>
      <w:r>
        <w:rPr>
          <w:rFonts w:ascii="Arial" w:cs="Arial" w:eastAsia="Arial" w:hAnsi="Arial"/>
          <w:sz w:val="14"/>
          <w:szCs w:val="14"/>
          <w:color w:val="auto"/>
        </w:rPr>
        <w:t>Selma</w:t>
      </w:r>
    </w:p>
    <w:p>
      <w:pPr>
        <w:spacing w:after="0" w:line="222" w:lineRule="auto"/>
        <w:rPr>
          <w:sz w:val="20"/>
          <w:szCs w:val="20"/>
          <w:color w:val="auto"/>
        </w:rPr>
      </w:pPr>
      <w:r>
        <w:rPr>
          <w:rFonts w:ascii="Arial" w:cs="Arial" w:eastAsia="Arial" w:hAnsi="Arial"/>
          <w:sz w:val="14"/>
          <w:szCs w:val="14"/>
          <w:color w:val="auto"/>
        </w:rPr>
        <w:t>Shenandoah</w:t>
      </w:r>
    </w:p>
    <w:p>
      <w:pPr>
        <w:spacing w:after="0" w:line="221" w:lineRule="auto"/>
        <w:rPr>
          <w:sz w:val="20"/>
          <w:szCs w:val="20"/>
          <w:color w:val="auto"/>
        </w:rPr>
      </w:pPr>
      <w:r>
        <w:rPr>
          <w:rFonts w:ascii="Arial" w:cs="Arial" w:eastAsia="Arial" w:hAnsi="Arial"/>
          <w:sz w:val="14"/>
          <w:szCs w:val="14"/>
          <w:color w:val="auto"/>
        </w:rPr>
        <w:t>Sunset Valley</w:t>
      </w:r>
    </w:p>
    <w:p>
      <w:pPr>
        <w:spacing w:after="0" w:line="222" w:lineRule="auto"/>
        <w:rPr>
          <w:sz w:val="20"/>
          <w:szCs w:val="20"/>
          <w:color w:val="auto"/>
        </w:rPr>
      </w:pPr>
      <w:r>
        <w:rPr>
          <w:rFonts w:ascii="Arial" w:cs="Arial" w:eastAsia="Arial" w:hAnsi="Arial"/>
          <w:sz w:val="14"/>
          <w:szCs w:val="14"/>
          <w:color w:val="auto"/>
        </w:rPr>
        <w:t>Tyler</w:t>
      </w:r>
    </w:p>
    <w:p>
      <w:pPr>
        <w:spacing w:after="0" w:line="221" w:lineRule="auto"/>
        <w:rPr>
          <w:sz w:val="20"/>
          <w:szCs w:val="20"/>
          <w:color w:val="auto"/>
        </w:rPr>
      </w:pPr>
      <w:r>
        <w:rPr>
          <w:rFonts w:ascii="Arial" w:cs="Arial" w:eastAsia="Arial" w:hAnsi="Arial"/>
          <w:sz w:val="14"/>
          <w:szCs w:val="14"/>
          <w:color w:val="auto"/>
        </w:rPr>
        <w:t>Waco</w:t>
      </w:r>
    </w:p>
    <w:p>
      <w:pPr>
        <w:spacing w:after="0"/>
        <w:rPr>
          <w:sz w:val="20"/>
          <w:szCs w:val="20"/>
          <w:color w:val="auto"/>
        </w:rPr>
      </w:pPr>
      <w:r>
        <w:rPr>
          <w:rFonts w:ascii="Arial" w:cs="Arial" w:eastAsia="Arial" w:hAnsi="Arial"/>
          <w:sz w:val="14"/>
          <w:szCs w:val="14"/>
          <w:color w:val="auto"/>
        </w:rPr>
        <w:t>Webster</w:t>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Vermont</w:t>
      </w:r>
    </w:p>
    <w:p>
      <w:pPr>
        <w:spacing w:after="0"/>
        <w:rPr>
          <w:sz w:val="20"/>
          <w:szCs w:val="20"/>
          <w:color w:val="auto"/>
        </w:rPr>
      </w:pPr>
      <w:r>
        <w:rPr>
          <w:rFonts w:ascii="Arial" w:cs="Arial" w:eastAsia="Arial" w:hAnsi="Arial"/>
          <w:sz w:val="14"/>
          <w:szCs w:val="14"/>
          <w:color w:val="auto"/>
        </w:rPr>
        <w:t>S. Burlington</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Virginia</w:t>
      </w:r>
    </w:p>
    <w:p>
      <w:pPr>
        <w:spacing w:after="0" w:line="221" w:lineRule="auto"/>
        <w:rPr>
          <w:sz w:val="20"/>
          <w:szCs w:val="20"/>
          <w:color w:val="auto"/>
        </w:rPr>
      </w:pPr>
      <w:r>
        <w:rPr>
          <w:rFonts w:ascii="Arial" w:cs="Arial" w:eastAsia="Arial" w:hAnsi="Arial"/>
          <w:sz w:val="14"/>
          <w:szCs w:val="14"/>
          <w:color w:val="auto"/>
        </w:rPr>
        <w:t>Alexandria</w:t>
      </w:r>
    </w:p>
    <w:p>
      <w:pPr>
        <w:spacing w:after="0" w:line="221" w:lineRule="auto"/>
        <w:rPr>
          <w:sz w:val="20"/>
          <w:szCs w:val="20"/>
          <w:color w:val="auto"/>
        </w:rPr>
      </w:pPr>
      <w:r>
        <w:rPr>
          <w:rFonts w:ascii="Arial" w:cs="Arial" w:eastAsia="Arial" w:hAnsi="Arial"/>
          <w:sz w:val="14"/>
          <w:szCs w:val="14"/>
          <w:color w:val="auto"/>
        </w:rPr>
        <w:t>Charlottesville</w:t>
      </w:r>
    </w:p>
    <w:p>
      <w:pPr>
        <w:spacing w:after="0" w:line="222" w:lineRule="auto"/>
        <w:rPr>
          <w:sz w:val="20"/>
          <w:szCs w:val="20"/>
          <w:color w:val="auto"/>
        </w:rPr>
      </w:pPr>
      <w:r>
        <w:rPr>
          <w:rFonts w:ascii="Arial" w:cs="Arial" w:eastAsia="Arial" w:hAnsi="Arial"/>
          <w:sz w:val="14"/>
          <w:szCs w:val="14"/>
          <w:color w:val="auto"/>
        </w:rPr>
        <w:t>Fairfax</w:t>
      </w:r>
    </w:p>
    <w:p>
      <w:pPr>
        <w:spacing w:after="0" w:line="221" w:lineRule="auto"/>
        <w:rPr>
          <w:sz w:val="20"/>
          <w:szCs w:val="20"/>
          <w:color w:val="auto"/>
        </w:rPr>
      </w:pPr>
      <w:r>
        <w:rPr>
          <w:rFonts w:ascii="Arial" w:cs="Arial" w:eastAsia="Arial" w:hAnsi="Arial"/>
          <w:sz w:val="14"/>
          <w:szCs w:val="14"/>
          <w:color w:val="auto"/>
        </w:rPr>
        <w:t>Fredericksburg</w:t>
      </w:r>
    </w:p>
    <w:p>
      <w:pPr>
        <w:spacing w:after="0" w:line="222" w:lineRule="auto"/>
        <w:rPr>
          <w:sz w:val="20"/>
          <w:szCs w:val="20"/>
          <w:color w:val="auto"/>
        </w:rPr>
      </w:pPr>
      <w:r>
        <w:rPr>
          <w:rFonts w:ascii="Arial" w:cs="Arial" w:eastAsia="Arial" w:hAnsi="Arial"/>
          <w:sz w:val="14"/>
          <w:szCs w:val="14"/>
          <w:color w:val="auto"/>
        </w:rPr>
        <w:t>Hampton</w:t>
      </w:r>
    </w:p>
    <w:p>
      <w:pPr>
        <w:spacing w:after="0" w:line="221" w:lineRule="auto"/>
        <w:rPr>
          <w:sz w:val="20"/>
          <w:szCs w:val="20"/>
          <w:color w:val="auto"/>
        </w:rPr>
      </w:pPr>
      <w:r>
        <w:rPr>
          <w:rFonts w:ascii="Arial" w:cs="Arial" w:eastAsia="Arial" w:hAnsi="Arial"/>
          <w:sz w:val="14"/>
          <w:szCs w:val="14"/>
          <w:color w:val="auto"/>
        </w:rPr>
        <w:t>Lightfoot*</w:t>
      </w:r>
    </w:p>
    <w:p>
      <w:pPr>
        <w:spacing w:after="0" w:line="222" w:lineRule="auto"/>
        <w:rPr>
          <w:sz w:val="20"/>
          <w:szCs w:val="20"/>
          <w:color w:val="auto"/>
        </w:rPr>
      </w:pPr>
      <w:r>
        <w:rPr>
          <w:rFonts w:ascii="Arial" w:cs="Arial" w:eastAsia="Arial" w:hAnsi="Arial"/>
          <w:sz w:val="14"/>
          <w:szCs w:val="14"/>
          <w:color w:val="auto"/>
        </w:rPr>
        <w:t>Manassas</w:t>
      </w:r>
    </w:p>
    <w:p>
      <w:pPr>
        <w:spacing w:after="0"/>
        <w:rPr>
          <w:sz w:val="20"/>
          <w:szCs w:val="20"/>
          <w:color w:val="auto"/>
        </w:rPr>
      </w:pPr>
      <w:r>
        <w:rPr>
          <w:rFonts w:ascii="Arial" w:cs="Arial" w:eastAsia="Arial" w:hAnsi="Arial"/>
          <w:sz w:val="14"/>
          <w:szCs w:val="14"/>
          <w:color w:val="auto"/>
        </w:rPr>
        <w:t>Norfolk</w:t>
      </w:r>
    </w:p>
    <w:p>
      <w:pPr>
        <w:sectPr>
          <w:pgSz w:w="11900" w:h="16911" w:orient="portrait"/>
          <w:cols w:equalWidth="0" w:num="1">
            <w:col w:w="10219"/>
          </w:cols>
          <w:pgMar w:left="240" w:top="128" w:right="1440" w:bottom="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Richmond (2)</w:t>
      </w:r>
    </w:p>
    <w:p>
      <w:pPr>
        <w:spacing w:after="0" w:line="221" w:lineRule="auto"/>
        <w:rPr>
          <w:sz w:val="20"/>
          <w:szCs w:val="20"/>
          <w:color w:val="auto"/>
        </w:rPr>
      </w:pPr>
      <w:r>
        <w:rPr>
          <w:rFonts w:ascii="Arial" w:cs="Arial" w:eastAsia="Arial" w:hAnsi="Arial"/>
          <w:sz w:val="14"/>
          <w:szCs w:val="14"/>
          <w:color w:val="auto"/>
        </w:rPr>
        <w:t>Roanoke</w:t>
      </w:r>
    </w:p>
    <w:p>
      <w:pPr>
        <w:spacing w:after="0" w:line="221" w:lineRule="auto"/>
        <w:rPr>
          <w:sz w:val="20"/>
          <w:szCs w:val="20"/>
          <w:color w:val="auto"/>
        </w:rPr>
      </w:pPr>
      <w:r>
        <w:rPr>
          <w:rFonts w:ascii="Arial" w:cs="Arial" w:eastAsia="Arial" w:hAnsi="Arial"/>
          <w:sz w:val="14"/>
          <w:szCs w:val="14"/>
          <w:color w:val="auto"/>
        </w:rPr>
        <w:t>Sterling</w:t>
      </w:r>
    </w:p>
    <w:p>
      <w:pPr>
        <w:spacing w:after="0" w:line="222" w:lineRule="auto"/>
        <w:rPr>
          <w:sz w:val="20"/>
          <w:szCs w:val="20"/>
          <w:color w:val="auto"/>
        </w:rPr>
      </w:pPr>
      <w:r>
        <w:rPr>
          <w:rFonts w:ascii="Arial" w:cs="Arial" w:eastAsia="Arial" w:hAnsi="Arial"/>
          <w:sz w:val="14"/>
          <w:szCs w:val="14"/>
          <w:color w:val="auto"/>
        </w:rPr>
        <w:t>Virginia Beach</w:t>
      </w:r>
    </w:p>
    <w:p>
      <w:pPr>
        <w:spacing w:after="0"/>
        <w:rPr>
          <w:sz w:val="20"/>
          <w:szCs w:val="20"/>
          <w:color w:val="auto"/>
        </w:rPr>
      </w:pPr>
      <w:r>
        <w:rPr>
          <w:rFonts w:ascii="Arial" w:cs="Arial" w:eastAsia="Arial" w:hAnsi="Arial"/>
          <w:sz w:val="14"/>
          <w:szCs w:val="14"/>
          <w:color w:val="auto"/>
        </w:rPr>
        <w:t>Woodbridge*</w:t>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2"/>
          <w:szCs w:val="12"/>
          <w:b w:val="1"/>
          <w:bCs w:val="1"/>
          <w:i w:val="1"/>
          <w:iCs w:val="1"/>
          <w:color w:val="auto"/>
        </w:rPr>
        <w:t>Washington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Auburn*</w:t>
      </w:r>
    </w:p>
    <w:p>
      <w:pPr>
        <w:spacing w:after="0" w:line="221" w:lineRule="auto"/>
        <w:rPr>
          <w:sz w:val="20"/>
          <w:szCs w:val="20"/>
          <w:color w:val="auto"/>
        </w:rPr>
      </w:pPr>
      <w:r>
        <w:rPr>
          <w:rFonts w:ascii="Arial" w:cs="Arial" w:eastAsia="Arial" w:hAnsi="Arial"/>
          <w:sz w:val="14"/>
          <w:szCs w:val="14"/>
          <w:color w:val="auto"/>
        </w:rPr>
        <w:t>Bellevue</w:t>
      </w:r>
    </w:p>
    <w:p>
      <w:pPr>
        <w:spacing w:after="0" w:line="221" w:lineRule="auto"/>
        <w:rPr>
          <w:sz w:val="20"/>
          <w:szCs w:val="20"/>
          <w:color w:val="auto"/>
        </w:rPr>
      </w:pPr>
      <w:r>
        <w:rPr>
          <w:rFonts w:ascii="Arial" w:cs="Arial" w:eastAsia="Arial" w:hAnsi="Arial"/>
          <w:sz w:val="14"/>
          <w:szCs w:val="14"/>
          <w:color w:val="auto"/>
        </w:rPr>
        <w:t>Lynnwood</w:t>
      </w:r>
    </w:p>
    <w:p>
      <w:pPr>
        <w:spacing w:after="0" w:line="222" w:lineRule="auto"/>
        <w:rPr>
          <w:sz w:val="20"/>
          <w:szCs w:val="20"/>
          <w:color w:val="auto"/>
        </w:rPr>
      </w:pPr>
      <w:r>
        <w:rPr>
          <w:rFonts w:ascii="Arial" w:cs="Arial" w:eastAsia="Arial" w:hAnsi="Arial"/>
          <w:sz w:val="14"/>
          <w:szCs w:val="14"/>
          <w:color w:val="auto"/>
        </w:rPr>
        <w:t>Seattle</w:t>
      </w:r>
    </w:p>
    <w:p>
      <w:pPr>
        <w:spacing w:after="0" w:line="221" w:lineRule="auto"/>
        <w:rPr>
          <w:sz w:val="20"/>
          <w:szCs w:val="20"/>
          <w:color w:val="auto"/>
        </w:rPr>
      </w:pPr>
      <w:r>
        <w:rPr>
          <w:rFonts w:ascii="Arial" w:cs="Arial" w:eastAsia="Arial" w:hAnsi="Arial"/>
          <w:sz w:val="14"/>
          <w:szCs w:val="14"/>
          <w:color w:val="auto"/>
        </w:rPr>
        <w:t>Spokane</w:t>
      </w:r>
    </w:p>
    <w:p>
      <w:pPr>
        <w:spacing w:after="0" w:line="222" w:lineRule="auto"/>
        <w:rPr>
          <w:sz w:val="20"/>
          <w:szCs w:val="20"/>
          <w:color w:val="auto"/>
        </w:rPr>
      </w:pPr>
      <w:r>
        <w:rPr>
          <w:rFonts w:ascii="Arial" w:cs="Arial" w:eastAsia="Arial" w:hAnsi="Arial"/>
          <w:sz w:val="14"/>
          <w:szCs w:val="14"/>
          <w:color w:val="auto"/>
        </w:rPr>
        <w:t>Tacoma</w:t>
      </w:r>
    </w:p>
    <w:p>
      <w:pPr>
        <w:spacing w:after="0"/>
        <w:rPr>
          <w:sz w:val="20"/>
          <w:szCs w:val="20"/>
          <w:color w:val="auto"/>
        </w:rPr>
      </w:pPr>
      <w:r>
        <w:rPr>
          <w:rFonts w:ascii="Arial" w:cs="Arial" w:eastAsia="Arial" w:hAnsi="Arial"/>
          <w:sz w:val="14"/>
          <w:szCs w:val="14"/>
          <w:color w:val="auto"/>
        </w:rPr>
        <w:t>Tukwila</w:t>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2"/>
          <w:szCs w:val="12"/>
          <w:b w:val="1"/>
          <w:bCs w:val="1"/>
          <w:i w:val="1"/>
          <w:iCs w:val="1"/>
          <w:color w:val="auto"/>
        </w:rPr>
        <w:t>Wisconsin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Brookfield</w:t>
      </w:r>
    </w:p>
    <w:p>
      <w:pPr>
        <w:spacing w:after="0" w:line="221" w:lineRule="auto"/>
        <w:rPr>
          <w:sz w:val="20"/>
          <w:szCs w:val="20"/>
          <w:color w:val="auto"/>
        </w:rPr>
      </w:pPr>
      <w:r>
        <w:rPr>
          <w:rFonts w:ascii="Arial" w:cs="Arial" w:eastAsia="Arial" w:hAnsi="Arial"/>
          <w:sz w:val="14"/>
          <w:szCs w:val="14"/>
          <w:color w:val="auto"/>
        </w:rPr>
        <w:t>Brown Deer</w:t>
      </w:r>
    </w:p>
    <w:p>
      <w:pPr>
        <w:spacing w:after="0" w:line="221" w:lineRule="auto"/>
        <w:rPr>
          <w:sz w:val="20"/>
          <w:szCs w:val="20"/>
          <w:color w:val="auto"/>
        </w:rPr>
      </w:pPr>
      <w:r>
        <w:rPr>
          <w:rFonts w:ascii="Arial" w:cs="Arial" w:eastAsia="Arial" w:hAnsi="Arial"/>
          <w:sz w:val="14"/>
          <w:szCs w:val="14"/>
          <w:color w:val="auto"/>
        </w:rPr>
        <w:t>Grand Chute</w:t>
      </w:r>
    </w:p>
    <w:p>
      <w:pPr>
        <w:spacing w:after="0" w:line="222" w:lineRule="auto"/>
        <w:rPr>
          <w:sz w:val="20"/>
          <w:szCs w:val="20"/>
          <w:color w:val="auto"/>
        </w:rPr>
      </w:pPr>
      <w:r>
        <w:rPr>
          <w:rFonts w:ascii="Arial" w:cs="Arial" w:eastAsia="Arial" w:hAnsi="Arial"/>
          <w:sz w:val="14"/>
          <w:szCs w:val="14"/>
          <w:color w:val="auto"/>
        </w:rPr>
        <w:t>Green Bay</w:t>
      </w:r>
    </w:p>
    <w:p>
      <w:pPr>
        <w:spacing w:after="0" w:line="221" w:lineRule="auto"/>
        <w:rPr>
          <w:sz w:val="20"/>
          <w:szCs w:val="20"/>
          <w:color w:val="auto"/>
        </w:rPr>
      </w:pPr>
      <w:r>
        <w:rPr>
          <w:rFonts w:ascii="Arial" w:cs="Arial" w:eastAsia="Arial" w:hAnsi="Arial"/>
          <w:sz w:val="14"/>
          <w:szCs w:val="14"/>
          <w:color w:val="auto"/>
        </w:rPr>
        <w:t>Greenfield</w:t>
      </w:r>
    </w:p>
    <w:p>
      <w:pPr>
        <w:spacing w:after="0" w:line="222" w:lineRule="auto"/>
        <w:rPr>
          <w:sz w:val="20"/>
          <w:szCs w:val="20"/>
          <w:color w:val="auto"/>
        </w:rPr>
      </w:pPr>
      <w:r>
        <w:rPr>
          <w:rFonts w:ascii="Arial" w:cs="Arial" w:eastAsia="Arial" w:hAnsi="Arial"/>
          <w:sz w:val="14"/>
          <w:szCs w:val="14"/>
          <w:color w:val="auto"/>
        </w:rPr>
        <w:t>Johnson Creek*</w:t>
      </w:r>
    </w:p>
    <w:p>
      <w:pPr>
        <w:spacing w:after="0" w:line="221" w:lineRule="auto"/>
        <w:rPr>
          <w:sz w:val="20"/>
          <w:szCs w:val="20"/>
          <w:color w:val="auto"/>
        </w:rPr>
      </w:pPr>
      <w:r>
        <w:rPr>
          <w:rFonts w:ascii="Arial" w:cs="Arial" w:eastAsia="Arial" w:hAnsi="Arial"/>
          <w:sz w:val="14"/>
          <w:szCs w:val="14"/>
          <w:color w:val="auto"/>
        </w:rPr>
        <w:t>Kenosha*</w:t>
      </w:r>
    </w:p>
    <w:p>
      <w:pPr>
        <w:spacing w:after="0" w:line="222" w:lineRule="auto"/>
        <w:rPr>
          <w:sz w:val="20"/>
          <w:szCs w:val="20"/>
          <w:color w:val="auto"/>
        </w:rPr>
      </w:pPr>
      <w:r>
        <w:rPr>
          <w:rFonts w:ascii="Arial" w:cs="Arial" w:eastAsia="Arial" w:hAnsi="Arial"/>
          <w:sz w:val="14"/>
          <w:szCs w:val="14"/>
          <w:color w:val="auto"/>
        </w:rPr>
        <w:t>Madison</w:t>
      </w:r>
    </w:p>
    <w:p>
      <w:pPr>
        <w:spacing w:after="0"/>
        <w:rPr>
          <w:sz w:val="20"/>
          <w:szCs w:val="20"/>
          <w:color w:val="auto"/>
        </w:rPr>
      </w:pPr>
      <w:r>
        <w:rPr>
          <w:rFonts w:ascii="Arial" w:cs="Arial" w:eastAsia="Arial" w:hAnsi="Arial"/>
          <w:sz w:val="14"/>
          <w:szCs w:val="14"/>
          <w:color w:val="auto"/>
        </w:rPr>
        <w:t>Mosinee*</w:t>
      </w:r>
    </w:p>
    <w:p>
      <w:pPr>
        <w:spacing w:after="0" w:line="124" w:lineRule="exact"/>
        <w:rPr>
          <w:sz w:val="20"/>
          <w:szCs w:val="20"/>
          <w:color w:val="auto"/>
        </w:rPr>
      </w:pPr>
    </w:p>
    <w:p>
      <w:pPr>
        <w:jc w:val="right"/>
        <w:ind w:right="4119"/>
        <w:spacing w:after="0"/>
        <w:rPr>
          <w:sz w:val="20"/>
          <w:szCs w:val="20"/>
          <w:color w:val="auto"/>
        </w:rPr>
      </w:pPr>
      <w:r>
        <w:rPr>
          <w:rFonts w:ascii="Arial" w:cs="Arial" w:eastAsia="Arial" w:hAnsi="Arial"/>
          <w:sz w:val="14"/>
          <w:szCs w:val="14"/>
          <w:b w:val="1"/>
          <w:bCs w:val="1"/>
          <w:i w:val="1"/>
          <w:iCs w:val="1"/>
          <w:color w:val="auto"/>
        </w:rPr>
        <w:t>West Virginia</w:t>
      </w:r>
    </w:p>
    <w:p>
      <w:pPr>
        <w:spacing w:after="0" w:line="221" w:lineRule="auto"/>
        <w:rPr>
          <w:sz w:val="20"/>
          <w:szCs w:val="20"/>
          <w:color w:val="auto"/>
        </w:rPr>
      </w:pPr>
      <w:r>
        <w:rPr>
          <w:rFonts w:ascii="Arial" w:cs="Arial" w:eastAsia="Arial" w:hAnsi="Arial"/>
          <w:sz w:val="14"/>
          <w:szCs w:val="14"/>
          <w:color w:val="auto"/>
        </w:rPr>
        <w:t>Barboursville</w:t>
      </w:r>
    </w:p>
    <w:p>
      <w:pPr>
        <w:spacing w:after="0"/>
        <w:rPr>
          <w:sz w:val="20"/>
          <w:szCs w:val="20"/>
          <w:color w:val="auto"/>
        </w:rPr>
      </w:pPr>
      <w:r>
        <w:rPr>
          <w:rFonts w:ascii="Arial" w:cs="Arial" w:eastAsia="Arial" w:hAnsi="Arial"/>
          <w:sz w:val="14"/>
          <w:szCs w:val="14"/>
          <w:color w:val="auto"/>
        </w:rPr>
        <w:t>South Charleston</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128"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Rochester Big &amp; Tall stores</w:t>
      </w:r>
    </w:p>
    <w:p>
      <w:pPr>
        <w:spacing w:after="0" w:line="87"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Southwest</w:t>
      </w:r>
    </w:p>
    <w:p>
      <w:pPr>
        <w:spacing w:after="0" w:line="221" w:lineRule="auto"/>
        <w:rPr>
          <w:sz w:val="20"/>
          <w:szCs w:val="20"/>
          <w:color w:val="auto"/>
        </w:rPr>
      </w:pPr>
      <w:r>
        <w:rPr>
          <w:rFonts w:ascii="Arial" w:cs="Arial" w:eastAsia="Arial" w:hAnsi="Arial"/>
          <w:sz w:val="14"/>
          <w:szCs w:val="14"/>
          <w:color w:val="auto"/>
        </w:rPr>
        <w:t>Phoenix, AR</w:t>
      </w:r>
    </w:p>
    <w:p>
      <w:pPr>
        <w:spacing w:after="0" w:line="221" w:lineRule="auto"/>
        <w:rPr>
          <w:sz w:val="20"/>
          <w:szCs w:val="20"/>
          <w:color w:val="auto"/>
        </w:rPr>
      </w:pPr>
      <w:r>
        <w:rPr>
          <w:rFonts w:ascii="Arial" w:cs="Arial" w:eastAsia="Arial" w:hAnsi="Arial"/>
          <w:sz w:val="14"/>
          <w:szCs w:val="14"/>
          <w:color w:val="auto"/>
        </w:rPr>
        <w:t>Beverley Hills, CA</w:t>
      </w:r>
    </w:p>
    <w:p>
      <w:pPr>
        <w:spacing w:after="0" w:line="222" w:lineRule="auto"/>
        <w:rPr>
          <w:sz w:val="20"/>
          <w:szCs w:val="20"/>
          <w:color w:val="auto"/>
        </w:rPr>
      </w:pPr>
      <w:r>
        <w:rPr>
          <w:rFonts w:ascii="Arial" w:cs="Arial" w:eastAsia="Arial" w:hAnsi="Arial"/>
          <w:sz w:val="14"/>
          <w:szCs w:val="14"/>
          <w:color w:val="auto"/>
        </w:rPr>
        <w:t>Costa Mesa, CA</w:t>
      </w:r>
    </w:p>
    <w:p>
      <w:pPr>
        <w:spacing w:after="0" w:line="221" w:lineRule="auto"/>
        <w:rPr>
          <w:sz w:val="20"/>
          <w:szCs w:val="20"/>
          <w:color w:val="auto"/>
        </w:rPr>
      </w:pPr>
      <w:r>
        <w:rPr>
          <w:rFonts w:ascii="Arial" w:cs="Arial" w:eastAsia="Arial" w:hAnsi="Arial"/>
          <w:sz w:val="14"/>
          <w:szCs w:val="14"/>
          <w:color w:val="auto"/>
        </w:rPr>
        <w:t>Fresno, CA</w:t>
      </w:r>
    </w:p>
    <w:p>
      <w:pPr>
        <w:spacing w:after="0" w:line="222" w:lineRule="auto"/>
        <w:rPr>
          <w:sz w:val="20"/>
          <w:szCs w:val="20"/>
          <w:color w:val="auto"/>
        </w:rPr>
      </w:pPr>
      <w:r>
        <w:rPr>
          <w:rFonts w:ascii="Arial" w:cs="Arial" w:eastAsia="Arial" w:hAnsi="Arial"/>
          <w:sz w:val="14"/>
          <w:szCs w:val="14"/>
          <w:color w:val="auto"/>
        </w:rPr>
        <w:t>Sacremento, CA</w:t>
      </w:r>
    </w:p>
    <w:p>
      <w:pPr>
        <w:spacing w:after="0" w:line="221" w:lineRule="auto"/>
        <w:rPr>
          <w:sz w:val="20"/>
          <w:szCs w:val="20"/>
          <w:color w:val="auto"/>
        </w:rPr>
      </w:pPr>
      <w:r>
        <w:rPr>
          <w:rFonts w:ascii="Arial" w:cs="Arial" w:eastAsia="Arial" w:hAnsi="Arial"/>
          <w:sz w:val="14"/>
          <w:szCs w:val="14"/>
          <w:color w:val="auto"/>
        </w:rPr>
        <w:t>San Francisco (2), CA</w:t>
      </w:r>
    </w:p>
    <w:p>
      <w:pPr>
        <w:spacing w:after="0" w:line="222" w:lineRule="auto"/>
        <w:rPr>
          <w:sz w:val="20"/>
          <w:szCs w:val="20"/>
          <w:color w:val="auto"/>
        </w:rPr>
      </w:pPr>
      <w:r>
        <w:rPr>
          <w:rFonts w:ascii="Arial" w:cs="Arial" w:eastAsia="Arial" w:hAnsi="Arial"/>
          <w:sz w:val="14"/>
          <w:szCs w:val="14"/>
          <w:color w:val="auto"/>
        </w:rPr>
        <w:t>San Jose, CA</w:t>
      </w:r>
    </w:p>
    <w:p>
      <w:pPr>
        <w:spacing w:after="0" w:line="221" w:lineRule="auto"/>
        <w:rPr>
          <w:sz w:val="20"/>
          <w:szCs w:val="20"/>
          <w:color w:val="auto"/>
        </w:rPr>
      </w:pPr>
      <w:r>
        <w:rPr>
          <w:rFonts w:ascii="Arial" w:cs="Arial" w:eastAsia="Arial" w:hAnsi="Arial"/>
          <w:sz w:val="14"/>
          <w:szCs w:val="14"/>
          <w:color w:val="auto"/>
        </w:rPr>
        <w:t>San Mateo, CA</w:t>
      </w:r>
    </w:p>
    <w:p>
      <w:pPr>
        <w:spacing w:after="0" w:line="222" w:lineRule="auto"/>
        <w:rPr>
          <w:sz w:val="20"/>
          <w:szCs w:val="20"/>
          <w:color w:val="auto"/>
        </w:rPr>
      </w:pPr>
      <w:r>
        <w:rPr>
          <w:rFonts w:ascii="Arial" w:cs="Arial" w:eastAsia="Arial" w:hAnsi="Arial"/>
          <w:sz w:val="14"/>
          <w:szCs w:val="14"/>
          <w:color w:val="auto"/>
        </w:rPr>
        <w:t>Walnut Creek, CA</w:t>
      </w:r>
    </w:p>
    <w:p>
      <w:pPr>
        <w:spacing w:after="0" w:line="221" w:lineRule="auto"/>
        <w:rPr>
          <w:sz w:val="20"/>
          <w:szCs w:val="20"/>
          <w:color w:val="auto"/>
        </w:rPr>
      </w:pPr>
      <w:r>
        <w:rPr>
          <w:rFonts w:ascii="Arial" w:cs="Arial" w:eastAsia="Arial" w:hAnsi="Arial"/>
          <w:sz w:val="14"/>
          <w:szCs w:val="14"/>
          <w:color w:val="auto"/>
        </w:rPr>
        <w:t>Las Vegas , NV</w:t>
      </w:r>
    </w:p>
    <w:p>
      <w:pPr>
        <w:spacing w:after="0" w:line="222" w:lineRule="auto"/>
        <w:rPr>
          <w:sz w:val="20"/>
          <w:szCs w:val="20"/>
          <w:color w:val="auto"/>
        </w:rPr>
      </w:pPr>
      <w:r>
        <w:rPr>
          <w:rFonts w:ascii="Arial" w:cs="Arial" w:eastAsia="Arial" w:hAnsi="Arial"/>
          <w:sz w:val="14"/>
          <w:szCs w:val="14"/>
          <w:color w:val="auto"/>
        </w:rPr>
        <w:t>Dallas, TX</w:t>
      </w:r>
    </w:p>
    <w:p>
      <w:pPr>
        <w:spacing w:after="0"/>
        <w:rPr>
          <w:sz w:val="20"/>
          <w:szCs w:val="20"/>
          <w:color w:val="auto"/>
        </w:rPr>
      </w:pPr>
      <w:r>
        <w:rPr>
          <w:rFonts w:ascii="Arial" w:cs="Arial" w:eastAsia="Arial" w:hAnsi="Arial"/>
          <w:sz w:val="14"/>
          <w:szCs w:val="14"/>
          <w:color w:val="auto"/>
        </w:rPr>
        <w:t>Houston, TX</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Southeast</w:t>
      </w:r>
    </w:p>
    <w:p>
      <w:pPr>
        <w:spacing w:after="0" w:line="221" w:lineRule="auto"/>
        <w:rPr>
          <w:sz w:val="20"/>
          <w:szCs w:val="20"/>
          <w:color w:val="auto"/>
        </w:rPr>
      </w:pPr>
      <w:r>
        <w:rPr>
          <w:rFonts w:ascii="Arial" w:cs="Arial" w:eastAsia="Arial" w:hAnsi="Arial"/>
          <w:sz w:val="14"/>
          <w:szCs w:val="14"/>
          <w:color w:val="auto"/>
        </w:rPr>
        <w:t>Aventura, FL</w:t>
      </w:r>
    </w:p>
    <w:p>
      <w:pPr>
        <w:spacing w:after="0" w:line="221" w:lineRule="auto"/>
        <w:rPr>
          <w:sz w:val="20"/>
          <w:szCs w:val="20"/>
          <w:color w:val="auto"/>
        </w:rPr>
      </w:pPr>
      <w:r>
        <w:rPr>
          <w:rFonts w:ascii="Arial" w:cs="Arial" w:eastAsia="Arial" w:hAnsi="Arial"/>
          <w:sz w:val="14"/>
          <w:szCs w:val="14"/>
          <w:color w:val="auto"/>
        </w:rPr>
        <w:t>Atlanta, GA</w:t>
      </w:r>
    </w:p>
    <w:p>
      <w:pPr>
        <w:spacing w:after="0" w:line="222" w:lineRule="auto"/>
        <w:rPr>
          <w:sz w:val="20"/>
          <w:szCs w:val="20"/>
          <w:color w:val="auto"/>
        </w:rPr>
      </w:pPr>
      <w:r>
        <w:rPr>
          <w:rFonts w:ascii="Arial" w:cs="Arial" w:eastAsia="Arial" w:hAnsi="Arial"/>
          <w:sz w:val="14"/>
          <w:szCs w:val="14"/>
          <w:color w:val="auto"/>
        </w:rPr>
        <w:t>Boca Raton, FL</w:t>
      </w:r>
    </w:p>
    <w:p>
      <w:pPr>
        <w:spacing w:after="0"/>
        <w:rPr>
          <w:sz w:val="20"/>
          <w:szCs w:val="20"/>
          <w:color w:val="auto"/>
        </w:rPr>
      </w:pPr>
      <w:r>
        <w:rPr>
          <w:rFonts w:ascii="Arial" w:cs="Arial" w:eastAsia="Arial" w:hAnsi="Arial"/>
          <w:sz w:val="14"/>
          <w:szCs w:val="14"/>
          <w:color w:val="auto"/>
        </w:rPr>
        <w:t>Washington D.C.</w:t>
      </w:r>
    </w:p>
    <w:p>
      <w:pPr>
        <w:spacing w:after="0" w:line="56"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North</w:t>
      </w:r>
    </w:p>
    <w:p>
      <w:pPr>
        <w:spacing w:after="0" w:line="221" w:lineRule="auto"/>
        <w:rPr>
          <w:sz w:val="20"/>
          <w:szCs w:val="20"/>
          <w:color w:val="auto"/>
        </w:rPr>
      </w:pPr>
      <w:r>
        <w:rPr>
          <w:rFonts w:ascii="Arial" w:cs="Arial" w:eastAsia="Arial" w:hAnsi="Arial"/>
          <w:sz w:val="14"/>
          <w:szCs w:val="14"/>
          <w:color w:val="auto"/>
        </w:rPr>
        <w:t>Chicago, IL</w:t>
      </w:r>
    </w:p>
    <w:p>
      <w:pPr>
        <w:spacing w:after="0" w:line="221" w:lineRule="auto"/>
        <w:rPr>
          <w:sz w:val="20"/>
          <w:szCs w:val="20"/>
          <w:color w:val="auto"/>
        </w:rPr>
      </w:pPr>
      <w:r>
        <w:rPr>
          <w:rFonts w:ascii="Arial" w:cs="Arial" w:eastAsia="Arial" w:hAnsi="Arial"/>
          <w:sz w:val="14"/>
          <w:szCs w:val="14"/>
          <w:color w:val="auto"/>
        </w:rPr>
        <w:t>Boston, MA</w:t>
      </w:r>
    </w:p>
    <w:p>
      <w:pPr>
        <w:spacing w:after="0" w:line="222" w:lineRule="auto"/>
        <w:rPr>
          <w:sz w:val="20"/>
          <w:szCs w:val="20"/>
          <w:color w:val="auto"/>
        </w:rPr>
      </w:pPr>
      <w:r>
        <w:rPr>
          <w:rFonts w:ascii="Arial" w:cs="Arial" w:eastAsia="Arial" w:hAnsi="Arial"/>
          <w:sz w:val="14"/>
          <w:szCs w:val="14"/>
          <w:color w:val="auto"/>
        </w:rPr>
        <w:t>Manhasset, NY</w:t>
      </w:r>
    </w:p>
    <w:p>
      <w:pPr>
        <w:spacing w:after="0" w:line="221" w:lineRule="auto"/>
        <w:rPr>
          <w:sz w:val="20"/>
          <w:szCs w:val="20"/>
          <w:color w:val="auto"/>
        </w:rPr>
      </w:pPr>
      <w:r>
        <w:rPr>
          <w:rFonts w:ascii="Arial" w:cs="Arial" w:eastAsia="Arial" w:hAnsi="Arial"/>
          <w:sz w:val="14"/>
          <w:szCs w:val="14"/>
          <w:color w:val="auto"/>
        </w:rPr>
        <w:t>New York, NY</w:t>
      </w:r>
    </w:p>
    <w:p>
      <w:pPr>
        <w:spacing w:after="0" w:line="222" w:lineRule="auto"/>
        <w:rPr>
          <w:sz w:val="20"/>
          <w:szCs w:val="20"/>
          <w:color w:val="auto"/>
        </w:rPr>
      </w:pPr>
      <w:r>
        <w:rPr>
          <w:rFonts w:ascii="Arial" w:cs="Arial" w:eastAsia="Arial" w:hAnsi="Arial"/>
          <w:sz w:val="14"/>
          <w:szCs w:val="14"/>
          <w:color w:val="auto"/>
        </w:rPr>
        <w:t>Seattle, WA</w:t>
      </w:r>
    </w:p>
    <w:p>
      <w:pPr>
        <w:spacing w:after="0"/>
        <w:rPr>
          <w:sz w:val="20"/>
          <w:szCs w:val="20"/>
          <w:color w:val="auto"/>
        </w:rPr>
      </w:pPr>
      <w:r>
        <w:rPr>
          <w:rFonts w:ascii="Arial" w:cs="Arial" w:eastAsia="Arial" w:hAnsi="Arial"/>
          <w:sz w:val="14"/>
          <w:szCs w:val="14"/>
          <w:color w:val="auto"/>
        </w:rPr>
        <w:t>Southfield, MI</w:t>
      </w:r>
    </w:p>
    <w:p>
      <w:pPr>
        <w:spacing w:after="0" w:line="56" w:lineRule="exact"/>
        <w:rPr>
          <w:sz w:val="20"/>
          <w:szCs w:val="20"/>
          <w:color w:val="auto"/>
        </w:rPr>
      </w:pPr>
    </w:p>
    <w:p>
      <w:pPr>
        <w:ind w:left="5340"/>
        <w:spacing w:after="0"/>
        <w:rPr>
          <w:sz w:val="20"/>
          <w:szCs w:val="20"/>
          <w:color w:val="auto"/>
        </w:rPr>
      </w:pPr>
      <w:r>
        <w:rPr>
          <w:rFonts w:ascii="Arial" w:cs="Arial" w:eastAsia="Arial" w:hAnsi="Arial"/>
          <w:sz w:val="14"/>
          <w:szCs w:val="14"/>
          <w:b w:val="1"/>
          <w:bCs w:val="1"/>
          <w:i w:val="1"/>
          <w:iCs w:val="1"/>
          <w:color w:val="auto"/>
        </w:rPr>
        <w:t>International</w:t>
      </w:r>
    </w:p>
    <w:p>
      <w:pPr>
        <w:spacing w:after="0"/>
        <w:rPr>
          <w:sz w:val="20"/>
          <w:szCs w:val="20"/>
          <w:color w:val="auto"/>
        </w:rPr>
      </w:pPr>
      <w:r>
        <w:rPr>
          <w:rFonts w:ascii="Arial" w:cs="Arial" w:eastAsia="Arial" w:hAnsi="Arial"/>
          <w:sz w:val="14"/>
          <w:szCs w:val="14"/>
          <w:color w:val="auto"/>
        </w:rPr>
        <w:t>London, England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Sears Canada Stores</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Alberta</w:t>
      </w:r>
    </w:p>
    <w:p>
      <w:pPr>
        <w:spacing w:after="0" w:line="211" w:lineRule="auto"/>
        <w:rPr>
          <w:sz w:val="20"/>
          <w:szCs w:val="20"/>
          <w:color w:val="auto"/>
        </w:rPr>
      </w:pPr>
      <w:r>
        <w:rPr>
          <w:rFonts w:ascii="Arial" w:cs="Arial" w:eastAsia="Arial" w:hAnsi="Arial"/>
          <w:sz w:val="14"/>
          <w:szCs w:val="14"/>
          <w:color w:val="auto"/>
        </w:rPr>
        <w:t>Calgary—Downtown</w:t>
      </w:r>
    </w:p>
    <w:p>
      <w:pPr>
        <w:spacing w:after="0" w:line="181" w:lineRule="auto"/>
        <w:rPr>
          <w:sz w:val="20"/>
          <w:szCs w:val="20"/>
          <w:color w:val="auto"/>
        </w:rPr>
      </w:pPr>
      <w:r>
        <w:rPr>
          <w:rFonts w:ascii="Arial" w:cs="Arial" w:eastAsia="Arial" w:hAnsi="Arial"/>
          <w:sz w:val="13"/>
          <w:szCs w:val="13"/>
          <w:color w:val="auto"/>
        </w:rPr>
        <w:t>Calgary—14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Ave</w:t>
      </w:r>
    </w:p>
    <w:p>
      <w:pPr>
        <w:spacing w:after="0" w:line="222" w:lineRule="auto"/>
        <w:rPr>
          <w:sz w:val="20"/>
          <w:szCs w:val="20"/>
          <w:color w:val="auto"/>
        </w:rPr>
      </w:pPr>
      <w:r>
        <w:rPr>
          <w:rFonts w:ascii="Arial" w:cs="Arial" w:eastAsia="Arial" w:hAnsi="Arial"/>
          <w:sz w:val="14"/>
          <w:szCs w:val="14"/>
          <w:color w:val="auto"/>
        </w:rPr>
        <w:t>Calgary—South Centre</w:t>
      </w:r>
    </w:p>
    <w:p>
      <w:pPr>
        <w:spacing w:after="0" w:line="221" w:lineRule="auto"/>
        <w:rPr>
          <w:sz w:val="20"/>
          <w:szCs w:val="20"/>
          <w:color w:val="auto"/>
        </w:rPr>
      </w:pPr>
      <w:r>
        <w:rPr>
          <w:rFonts w:ascii="Arial" w:cs="Arial" w:eastAsia="Arial" w:hAnsi="Arial"/>
          <w:sz w:val="14"/>
          <w:szCs w:val="14"/>
          <w:color w:val="auto"/>
        </w:rPr>
        <w:t>Edmonton—Kingsway</w:t>
      </w:r>
    </w:p>
    <w:p>
      <w:pPr>
        <w:spacing w:after="0"/>
        <w:rPr>
          <w:sz w:val="20"/>
          <w:szCs w:val="20"/>
          <w:color w:val="auto"/>
        </w:rPr>
      </w:pPr>
      <w:r>
        <w:rPr>
          <w:rFonts w:ascii="Arial" w:cs="Arial" w:eastAsia="Arial" w:hAnsi="Arial"/>
          <w:sz w:val="14"/>
          <w:szCs w:val="14"/>
          <w:color w:val="auto"/>
        </w:rPr>
        <w:t>Edmonton—Southgate</w:t>
      </w:r>
    </w:p>
    <w:p>
      <w:pPr>
        <w:spacing w:after="0" w:line="57" w:lineRule="exact"/>
        <w:rPr>
          <w:sz w:val="20"/>
          <w:szCs w:val="20"/>
          <w:color w:val="auto"/>
        </w:rPr>
      </w:pPr>
    </w:p>
    <w:p>
      <w:pPr>
        <w:jc w:val="right"/>
        <w:ind w:right="4019"/>
        <w:spacing w:after="0"/>
        <w:rPr>
          <w:sz w:val="20"/>
          <w:szCs w:val="20"/>
          <w:color w:val="auto"/>
        </w:rPr>
      </w:pPr>
      <w:r>
        <w:rPr>
          <w:rFonts w:ascii="Arial" w:cs="Arial" w:eastAsia="Arial" w:hAnsi="Arial"/>
          <w:sz w:val="14"/>
          <w:szCs w:val="14"/>
          <w:b w:val="1"/>
          <w:bCs w:val="1"/>
          <w:i w:val="1"/>
          <w:iCs w:val="1"/>
          <w:color w:val="auto"/>
        </w:rPr>
        <w:t>British Columbia</w:t>
      </w:r>
    </w:p>
    <w:p>
      <w:pPr>
        <w:spacing w:after="0"/>
        <w:rPr>
          <w:sz w:val="20"/>
          <w:szCs w:val="20"/>
          <w:color w:val="auto"/>
        </w:rPr>
      </w:pPr>
      <w:r>
        <w:rPr>
          <w:rFonts w:ascii="Arial" w:cs="Arial" w:eastAsia="Arial" w:hAnsi="Arial"/>
          <w:sz w:val="14"/>
          <w:szCs w:val="14"/>
          <w:color w:val="auto"/>
        </w:rPr>
        <w:t>Vancouver</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Ontario</w:t>
      </w:r>
    </w:p>
    <w:p>
      <w:pPr>
        <w:spacing w:after="0" w:line="221" w:lineRule="auto"/>
        <w:rPr>
          <w:sz w:val="20"/>
          <w:szCs w:val="20"/>
          <w:color w:val="auto"/>
        </w:rPr>
      </w:pPr>
      <w:r>
        <w:rPr>
          <w:rFonts w:ascii="Arial" w:cs="Arial" w:eastAsia="Arial" w:hAnsi="Arial"/>
          <w:sz w:val="14"/>
          <w:szCs w:val="14"/>
          <w:color w:val="auto"/>
        </w:rPr>
        <w:t>Kitchener</w:t>
      </w:r>
    </w:p>
    <w:p>
      <w:pPr>
        <w:spacing w:after="0" w:line="221" w:lineRule="auto"/>
        <w:rPr>
          <w:sz w:val="20"/>
          <w:szCs w:val="20"/>
          <w:color w:val="auto"/>
        </w:rPr>
      </w:pPr>
      <w:r>
        <w:rPr>
          <w:rFonts w:ascii="Arial" w:cs="Arial" w:eastAsia="Arial" w:hAnsi="Arial"/>
          <w:sz w:val="14"/>
          <w:szCs w:val="14"/>
          <w:color w:val="auto"/>
        </w:rPr>
        <w:t>Windsor</w:t>
      </w:r>
    </w:p>
    <w:p>
      <w:pPr>
        <w:spacing w:after="0" w:line="222" w:lineRule="auto"/>
        <w:rPr>
          <w:sz w:val="20"/>
          <w:szCs w:val="20"/>
          <w:color w:val="auto"/>
        </w:rPr>
      </w:pPr>
      <w:r>
        <w:rPr>
          <w:rFonts w:ascii="Arial" w:cs="Arial" w:eastAsia="Arial" w:hAnsi="Arial"/>
          <w:sz w:val="14"/>
          <w:szCs w:val="14"/>
          <w:color w:val="auto"/>
        </w:rPr>
        <w:t>Pickering</w:t>
      </w:r>
    </w:p>
    <w:p>
      <w:pPr>
        <w:spacing w:after="0" w:line="221" w:lineRule="auto"/>
        <w:rPr>
          <w:sz w:val="20"/>
          <w:szCs w:val="20"/>
          <w:color w:val="auto"/>
        </w:rPr>
      </w:pPr>
      <w:r>
        <w:rPr>
          <w:rFonts w:ascii="Arial" w:cs="Arial" w:eastAsia="Arial" w:hAnsi="Arial"/>
          <w:sz w:val="14"/>
          <w:szCs w:val="14"/>
          <w:color w:val="auto"/>
        </w:rPr>
        <w:t>London</w:t>
      </w:r>
    </w:p>
    <w:p>
      <w:pPr>
        <w:spacing w:after="0" w:line="222" w:lineRule="auto"/>
        <w:rPr>
          <w:sz w:val="20"/>
          <w:szCs w:val="20"/>
          <w:color w:val="auto"/>
        </w:rPr>
      </w:pPr>
      <w:r>
        <w:rPr>
          <w:rFonts w:ascii="Arial" w:cs="Arial" w:eastAsia="Arial" w:hAnsi="Arial"/>
          <w:sz w:val="14"/>
          <w:szCs w:val="14"/>
          <w:color w:val="auto"/>
        </w:rPr>
        <w:t>Toronto</w:t>
      </w:r>
    </w:p>
    <w:p>
      <w:pPr>
        <w:spacing w:after="0" w:line="221" w:lineRule="auto"/>
        <w:rPr>
          <w:sz w:val="20"/>
          <w:szCs w:val="20"/>
          <w:color w:val="auto"/>
        </w:rPr>
      </w:pPr>
      <w:r>
        <w:rPr>
          <w:rFonts w:ascii="Arial" w:cs="Arial" w:eastAsia="Arial" w:hAnsi="Arial"/>
          <w:sz w:val="14"/>
          <w:szCs w:val="14"/>
          <w:color w:val="auto"/>
        </w:rPr>
        <w:t>Etobicoke</w:t>
      </w:r>
    </w:p>
    <w:p>
      <w:pPr>
        <w:spacing w:after="0"/>
        <w:rPr>
          <w:sz w:val="20"/>
          <w:szCs w:val="20"/>
          <w:color w:val="auto"/>
        </w:rPr>
      </w:pPr>
      <w:r>
        <w:rPr>
          <w:rFonts w:ascii="Arial" w:cs="Arial" w:eastAsia="Arial" w:hAnsi="Arial"/>
          <w:sz w:val="14"/>
          <w:szCs w:val="14"/>
          <w:color w:val="auto"/>
        </w:rPr>
        <w:t>Scarbough</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We believe that the resolution of these matters will not have an adverse impact on our results of operations or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National Market under the symbol “CMRG.”</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per share closing sales prices for the Common Stock, as reported on the Nasdaq consolidated reporting system.</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January 29, 2005</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Second Quarter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5.92</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Fourth Quarter</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4.32</w:t>
            </w:r>
          </w:p>
        </w:tc>
      </w:tr>
      <w:tr>
        <w:trPr>
          <w:trHeight w:val="257"/>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January 28, 2006</w:t>
            </w:r>
          </w:p>
        </w:tc>
        <w:tc>
          <w:tcPr>
            <w:tcW w:w="4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Second Quarter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6.41</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Fourth Quarter</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5.75</w:t>
            </w:r>
          </w:p>
        </w:tc>
      </w:tr>
      <w:tr>
        <w:trPr>
          <w:trHeight w:val="257"/>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period January 29, 2006 through March 15, 2006</w:t>
            </w:r>
          </w:p>
        </w:tc>
        <w:tc>
          <w:tcPr>
            <w:tcW w:w="4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6"/>
        </w:trPr>
        <w:tc>
          <w:tcPr>
            <w:tcW w:w="7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March 15, 2006, based upon data provided by independent shareholder communication services and the transfer agent for the Common Stock, there were approximately 248 holders of record of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Selected Financial Data—Historical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5"/>
              </w:rPr>
              <w:t>Fiscal Years Ended (1),(2)</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January 28,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January 29,</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right"/>
              <w:ind w:right="920"/>
              <w:spacing w:after="0" w:line="129" w:lineRule="exact"/>
              <w:rPr>
                <w:sz w:val="20"/>
                <w:szCs w:val="20"/>
                <w:color w:val="auto"/>
              </w:rPr>
            </w:pPr>
            <w:r>
              <w:rPr>
                <w:rFonts w:ascii="Arial" w:cs="Arial" w:eastAsia="Arial" w:hAnsi="Arial"/>
                <w:sz w:val="14"/>
                <w:szCs w:val="14"/>
                <w:b w:val="1"/>
                <w:bCs w:val="1"/>
                <w:color w:val="auto"/>
                <w:w w:val="85"/>
              </w:rPr>
              <w:t>January 31,</w:t>
            </w:r>
          </w:p>
        </w:tc>
        <w:tc>
          <w:tcPr>
            <w:tcW w:w="80" w:type="dxa"/>
            <w:vAlign w:val="bottom"/>
          </w:tcPr>
          <w:p>
            <w:pPr>
              <w:spacing w:after="0"/>
              <w:rPr>
                <w:sz w:val="11"/>
                <w:szCs w:val="11"/>
                <w:color w:val="auto"/>
              </w:rPr>
            </w:pPr>
          </w:p>
        </w:tc>
        <w:tc>
          <w:tcPr>
            <w:tcW w:w="160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90"/>
              </w:rPr>
              <w:t>February 1,</w:t>
            </w:r>
          </w:p>
        </w:tc>
        <w:tc>
          <w:tcPr>
            <w:tcW w:w="10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2005)</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(Fiscal 2004)(3)</w:t>
            </w:r>
          </w:p>
        </w:tc>
        <w:tc>
          <w:tcPr>
            <w:tcW w:w="3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(Fiscal 2003)(3)</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(Fiscal 2002)(3)</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(Fiscal 2001)(3)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060" w:type="dxa"/>
            <w:vAlign w:val="bottom"/>
            <w:gridSpan w:val="10"/>
          </w:tcPr>
          <w:p>
            <w:pPr>
              <w:jc w:val="right"/>
              <w:ind w:right="700"/>
              <w:spacing w:after="0" w:line="142" w:lineRule="exact"/>
              <w:rPr>
                <w:sz w:val="20"/>
                <w:szCs w:val="20"/>
                <w:color w:val="auto"/>
              </w:rPr>
            </w:pPr>
            <w:r>
              <w:rPr>
                <w:rFonts w:ascii="Arial" w:cs="Arial" w:eastAsia="Arial" w:hAnsi="Arial"/>
                <w:sz w:val="14"/>
                <w:szCs w:val="14"/>
                <w:b w:val="1"/>
                <w:bCs w:val="1"/>
                <w:color w:val="auto"/>
                <w:w w:val="86"/>
              </w:rPr>
              <w:t>(In millions, except per share, weighted average shares and operating data)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Sales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421.4</w:t>
            </w:r>
          </w:p>
        </w:tc>
        <w:tc>
          <w:tcPr>
            <w:tcW w:w="5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365.0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339.3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151.9</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 store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closings and severance</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14.1(7)</w:t>
            </w:r>
          </w:p>
        </w:tc>
        <w:tc>
          <w:tcPr>
            <w:tcW w:w="80" w:type="dxa"/>
            <w:vAlign w:val="bottom"/>
          </w:tcPr>
          <w:p>
            <w:pPr>
              <w:spacing w:after="0"/>
              <w:rPr>
                <w:sz w:val="18"/>
                <w:szCs w:val="18"/>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3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before minority interest and taxes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Less: minority interest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7"/>
              </w:rPr>
              <w:t>Income (loss) from discontinued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 from continuing</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operations—basic</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52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0.03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operations—diluted</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share—basic</w:t>
            </w:r>
          </w:p>
        </w:tc>
        <w:tc>
          <w:tcPr>
            <w:tcW w:w="4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52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0.04</w:t>
            </w:r>
          </w:p>
        </w:tc>
        <w:tc>
          <w:tcPr>
            <w:tcW w:w="480" w:type="dxa"/>
            <w:vAlign w:val="bottom"/>
            <w:gridSpan w:val="2"/>
          </w:tcPr>
          <w:p>
            <w:pPr>
              <w:ind w:left="380"/>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(0.34)</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0.04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(0.34)</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323"/>
        </w:trPr>
        <w:tc>
          <w:tcPr>
            <w:tcW w:w="33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for net income (loss) per share—basic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34,511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35,702</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25,117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for net income (loss) per share—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6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35,860</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36,733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35,702</w:t>
            </w:r>
          </w:p>
        </w:tc>
        <w:tc>
          <w:tcPr>
            <w:tcW w:w="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25,117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Working capital</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5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22.2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272.7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Long term debt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195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Number of stores open at fiscal year end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527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102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w:t>
      </w:r>
    </w:p>
    <w:p>
      <w:pPr>
        <w:spacing w:after="0" w:line="15" w:lineRule="exact"/>
        <w:rPr>
          <w:rFonts w:ascii="Arial" w:cs="Arial" w:eastAsia="Arial" w:hAnsi="Arial"/>
          <w:sz w:val="18"/>
          <w:szCs w:val="18"/>
          <w:color w:val="auto"/>
        </w:rPr>
      </w:pPr>
    </w:p>
    <w:p>
      <w:pPr>
        <w:ind w:left="460" w:right="50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results for fiscal 2004 include the effect, since October 30, 2004, of the acquisition of Rochester Big &amp; Tall Clothing. The results for fiscal 2002 include the effect, since May 14, 2002, of the acquisition of Casual Male Corporation and certain of its subsidiaries.</w:t>
      </w:r>
    </w:p>
    <w:p>
      <w:pPr>
        <w:spacing w:after="0" w:line="1" w:lineRule="exact"/>
        <w:rPr>
          <w:rFonts w:ascii="Arial" w:cs="Arial" w:eastAsia="Arial" w:hAnsi="Arial"/>
          <w:sz w:val="16"/>
          <w:szCs w:val="16"/>
          <w:color w:val="auto"/>
        </w:rPr>
      </w:pPr>
    </w:p>
    <w:p>
      <w:pPr>
        <w:ind w:left="460" w:right="80" w:hanging="452"/>
        <w:spacing w:after="0" w:line="26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fiscal 2004, we completed the closure of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through the sale of 32 stores and the closure of the remaining 26 stores. In accordance with Statement of Financial Accounting Standards (“SFAS”) No. 144, “Accounting for the Impairment or Disposal of Long-Lived Assets,” we have shown the results of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for all periods as discontinued operations. Accordingly, certain prior-year amounts on the Income Statement Data have been reclassified to discontinued operations to conform to the current-year presentation. Since our business consisted only of the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fiscal 2001 there were no continuing operations on a restated basis for that fiscal year.</w:t>
      </w:r>
    </w:p>
    <w:p>
      <w:pPr>
        <w:spacing w:after="0" w:line="1"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for fiscal 2005 include other expense of $1.0 million related to a $1.2 prepayment penalty associated with the early repayment of our mortgage on our corporate headquarters offset partially by income of $0.2 million of bond discount, net of the write-off of deferred financing costs, recognized on the early prepayment of $5.3 million of our convertible notes due 2024.</w:t>
      </w:r>
    </w:p>
    <w:p>
      <w:pPr>
        <w:ind w:left="460" w:right="1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of fiscal 2005, we recognized an income tax benefit of $2.8 million associated with the reversal of $3.1 million of our valuation allowance. This benefit was partially offset by $0.3 million in tax provisions. For a discussion of the valuation allowance reversal, see Note D to the Notes to the Consolidated Financial Statements.</w:t>
      </w:r>
    </w:p>
    <w:p>
      <w:pPr>
        <w:spacing w:after="0" w:line="1" w:lineRule="exact"/>
        <w:rPr>
          <w:rFonts w:ascii="Arial" w:cs="Arial" w:eastAsia="Arial" w:hAnsi="Arial"/>
          <w:sz w:val="18"/>
          <w:szCs w:val="18"/>
          <w:color w:val="auto"/>
        </w:rPr>
      </w:pPr>
    </w:p>
    <w:p>
      <w:pPr>
        <w:ind w:left="460" w:right="60" w:hanging="452"/>
        <w:spacing w:after="0" w:line="23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for fiscal 2004 include other income of $0.3 million related to the $3.1 million gain on our sale of our 50.5%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to Ecko.Complex, LLC, offset partially by approximately $1.9 million of costs incurred in the second quarter of fiscal 2004 related to our prepayment of our 12% Senior Subordinated Notes, due 2010, in addition to a write-off of approximately $0.9 million related to previously incurred costs associated with our intended spin-off of our subsidiary LP Innovations, Inc. which was postponed in fiscal 2004. Discontinued operations for fiscal 2004 include a gain of $1.2 million recognized from the sale of our 32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reversal of approximately $2.5 million of restructuring reserves associated with these stores.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for fiscal 2003 include a charge of approximately $14.1 million, primarily related to the write-off of costs and prepayment penalties incurred in connection with our prepayment of our long-term debt. Included in discontinued operations for fiscal 2003 is the reversal of $646,000 of restructuring liabilities related to excess reserves established for landlord settlements.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results for fiscal 2002 include $33.3 million in charges taken in the second and fourth quarters of fiscal 2002 related to the downsizing of the Levi’s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the integration of Casual Male and the exiting of our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 business. Of the $33.3 million in charges, approximately $28.2 million is included as part of discontinued operations. As a result of the restructuring and its impact on our operating profitability, results for fiscal 2002 also included a non-cash charge of $8.0 million to further reduce the carrying value of certain deferred tax assets.</w:t>
      </w:r>
    </w:p>
    <w:p>
      <w:pPr>
        <w:spacing w:after="0" w:line="1" w:lineRule="exact"/>
        <w:rPr>
          <w:rFonts w:ascii="Arial" w:cs="Arial" w:eastAsia="Arial" w:hAnsi="Arial"/>
          <w:sz w:val="16"/>
          <w:szCs w:val="16"/>
          <w:color w:val="auto"/>
        </w:rPr>
      </w:pPr>
    </w:p>
    <w:p>
      <w:pPr>
        <w:ind w:left="460" w:right="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discontinued operations for fiscal 2001 is a special non-cash charge of $8.1 million recorded by us in the fourth quarter of fiscal 2001 to reduce the carrying value of certain deferred tax assets. Due to the general weakness of the economy during fiscal 2001, which resulted in reduced earnings as compared to the prior year, the full realizability of certain tax assets could not be assured. Accordingly, we established additional reserves against those assets.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Selected 5 Year Financial Data for the Big &amp; Tall Apparel Business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table provides historical financial information for the Big &amp; Tall Apparel Business for the past five fiscal years, and includes the operating results from our Casual Male business and since October 29, 2004, the operating results of Rochester. Information for our Casual Male business prior to May 14, 2002 is according to the financial records of Casual Male Corp., the predecessor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January 28,</w:t>
            </w:r>
          </w:p>
        </w:tc>
        <w:tc>
          <w:tcPr>
            <w:tcW w:w="30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January 29,</w:t>
            </w:r>
          </w:p>
        </w:tc>
        <w:tc>
          <w:tcPr>
            <w:tcW w:w="620" w:type="dxa"/>
            <w:vAlign w:val="bottom"/>
          </w:tcPr>
          <w:p>
            <w:pPr>
              <w:spacing w:after="0"/>
              <w:rPr>
                <w:sz w:val="11"/>
                <w:szCs w:val="11"/>
                <w:color w:val="auto"/>
              </w:rPr>
            </w:pPr>
          </w:p>
        </w:tc>
        <w:tc>
          <w:tcPr>
            <w:tcW w:w="1380" w:type="dxa"/>
            <w:vAlign w:val="bottom"/>
            <w:gridSpan w:val="3"/>
          </w:tcPr>
          <w:p>
            <w:pPr>
              <w:jc w:val="center"/>
              <w:ind w:right="5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100" w:type="dxa"/>
            <w:vAlign w:val="bottom"/>
          </w:tcPr>
          <w:p>
            <w:pPr>
              <w:spacing w:after="0"/>
              <w:rPr>
                <w:sz w:val="11"/>
                <w:szCs w:val="11"/>
                <w:color w:val="auto"/>
              </w:rPr>
            </w:pPr>
          </w:p>
        </w:tc>
        <w:tc>
          <w:tcPr>
            <w:tcW w:w="80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7"/>
              </w:rPr>
              <w:t>February 1,</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90"/>
              </w:rPr>
              <w:t>February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(Fiscal 2005)</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(Fiscal 2004)</w:t>
            </w:r>
          </w:p>
        </w:tc>
        <w:tc>
          <w:tcPr>
            <w:tcW w:w="6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2003)</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6"/>
              </w:rPr>
              <w:t>(Fiscal 2002)(1)</w:t>
            </w:r>
          </w:p>
        </w:tc>
        <w:tc>
          <w:tcPr>
            <w:tcW w:w="6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8"/>
              </w:rPr>
              <w:t>(Fiscal 2001)(1)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store count)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87"/>
              </w:rPr>
              <w:t>(in millions, except</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Sales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421.4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352.4</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3"/>
            <w:vMerge w:val="continue"/>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6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count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2001, Casual Male Corp. initiated a store-closing plan in conjunction with its bankruptcy proceedings. We have excluded the operating results, if any, of these store closings for Fiscal 2002 and Fiscal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w:t>
      </w:r>
    </w:p>
    <w:p>
      <w:pPr>
        <w:spacing w:after="0" w:line="90" w:lineRule="exact"/>
        <w:rPr>
          <w:sz w:val="20"/>
          <w:szCs w:val="20"/>
          <w:color w:val="auto"/>
        </w:rPr>
      </w:pPr>
    </w:p>
    <w:p>
      <w:pPr>
        <w:jc w:val="both"/>
        <w:ind w:firstLine="456"/>
        <w:spacing w:after="0" w:line="235" w:lineRule="auto"/>
        <w:rPr>
          <w:sz w:val="20"/>
          <w:szCs w:val="20"/>
          <w:color w:val="auto"/>
        </w:rPr>
      </w:pPr>
      <w:r>
        <w:rPr>
          <w:rFonts w:ascii="Arial" w:cs="Arial" w:eastAsia="Arial" w:hAnsi="Arial"/>
          <w:sz w:val="18"/>
          <w:szCs w:val="18"/>
          <w:color w:val="auto"/>
        </w:rPr>
        <w:t>Fiscal 2005 marks the first year since we acquired the Casual Male business in May 2002 that we have operated solely as a big &amp; tall men’s apparel retailer. By the end of fiscal 2004, we had completed the divestiture of our other non-core businesses which included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our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w:t>
      </w:r>
    </w:p>
    <w:p>
      <w:pPr>
        <w:spacing w:after="0" w:line="15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objective since acquiring the Casual Male business in fiscal 2002 has been to become the premier retailer in the big &amp; tall industry by (1) 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 base and (3) divesting our other businesses to enable strategic focus towards the our core business.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our system enhancements complete, we are now able to market our merchandise to a variety of target customer market segments, both geographically by store and by lifestyle. Over the past year, we have been able to identify, through statistical clustering, our key customer groups, their demographics and their purchasing habits. With the access to this type of information, we have been able to improve upon our merchandising strategies, resulting in continued sales growth and margin improvements. We have posted nine quarters of consecutive comparable store sales increases and continue to see substantial growth in our catalog and e-commerce business.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When we acquired the Rochester business in fiscal 2004, the business was being supported by AS/400 applications that were over 20 years old. During the fourth quarter of fiscal 2005, we successfully completed the conversion of our Rochester business to our Casual Male system environment. We expect that our Rochester business will benefit from this system conversion, similarly to Casual Male, both financially and operationally during fiscal 2006.</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Overall, fiscal 2005 was a pivotal year for us. With many of our initiatives complete, we started to see the anticipated benefits emerge. Our sales growth was strong and steady, with gross margins continuing to improve as we balanced our inventory mix between branded versus private label and fashion versus core merchandise. Our operating income for the year showed an improvement of 125% over fiscal 2004, which is attributable to not only our sales and gross margin performance but also to our continued cost control, which showed improvement as a percentage of sales as compared to fiscal 2004.</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discussed below, subsequent to year end, we entered in to a sale-leaseback transaction which significantly benefited our balance sheet position by increasing our average liquidity and adding flexibility for the potential uses of our future free cash flow. With the completion of this transaction, we have eliminated much of our long term debt with the exception of our remaining convertible notes, repaid all amounts outstanding under our credit facility and reduced our expected interest costs to approximately $4.5 -$5.0 million for fiscal 2006. As opportunities arise in the future, we may repurchase additional convertible notes. See “Liquidity and Capital Resources” below for a complete discussion.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Subsequent Event</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Subsequent to year end, on January 30, 2006, we entered into a sale-leaseback transaction with Spirit Finance Corporation, a third-party real estate investment trust (“Spirit”). In connection with the transaction, we sold our headquarters and distribution center property to Spirit for $57.0 million. The property consists of a 755,992 gross square foot building located on approximately 27.3 acres in Canton, MA. At the closing on February 1, 2006, we then entered into a twenty-year lease agreement with a wholly-owned subsidiary of Spirit whereby we agreed to lease the property back for an annual rent of $4.6 million. See Note N to the Notes to the Consolidated Financial Statements for a complete description of this transaction. In the first quarter of fiscal 2006, we will realize a gain of approximately $29.3 million on the sale of this property, which will be deferred and amortized over the initial 20 years of the related lease agreement. Accordingly, our annual rent of $4.6 million will be offset by $1.5 million related to the amortization of this deferred gain.</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used the net proceeds from the sale of approximately $56.0 million to reduce outstanding bank debt, including our term loan. During the fourth quarter of fiscal 2005, we repaid our existing mortgage on the property and repurchased a portion of our outstanding convertible notes due 2024 with borrowings from our credit facility. Subsequent to fiscal 2005, we used the remaining proceeds from the sale-leaseback to repay in full borrowings outstanding on our credit facility. We incurred an approximate $1.2 million pre-payment penalty associated with the prepayment of our mortgage, which we recorded in the fourth quarter of fiscal 2005. In addition, during the fourth quarter of fiscal 2005, we recognized a gain from the repurchase of our convertible notes related to the discount on the notes of approximately $0.4 million offset by the write-off of $0.2 million for deferred financing costs.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Closings/Discontinued Operations</w:t>
      </w:r>
    </w:p>
    <w:p>
      <w:pPr>
        <w:spacing w:after="0" w:line="9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 xml:space="preserve">In accordance with the provisions of Statement of Financial Accounting Standard (“SFAS”)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(“SFAS No. 144”), our results of operations for fiscal 2004 and fiscal 2003 for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stores that closed over the past three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are presented as discontinued operations. The discontinued operations of these stores include related write-downs for the impairment of assets and costs to liquidate inventory.</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Since the Casual Male acquisition in May 2002 through the end of fiscal 2004, we operated our business under two reportable store segments: (i) the Big &amp; Tall Apparel business and (ii) Other Branded Apparel businesses. However, with the completion of the closure of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sale of our Ecko joint venture interest, we completely exited all operations of our Other Branded Apparel business by the end of fiscal 2004. As a result, beginning in fiscal 2005 we began reporting our operations as one reportable segment, Big &amp; Tall Men’s Apparel, which consists of the our Casual Male and Rochester businesses.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following discussion includes the results of operations for our Big &amp; Tall Apparel business which is comprised of our Casual Male business and, since October 30, 2004, our Rochester business, as well as our catalog and e-commerce businesses. Results for fiscal 2004 and fiscal 2003 include our Other Branded Apparel business which consisted of our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 operated pursuant to a joint venture with Ecko.Complex, LLC (“Ecko”) until July 30, 2004.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20"/>
                <w:szCs w:val="20"/>
                <w:color w:val="auto"/>
              </w:rPr>
            </w:pPr>
            <w:r>
              <w:rPr>
                <w:rFonts w:ascii="Arial" w:cs="Arial" w:eastAsia="Arial" w:hAnsi="Arial"/>
                <w:sz w:val="14"/>
                <w:szCs w:val="14"/>
                <w:b w:val="1"/>
                <w:bCs w:val="1"/>
                <w:color w:val="auto"/>
              </w:rPr>
              <w:t>For the fiscal year:</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85"/>
              </w:rPr>
              <w:t>Fiscal 2005</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Fiscal 2004</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2003</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Big &amp; Tall</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Branded</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w w:val="80"/>
              </w:rPr>
              <w:t>Big &amp; Tall</w:t>
            </w:r>
          </w:p>
        </w:tc>
        <w:tc>
          <w:tcPr>
            <w:tcW w:w="3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Branded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w w:val="80"/>
              </w:rPr>
              <w:t>Big &amp; Tall</w:t>
            </w:r>
          </w:p>
        </w:tc>
        <w:tc>
          <w:tcPr>
            <w:tcW w:w="3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Branded</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Apparel</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Apparel</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Apparel</w:t>
            </w:r>
          </w:p>
        </w:tc>
        <w:tc>
          <w:tcPr>
            <w:tcW w:w="3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Apparel</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Apparel</w:t>
            </w:r>
          </w:p>
        </w:tc>
        <w:tc>
          <w:tcPr>
            <w:tcW w:w="3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Apparel</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business</w:t>
            </w:r>
          </w:p>
        </w:tc>
        <w:tc>
          <w:tcPr>
            <w:tcW w:w="3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business</w:t>
            </w:r>
          </w:p>
        </w:tc>
        <w:tc>
          <w:tcPr>
            <w:tcW w:w="4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business</w:t>
            </w:r>
          </w:p>
        </w:tc>
        <w:tc>
          <w:tcPr>
            <w:tcW w:w="34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business</w:t>
            </w:r>
          </w:p>
        </w:tc>
        <w:tc>
          <w:tcPr>
            <w:tcW w:w="4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business</w:t>
            </w:r>
          </w:p>
        </w:tc>
        <w:tc>
          <w:tcPr>
            <w:tcW w:w="34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9"/>
              </w:rPr>
              <w:t>business</w:t>
            </w:r>
          </w:p>
        </w:tc>
        <w:tc>
          <w:tcPr>
            <w:tcW w:w="400" w:type="dxa"/>
            <w:vAlign w:val="bottom"/>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w w:val="78"/>
              </w:rPr>
              <w:t>(in millions)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421.4</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421.4</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4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365.0</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4"/>
                <w:szCs w:val="14"/>
                <w:color w:val="auto"/>
              </w:rPr>
              <w:t>Gross margin</w:t>
            </w:r>
          </w:p>
        </w:tc>
        <w:tc>
          <w:tcPr>
            <w:tcW w:w="1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182.2</w:t>
            </w:r>
          </w:p>
        </w:tc>
        <w:tc>
          <w:tcPr>
            <w:tcW w:w="340" w:type="dxa"/>
            <w:vAlign w:val="bottom"/>
          </w:tcPr>
          <w:p>
            <w:pPr>
              <w:spacing w:after="0"/>
              <w:rPr>
                <w:sz w:val="22"/>
                <w:szCs w:val="22"/>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182.2</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146.5</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150.4</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132.5</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7.7</w:t>
            </w:r>
          </w:p>
        </w:tc>
        <w:tc>
          <w:tcPr>
            <w:tcW w:w="4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Gross margin rate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43.3%</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w w:val="85"/>
              </w:rPr>
              <w:t>43.3%</w:t>
            </w: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41.6%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i w:val="1"/>
                <w:iCs w:val="1"/>
                <w:color w:val="auto"/>
              </w:rPr>
              <w:t>31.0%</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w w:val="85"/>
              </w:rPr>
              <w:t>41.2%</w:t>
            </w: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41.5%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37.8%</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w w:val="90"/>
              </w:rPr>
              <w:t>41.3%</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151.9</w:t>
            </w:r>
          </w:p>
        </w:tc>
        <w:tc>
          <w:tcPr>
            <w:tcW w:w="340" w:type="dxa"/>
            <w:vAlign w:val="bottom"/>
          </w:tcPr>
          <w:p>
            <w:pPr>
              <w:spacing w:after="0"/>
              <w:rPr>
                <w:sz w:val="22"/>
                <w:szCs w:val="22"/>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151.9</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127.9</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132.5</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109.3</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w:t>
            </w:r>
          </w:p>
        </w:tc>
        <w:tc>
          <w:tcPr>
            <w:tcW w:w="4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17.6</w:t>
            </w:r>
          </w:p>
        </w:tc>
        <w:tc>
          <w:tcPr>
            <w:tcW w:w="340" w:type="dxa"/>
            <w:vAlign w:val="bottom"/>
          </w:tcPr>
          <w:p>
            <w:pPr>
              <w:spacing w:after="0"/>
              <w:rPr>
                <w:sz w:val="13"/>
                <w:szCs w:val="13"/>
                <w:color w:val="auto"/>
              </w:rPr>
            </w:pP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17.6</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9.4</w:t>
            </w:r>
          </w:p>
        </w:tc>
        <w:tc>
          <w:tcPr>
            <w:tcW w:w="420" w:type="dxa"/>
            <w:vAlign w:val="bottom"/>
            <w:gridSpan w:val="2"/>
          </w:tcPr>
          <w:p>
            <w:pPr>
              <w:ind w:left="340"/>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8.0</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16.5</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0.6</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Sales. </w:t>
      </w:r>
      <w:r>
        <w:rPr>
          <w:rFonts w:ascii="Arial" w:cs="Arial" w:eastAsia="Arial" w:hAnsi="Arial"/>
          <w:sz w:val="16"/>
          <w:szCs w:val="16"/>
          <w:color w:val="auto"/>
        </w:rPr>
        <w:t>Sales for fiscal 2005 were $421.4 million as compared to $365.0 million in fiscal 2004. The majority of the increase related to the Big &amp; Tall</w:t>
      </w:r>
      <w:r>
        <w:rPr>
          <w:rFonts w:ascii="Arial" w:cs="Arial" w:eastAsia="Arial" w:hAnsi="Arial"/>
          <w:sz w:val="16"/>
          <w:szCs w:val="16"/>
          <w:i w:val="1"/>
          <w:iCs w:val="1"/>
          <w:color w:val="auto"/>
        </w:rPr>
        <w:t xml:space="preserve"> </w:t>
      </w:r>
      <w:r>
        <w:rPr>
          <w:rFonts w:ascii="Arial" w:cs="Arial" w:eastAsia="Arial" w:hAnsi="Arial"/>
          <w:sz w:val="16"/>
          <w:szCs w:val="16"/>
          <w:color w:val="auto"/>
        </w:rPr>
        <w:t>Apparel business which had an increase of $69.0 million, which was partially offset by $12.6 million of revenue from fiscal 2004 as a result of the divested Other Apparel Business. The increase in the Big &amp; Tall Apparel business of $69.0 million was primarily due to an increase of $54.9 million in sales from our Rochester business due to a full year of revenue in fiscal 2005. The Rochester stores were acquired in October 2004 and therefore did not have a full year of revenue in fiscal 2004. Included in sales for fiscal 2005 is income of $1.2 million related to our initial recognition of gift card breakage. Gift card breakage is income recognized for a portion of non-redeemed gift cards sold by us for which a liability was recorded in prior periods but where the likelihood of redemption by the customer is remote. Also contributing to our sales growth in fiscal 2005 was a total company comparable store sale increase of 4.6%, with the fourth quarter marking our ninth consecutive quarter of positive comparable store sale increases. Our e-commerce and catalog businesses continued to perform strongly during fiscal 2005, representing a combined increase of 18% as compared to the prior year.</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Over the past two fiscal years, we added several branded apparel lines to our merchandise mix. We believe that the introduction of these well-known brands helped stimulate traffic into our stores. Given that, over the same period, we have also continued to see considerable growth among our own private label lines, contributing strongly to both our sales and margin in fiscal 2005. With the benefit our recently upgraded merchandising systems we have been able to better manage our in-stock positions and allocations throughout the chain on a micro level, responding to each store’s specific merchandise needs.</w:t>
      </w:r>
    </w:p>
    <w:p>
      <w:pPr>
        <w:spacing w:after="0" w:line="113" w:lineRule="exact"/>
        <w:rPr>
          <w:sz w:val="20"/>
          <w:szCs w:val="20"/>
          <w:color w:val="auto"/>
        </w:rPr>
      </w:pPr>
    </w:p>
    <w:p>
      <w:pPr>
        <w:ind w:right="20" w:firstLine="456"/>
        <w:spacing w:after="0" w:line="278" w:lineRule="auto"/>
        <w:rPr>
          <w:sz w:val="20"/>
          <w:szCs w:val="20"/>
          <w:color w:val="auto"/>
        </w:rPr>
      </w:pPr>
      <w:r>
        <w:rPr>
          <w:rFonts w:ascii="Arial" w:cs="Arial" w:eastAsia="Arial" w:hAnsi="Arial"/>
          <w:sz w:val="16"/>
          <w:szCs w:val="16"/>
          <w:color w:val="auto"/>
        </w:rPr>
        <w:t>Sales for fiscal 2004 were $365.0 million as compared to $339.3 million in fiscal 2003. The increase of $25.7 million was due to the addition of the Rochester business which contributed $21.1 million to total sales in fiscal 2004 and a comparable store sales increase for fiscal 2004 of 4.4%. This increase was partially offset by a decrease of $7.5 million in our Other Branded Apparel business due to the sale of the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in the second quarter of fiscal 2004. Our e-commerce business increased more than 55% in fiscal 2004, which was in addition to a similar increase in fiscal 2003.</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Comparable store sales for all periods include our retail stores that have been open for at least one full fiscal year together with our e-commerce and catalog sales. It also includes the Rochester stores, since the date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October 30, 2004, against their respective same store base for each of the prior years as if we owned the stores since February 1, 2003.</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rate for fiscal 2005 was 43.3% as compared to 41.2% for fiscal 2004 and 41.3% for fiscal 2003. The increase of 1.7</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points for our Big &amp; Tall apparel business was due to a 1.8 percentage point increase in merchandise margins offset slightly by a 0.1 percentage point increase in occupancy costs. The 1.8 percentage point increase in merchandise margins for fiscal 2005 was primarily the result of our enhanced inventory management of our core basic merchandise versus our fashion merchandise. By maintaining in-stock positions on our core merchandise, we have been able to improve initial margins and reduce our levels of markdowns and clearance inventory.</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gross margin rate for fiscal 2004 was slightly higher than fiscal 2003 as a result of a stable merchandise margin for the Casual Male business and the addition of the Rochester stores, which have slightly higher gross margins.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as a percentage of sales for fiscal 2005, 2004 and</w:t>
      </w:r>
      <w:r>
        <w:rPr>
          <w:rFonts w:ascii="Arial" w:cs="Arial" w:eastAsia="Arial" w:hAnsi="Arial"/>
          <w:sz w:val="16"/>
          <w:szCs w:val="16"/>
          <w:i w:val="1"/>
          <w:iCs w:val="1"/>
          <w:color w:val="auto"/>
        </w:rPr>
        <w:t xml:space="preserve"> </w:t>
      </w:r>
      <w:r>
        <w:rPr>
          <w:rFonts w:ascii="Arial" w:cs="Arial" w:eastAsia="Arial" w:hAnsi="Arial"/>
          <w:sz w:val="16"/>
          <w:szCs w:val="16"/>
          <w:color w:val="auto"/>
        </w:rPr>
        <w:t>2003 were 36.1%, 36.3% and 34.1%, respectively. Although SG&amp;A dollars for fiscal 2005 increased as compared to fiscal 2004, SG&amp;A expenses as a percentage of sales decreased as we continue to manage our expense base. The majority of the increase in SG&amp;A dollars can be attributed to the annualized expenses for Rochester, because fiscal 2004 only included Rochester expenses since October 29, 2004. SG&amp;A expenses for fiscal 2005 include a benefit of $700,000 related to the class action settlement with Visa/Mastercard for past overcharges. SG&amp;A expenses for fiscal 2004 include a net benefit of $0.8 million which includes the reversal of certain accrued liabilities as a result of revised estimates, offset by an increase in legal accruals. Advertising expense for fiscal 2005 was $28.6 million as compared to $25.5 million for fiscal 2004. In fiscal 2004, we spent approximately $6.5 million in incremental marketing costs for the launch of our George Foreman product line. In fiscal 2005, we shifted these additional marketing dollars toward our direct marketing campaign and focused less on the mass media type of advertising.</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SG&amp;A rate for fiscal 2004 as compared to fiscal 2003 increased as a result of the marketing investments associated with the launch of the George Foreman brand. In the first quarter of fiscal 2004, the Company launched a nationwide campaign to announce the introduction of its George Foreman clothing collection and to re-introduce Casual Male Big &amp; Tall. We increased our marketing costs by approximately $6.5 million, representing much of the increase in Casual Male’s SG&amp;A costs for fiscal 2004.</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was $12.7 million for fiscal 2005, $9.9 million for fiscal 2004 and $7.5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2003. The increase in depreciation and amortization over the past two fiscal years is directly attributable to the capital expenditures associated with improving our infrastructure as well as new store growth and the remodeling of some of our older locations. The increase in fiscal 2005 is also partially due to a full year of depreciation for our Rochester business.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For the Big &amp; Tall Apparel business, operating income for fiscal 2005 was $17.6 million as compared with $9.4 million in fiscal 2004</w:t>
      </w:r>
      <w:r>
        <w:rPr>
          <w:rFonts w:ascii="Arial" w:cs="Arial" w:eastAsia="Arial" w:hAnsi="Arial"/>
          <w:sz w:val="16"/>
          <w:szCs w:val="16"/>
          <w:i w:val="1"/>
          <w:iCs w:val="1"/>
          <w:color w:val="auto"/>
        </w:rPr>
        <w:t xml:space="preserve"> </w:t>
      </w:r>
      <w:r>
        <w:rPr>
          <w:rFonts w:ascii="Arial" w:cs="Arial" w:eastAsia="Arial" w:hAnsi="Arial"/>
          <w:sz w:val="16"/>
          <w:szCs w:val="16"/>
          <w:color w:val="auto"/>
        </w:rPr>
        <w:t>and $16.5 million in fiscal 2003. The increase of 118% in operating income for fiscal 2005 is principally the result of our comparable store sales growth, improved merchandise margins and the benefit of a full year of operating results for our Rochester business. These improvements in operating income were partially offset by an increase of $2.8 million in depreciation and amortization. The decrease in operating income in fiscal 2004 as compared to fiscal 2003 was principally due to increased SG&amp;A costs attributable to advertising costs incurred in connection with the national launch of the George Foreman collections.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ind w:firstLine="456"/>
        <w:spacing w:after="0" w:line="228" w:lineRule="auto"/>
        <w:rPr>
          <w:sz w:val="20"/>
          <w:szCs w:val="20"/>
          <w:color w:val="auto"/>
        </w:rPr>
      </w:pPr>
      <w:r>
        <w:rPr>
          <w:rFonts w:ascii="Arial" w:cs="Arial" w:eastAsia="Arial" w:hAnsi="Arial"/>
          <w:sz w:val="18"/>
          <w:szCs w:val="18"/>
          <w:color w:val="auto"/>
        </w:rPr>
        <w:t>The following table summarizes for fiscal 2004 and fiscal 2003, the results of operations for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 completely exited from in fiscal 2004.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Fiscal 2005</w:t>
            </w:r>
          </w:p>
        </w:tc>
        <w:tc>
          <w:tcPr>
            <w:tcW w:w="7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Fiscal 2004(1)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2003(2)</w:t>
            </w: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(in millions)</w:t>
            </w:r>
          </w:p>
        </w:tc>
        <w:tc>
          <w:tcPr>
            <w:tcW w:w="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Provision (reversal) for impairment of assets, store closings and severance</w:t>
            </w:r>
          </w:p>
        </w:tc>
        <w:tc>
          <w:tcPr>
            <w:tcW w:w="2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460" w:right="120" w:hanging="452"/>
        <w:spacing w:after="0" w:line="25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Fiscal 2004 includes a gain of $1.2 million that we recognized in connection with the sale of 32 of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in the fourth quarter. Results also include income of $2.5 million recognized in the second and fourth quarters as a result of the reversal of excess restructuring reserves.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2003 includes income of $646,000 as a result of revised accruals for certain landlord settlements.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Fiscal 2005. </w:t>
      </w:r>
      <w:r>
        <w:rPr>
          <w:rFonts w:ascii="Arial" w:cs="Arial" w:eastAsia="Arial" w:hAnsi="Arial"/>
          <w:sz w:val="16"/>
          <w:szCs w:val="16"/>
          <w:color w:val="auto"/>
        </w:rPr>
        <w:t>During the fourth quarter of fiscal 2005, we prepaid our outstanding mortgage note. In connection with the prepayment, we incurred a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of $1.2 million associated with the early retirement of the note. In addition, during the fourth quarter of fiscal 2005, we repurchased $5.3 million of our outstanding convertible notes due 2024 and, as a result, recognized a gain of $0.4 million related to the associated discount on the notes. This gain of $0.4 million was partially offset by the write-off of $0.2 million of deferred financing costs associated with the notes.</w:t>
      </w:r>
    </w:p>
    <w:p>
      <w:pPr>
        <w:spacing w:after="0" w:line="113" w:lineRule="exact"/>
        <w:rPr>
          <w:sz w:val="20"/>
          <w:szCs w:val="20"/>
          <w:color w:val="auto"/>
        </w:rPr>
      </w:pPr>
    </w:p>
    <w:p>
      <w:pPr>
        <w:ind w:right="180" w:firstLine="456"/>
        <w:spacing w:after="0" w:line="280" w:lineRule="auto"/>
        <w:rPr>
          <w:sz w:val="20"/>
          <w:szCs w:val="20"/>
          <w:color w:val="auto"/>
        </w:rPr>
      </w:pPr>
      <w:r>
        <w:rPr>
          <w:rFonts w:ascii="Arial" w:cs="Arial" w:eastAsia="Arial" w:hAnsi="Arial"/>
          <w:sz w:val="17"/>
          <w:szCs w:val="17"/>
          <w:i w:val="1"/>
          <w:iCs w:val="1"/>
          <w:color w:val="auto"/>
        </w:rPr>
        <w:t xml:space="preserve">Fiscal 2004. </w:t>
      </w:r>
      <w:r>
        <w:rPr>
          <w:rFonts w:ascii="Arial" w:cs="Arial" w:eastAsia="Arial" w:hAnsi="Arial"/>
          <w:sz w:val="17"/>
          <w:szCs w:val="17"/>
          <w:color w:val="auto"/>
        </w:rPr>
        <w:t>In the second quarter of fiscal 2004, we completed the repayment of approximately $7.8 million of our 12% senior subordinated notes due</w:t>
      </w:r>
      <w:r>
        <w:rPr>
          <w:rFonts w:ascii="Arial" w:cs="Arial" w:eastAsia="Arial" w:hAnsi="Arial"/>
          <w:sz w:val="17"/>
          <w:szCs w:val="17"/>
          <w:i w:val="1"/>
          <w:iCs w:val="1"/>
          <w:color w:val="auto"/>
        </w:rPr>
        <w:t xml:space="preserve"> </w:t>
      </w:r>
      <w:r>
        <w:rPr>
          <w:rFonts w:ascii="Arial" w:cs="Arial" w:eastAsia="Arial" w:hAnsi="Arial"/>
          <w:sz w:val="17"/>
          <w:szCs w:val="17"/>
          <w:color w:val="auto"/>
        </w:rPr>
        <w:t>2010. In connection with the prepayment, we incurred approximately $1.9 million of expense associated with the prepayment penalties and the write-off of the unamortized value associated with warrants issued in connection with the debt. In addition, we also wrote off approximately $0.9 million of expenses due to the postponed spin-off of our majority-owned subsidiary, LP Innovations, Inc. (“LPI”). These costs were offset by a gain recognized in the second quarter of fiscal 2004 of $3.1 million associated with the sale of our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joint venture to Ecko.</w:t>
      </w:r>
    </w:p>
    <w:p>
      <w:pPr>
        <w:spacing w:after="0" w:line="4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Fiscal 2003. </w:t>
      </w:r>
      <w:r>
        <w:rPr>
          <w:rFonts w:ascii="Arial" w:cs="Arial" w:eastAsia="Arial" w:hAnsi="Arial"/>
          <w:sz w:val="16"/>
          <w:szCs w:val="16"/>
          <w:color w:val="auto"/>
        </w:rPr>
        <w:t>During the second half of fiscal 2003, we incurred approximately $13.8 million of expenses related to the early prepayment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notes due 2007 and 2010 and term loan with Back Bay Capital. Of the total expenses of $13.8 million, approximately $13.3 million was recorded in the fourth quarter of fiscal 2003. The majority of these expenses related to prepayment charges of approximately $1.6 million and write-off of deferred costs of $11.7 million, primarily related to the acceleration of deferred expense for the value of warrants issued in connection with the above debt. In the fourth quarter of fiscal 2003, we also recognized $355,000 of expenses related to costs we incurred related to our intention to spin-off LPI.</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interest expense was $8.6 million in fiscal 2005 compared to $8.0 million in fiscal 2004 and $11.2 million in fiscal 2003. The increase in interest expense during fiscal 2005 is primarily due to slightly higher average borrowings under our revolver as well as increased interest rates. See “Liquidity and Capital Resources”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more discussion regarding our current debt obligations and the use of proceeds from our sale-leaseback transaction and its impact on our debt position for fiscal 2006.</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fourth quarter of fiscal 2003, we issued $100 million in convertible notes, the proceeds of which were used to repay much of our higher interest rate long term debt that we incurred in fiscal 2002 in connection with the Casual Male acquisition. This resulted in significant interest cost savings in fiscal 2004. Included in interest expense for fiscal 2004 and fiscal 2003 was accretion on stock warrants of $0.1 million and $1.4 million, respectively. As part of the prepayment of our long-term debt, all of the value associated with the stock warrants, which were issued in connection with the long-term debt, were written off and are included in “Other income (expense)” on the Consolidated Statement of Operations for fiscal 2004 and fiscal 2003.</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previously discussed, subsequent to year end we entered into a sale-leaseback transaction and we used the proceeds from that transaction to repay in full our borrowings under our credit facility. During the fourth quarter of fiscal 2005, we borrowed funds from our credit facility to prepay our outstanding mortgage and to repurchase approximately $5.3 million in convertible notes. See “Liquidity and Capital Resources” for more discussion. As a result, we expect interest expense will decrease by approximately $3.5 to $4.0 million for fiscal 2006 due to lower average debt levels.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6"/>
          <w:szCs w:val="16"/>
          <w:color w:val="auto"/>
        </w:rPr>
        <w:t>Pursuant to accounting rules, realization of our deferred tax assets, which relate principally to federal net operating loss carryforwards which expire from 2018 through 2024, is dependent on generating sufficient taxable income in the near term. In fiscal years 2001 and 2002, we established a full valuation allowance against our deferred tax assets due to the uncertainty at that time of generating future taxable income, based on our historical losses in those years. Since that time, we have transformed the Company, through acquisitions and divestures, from an operator of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to the market leader of men’s big &amp; tall apparel. Since we acquired Casual Male in fiscal 2002, our big &amp; tall business has been profitable from an operating perspective.</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the fourth quarter of fiscal 2005, we determined that it is more likely than not that we will be able to realize the benefits of a portion of our deferred tax assets. In reaching this determination, we considered the positive evidence of nine consecutive quarters of positive comparable store sales, our continued improvement in operating income over the past four years, our expectations regarding the generation of future taxable income, and our current market position and expected growth of our industry. Also, as discussed above, subsequent to year end, we entered into a sale-leaseback transaction which resulted in a gain on the sale of our corporate headquarters, net of transaction costs, of approximately $29.3 million. For tax purposes in fiscal 2006, we will be able to utilize our existing NOL’s to offset this gain, For book purposes, we deferred the gain and will recognize only $1.5 million annually over the initial term of the respective lease agreement. Based on the positive evidence that existed at January 28, 2006, we reversed $3.1 million of our deferred tax valuation allowance. The valuation allowance for our remaining deferred tax assets does not affect our ability to utilize our net operating loss carryforwards to offset any future taxable income, subject to certain annual limitations.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January 28, 2006, we have net operating loss carryforwards of $103.3 million for federal income tax purposes and $91.0 million for state income tax purposes that are available to offset future taxable income, subject to certain annual usage limitations, through fiscal year 2024. As a result of the Casual Male acquisition and the issuance of additional equity in fiscal 2002, the utilization of approximately $32.9 million of the $103.3 million in federal net operating losses are subject to an annual limitation of approximately $4.8 million per year. Additionally, we have alternative minimum tax credit carryforwards of $1.4 million, which are available to further reduce income taxes over an indefinite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Fiscal 2005(1)</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2004(2)</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Big &amp; Tall Apparel business</w:t>
            </w:r>
          </w:p>
        </w:tc>
        <w:tc>
          <w:tcPr>
            <w:tcW w:w="23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8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Branded Apparel businesses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Total operating income</w:t>
            </w:r>
          </w:p>
        </w:tc>
        <w:tc>
          <w:tcPr>
            <w:tcW w:w="2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gridSpan w:val="3"/>
            <w:vMerge w:val="continue"/>
          </w:tcPr>
          <w:p>
            <w:pPr>
              <w:spacing w:after="0"/>
              <w:rPr>
                <w:sz w:val="19"/>
                <w:szCs w:val="19"/>
                <w:color w:val="auto"/>
              </w:rPr>
            </w:pP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 for income taxes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for fiscal 2005 include other income (expense) of $1.0 million related to a $1.2 million prepayment charge associated with the prepayment of our mortgage note, $0.4 million of income associated with the repurchase of approximately $5.3 million of our convertible notes and an associated write-off of $0.2 million of deferred financing costs. In addition, as a result of our continued improvement in profitability, during the fourth quarter of fiscal 2005, we reversed approximately $3.1 million of our deferred tax asset-valuation allowance. This benefit was offset slightly by approximately $0.3 million of income tax provision.</w:t>
      </w:r>
    </w:p>
    <w:p>
      <w:pPr>
        <w:ind w:left="460" w:right="240" w:hanging="452"/>
        <w:spacing w:after="0" w:line="26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Results for fiscal 2004 include other income (expense) of $0.3 million related to the gain on the sale of our joint venture interest in Ecko of $3.1 million, offset partially by approximately $1.9 million of expense related to the prepayment of long term debt and write-offs of approximately $0.9 million of offering costs associated with the postponed spin-off of our subsidiary LPI. Discontinued operations include a gain on the sale of our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of approximately $1.2 million and $2.5 million of income recognized as a result of reversals of excess restructuring reserves due to such sale.</w:t>
      </w:r>
    </w:p>
    <w:p>
      <w:pPr>
        <w:ind w:left="460" w:right="140" w:hanging="452"/>
        <w:spacing w:after="0" w:line="32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Results for fiscal 2003 include $14.1 million in other income (expense) related to the prepayment of long-term debt. Discontinued operations include $0.6 million of income related to the reversal of excess restructuring reserves as a result of favorable lease terminations.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Our business traditionally generates the largest volume of its sales during the Father’s Day selling season in June and the Christmas selling season in December. The majority of our operating income is generated in the fourth quarter as a result of the impact of the Christmas selling season. A comparison of quarterly sales, gross profit, net income (loss) per share for the past two fiscal years is presented in Note O of the Notes to the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Fiscal 2005</w:t>
            </w:r>
          </w:p>
        </w:tc>
        <w:tc>
          <w:tcPr>
            <w:tcW w:w="200" w:type="dxa"/>
            <w:vAlign w:val="bottom"/>
          </w:tcPr>
          <w:p>
            <w:pPr>
              <w:spacing w:after="0"/>
              <w:rPr>
                <w:sz w:val="14"/>
                <w:szCs w:val="14"/>
                <w:color w:val="auto"/>
              </w:rPr>
            </w:pPr>
          </w:p>
        </w:tc>
        <w:tc>
          <w:tcPr>
            <w:tcW w:w="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2004(1)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Fiscal 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7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w w:val="94"/>
              </w:rPr>
              <w:t>Second quarter</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100.6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82.6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Fourth quarter</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129.7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421.4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339.3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20" w:right="214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Fiscal 2004 sales results include, since October 30, 2004, the sales of the Rochester stores which approximated $21.0 million. 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Specifically, our capital expenditure program includes projects for new store openings,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offerings. Our objective is to maintain a positive cash flow after capital expenditures such that we can support our growth activities with operational cash flows and without the use of incurring any additional debt. As a result of our recent sale-leaseback transaction and the repayment of certain debt obligations, during fiscal 2006, we expect our average monthly liquidity, including amounts available under our credit facility, to be approximately $75.0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0</wp:posOffset>
            </wp:positionV>
            <wp:extent cx="1440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9240"/>
        <w:spacing w:after="0"/>
        <w:tabs>
          <w:tab w:leader="none" w:pos="10140" w:val="left"/>
          <w:tab w:leader="none" w:pos="1104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1"/>
          <w:szCs w:val="11"/>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-6985</wp:posOffset>
            </wp:positionV>
            <wp:extent cx="2914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-6985</wp:posOffset>
            </wp:positionV>
            <wp:extent cx="291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-6985</wp:posOffset>
            </wp:positionV>
            <wp:extent cx="2914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9540"/>
        <w:spacing w:after="0" w:line="223" w:lineRule="auto"/>
        <w:rPr>
          <w:sz w:val="20"/>
          <w:szCs w:val="20"/>
          <w:color w:val="auto"/>
        </w:rPr>
      </w:pPr>
      <w:r>
        <w:rPr>
          <w:rFonts w:ascii="Arial" w:cs="Arial" w:eastAsia="Arial" w:hAnsi="Arial"/>
          <w:sz w:val="14"/>
          <w:szCs w:val="14"/>
          <w:b w:val="1"/>
          <w:bCs w:val="1"/>
          <w:color w:val="auto"/>
        </w:rPr>
        <w:t>(in millions, except ratios)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$ 16.8</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Working capital</w:t>
            </w:r>
          </w:p>
        </w:tc>
        <w:tc>
          <w:tcPr>
            <w:tcW w:w="4260" w:type="dxa"/>
            <w:vAlign w:val="bottom"/>
          </w:tcPr>
          <w:p>
            <w:pPr>
              <w:jc w:val="right"/>
              <w:ind w:right="132"/>
              <w:spacing w:after="0"/>
              <w:rPr>
                <w:sz w:val="20"/>
                <w:szCs w:val="20"/>
                <w:color w:val="auto"/>
              </w:rPr>
            </w:pPr>
            <w:r>
              <w:rPr>
                <w:rFonts w:ascii="Arial" w:cs="Arial" w:eastAsia="Arial" w:hAnsi="Arial"/>
                <w:sz w:val="18"/>
                <w:szCs w:val="18"/>
                <w:color w:val="auto"/>
              </w:rPr>
              <w:t>33.3</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22.2</w:t>
            </w:r>
          </w:p>
        </w:tc>
        <w:tc>
          <w:tcPr>
            <w:tcW w:w="6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Cash flow provided by operations in fiscal 2005 increased from fiscal 2004 as a result of improved profitability and the timing of other working capital payments. This positive cash flow in fiscal 2005 was primarily used to finance capital expenditures.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20, 2006, we prepaid our outstanding mortgage note for $10.0 million. This amount included a prepayment penalty of $1.2 million that we recognized in the fourth quarter of fiscal 2005. In addition, during the fourth quarter of fiscal 2005, we also repurchased $5.3 million of our outstanding convertible notes, due 2024. As part of this repurchase, we recognized income of $0.2 million, net of the write-off of deferred financing costs, associated with the related discount on the notes.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borrowed from our credit facility to fund both of these transactions, which resulted in a higher than expected balance for our credit facility at the end of fiscal 2005 and lower working capital. Once the funding from the sale-leaseback transaction was completed in February 2006, the revolver was paid in full. In addition, subsequent to year end, we also repaid in full our term loan for $5.6 million.</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result of these transactions significantly improves our liquidity position for fiscal 2006 and reduces our debt obligations, and corresponding interest costs, to primarily our remaining $94.8 million of convertible notes due 2024 and $4.0 million of our 5% senior subordinated notes due 2007.</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15, 2005 and January 31, 2006, we amended our credit facility with Bank of America Retail Group (formerly known as Fleet Retail Group,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 by executing the Second Amendment and the Third Amendment, respectively, to our Fourth Amended and Restated Loan and Security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In summary, the Amendments amended the credit facility (the “Amended Credit Facility”) to allow us to (i) assume the outstanding mortgage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corporate headquarters in Canton, Massachusetts, (ii) prepay or retire our convertible notes, subject to being able to maintain excess availability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(iii) prepay our term loan, (iv) enter into a sale-leaseback transaction for our corporate headquarters and (v) extend our advance rate on borrowings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15, 2005 to February 1, 2006, enabling us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receive increased availability under the Amended Credit Facility. See Note C to the Notes to the Consolidated Financial Statements for a more complete description of these amendments.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Amended Credit Facility continues to principally provide for a total commitment of $90 million with the ability to issue documentary and standby letters of credits of up to $20 million. The maturity date of the Amended Credit Facility is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Our ability to borrow under the Amended Credit Facility is determined using an availability formula based on eligible assets, with increased advance rates based on seasonality.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January 28, 2006, we had borrowings outstanding under the Amended Credit Facility of $37.4 million and outstanding standby letters of credit of $2.4 million and documentary letters of credit of $0.7 million. Average borrowings outstanding under this facility during fiscal 2005 were approximately $30.5 million, resulting in an average unused excess availability of approximately $36.8 million. As we discussed above, the amounts outstanding under the Amended Credit Facility at January 28, 2006, were higher than expected due to our repayments of certain long-term debt obligations.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January 28, 2006, total inventories were $91.5 million as compared to $79.9 million at January 29, 2005. The increase in inventory of $11.6 million is principally due to an increase in our Casual Male business of its core merchandise. In fiscal 2005, we implemented a guaranteed in-stock program where we promise to have product in the store for its top 7 merchandise styles. As the same time, we have significantly reduced our percentage of fashion oriented merchandise by approximately 15% over the prior year. We expect that this shift in merchandise will lower our markdown risk while enhancing our core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January 28, 2006,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5"/>
              </w:rPr>
              <w:t>Payments due by period</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2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0"/>
              </w:rPr>
              <w:t>Less than 1</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auto"/>
            </w:tcBorders>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tcBorders>
              <w:bottom w:val="single" w:sz="8" w:color="auto"/>
            </w:tcBorders>
          </w:tcPr>
          <w:p>
            <w:pPr>
              <w:jc w:val="right"/>
              <w:ind w:right="1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6"/>
              <w:spacing w:after="0" w:line="148" w:lineRule="exact"/>
              <w:rPr>
                <w:sz w:val="20"/>
                <w:szCs w:val="20"/>
                <w:color w:val="auto"/>
              </w:rPr>
            </w:pPr>
            <w:r>
              <w:rPr>
                <w:rFonts w:ascii="Arial" w:cs="Arial" w:eastAsia="Arial" w:hAnsi="Arial"/>
                <w:sz w:val="14"/>
                <w:szCs w:val="14"/>
                <w:b w:val="1"/>
                <w:bCs w:val="1"/>
                <w:color w:val="auto"/>
                <w:w w:val="97"/>
              </w:rPr>
              <w:t>year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85"/>
              </w:rPr>
              <w:t>1-3 years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85"/>
              </w:rPr>
              <w:t>3-5 years</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6"/>
              <w:spacing w:after="0" w:line="148" w:lineRule="exact"/>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8"/>
                <w:szCs w:val="18"/>
                <w:color w:val="auto"/>
              </w:rPr>
              <w:t>Operating Leases(2)</w:t>
            </w:r>
          </w:p>
        </w:tc>
        <w:tc>
          <w:tcPr>
            <w:tcW w:w="500" w:type="dxa"/>
            <w:vAlign w:val="bottom"/>
          </w:tcPr>
          <w:p>
            <w:pPr>
              <w:jc w:val="right"/>
              <w:spacing w:after="0"/>
              <w:rPr>
                <w:sz w:val="20"/>
                <w:szCs w:val="20"/>
                <w:color w:val="auto"/>
              </w:rPr>
            </w:pPr>
            <w:r>
              <w:rPr>
                <w:rFonts w:ascii="Arial" w:cs="Arial" w:eastAsia="Arial" w:hAnsi="Arial"/>
                <w:sz w:val="18"/>
                <w:szCs w:val="18"/>
                <w:color w:val="auto"/>
              </w:rPr>
              <w:t>252.5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Non-merchandise Purchase Obligations(3)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3"/>
          </w:tcPr>
          <w:p>
            <w:pPr>
              <w:spacing w:after="0"/>
              <w:rPr>
                <w:sz w:val="20"/>
                <w:szCs w:val="20"/>
                <w:color w:val="auto"/>
              </w:rPr>
            </w:pPr>
            <w:r>
              <w:rPr>
                <w:rFonts w:ascii="Arial" w:cs="Arial" w:eastAsia="Arial" w:hAnsi="Arial"/>
                <w:sz w:val="18"/>
                <w:szCs w:val="18"/>
                <w:color w:val="auto"/>
              </w:rPr>
              <w:t>Total Commitments(4)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359.4</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7</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68.9</w:t>
            </w:r>
          </w:p>
        </w:tc>
        <w:tc>
          <w:tcPr>
            <w:tcW w:w="48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 complete description of our long-term debt obligations, see Note C to the Notes to the Consolidated Financial Statements.</w:t>
      </w:r>
    </w:p>
    <w:p>
      <w:pPr>
        <w:spacing w:after="0" w:line="15"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Subsequent to year end, we entered into a 20-year lease agreement for our corporate headquarters as part of the sale-leaseback transaction discussed above. The amounts due for Operating Leases as of January 28, 2006 include the contractual obligations pursuant to that lease agreement.</w:t>
      </w:r>
    </w:p>
    <w:p>
      <w:pPr>
        <w:spacing w:after="0" w:line="1" w:lineRule="exact"/>
        <w:rPr>
          <w:rFonts w:ascii="Arial" w:cs="Arial" w:eastAsia="Arial" w:hAnsi="Arial"/>
          <w:sz w:val="16"/>
          <w:szCs w:val="16"/>
          <w:color w:val="auto"/>
        </w:rPr>
      </w:pPr>
    </w:p>
    <w:p>
      <w:pPr>
        <w:ind w:left="460" w:right="10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Non-merchandise Purchase Obligations include commitments pursuant to certain agreements for services. Included in the table are our minimum obligations under our license agreements and endorsement agreement with George Foreman. Pursuant to these agreements, we are obligated to pay a remaining aggregate minimum of approximately $1.2 million through December 31, 2006 on our endorsement and apparel licensing agreements with Mr. Foreman and approximately $75,000 though July 30, 2007 on our footwear license agreement. See Note E—“Commitments and Contingencies” to the Notes to the Consolidated Financial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color w:val="auto"/>
        </w:rPr>
        <w:t>Statements for a full description of these agreements. We are also obligated to pay $392,000 annually for three years pursuant to a consulting agreement with Jewelcor Management, Inc. See Note H—“Related Parties” to the Notes to the Consolidated Financial Statements for a full description of this agreement.</w:t>
      </w:r>
    </w:p>
    <w:p>
      <w:pPr>
        <w:spacing w:after="0" w:line="2" w:lineRule="exact"/>
        <w:rPr>
          <w:sz w:val="20"/>
          <w:szCs w:val="20"/>
          <w:color w:val="auto"/>
        </w:rPr>
      </w:pPr>
    </w:p>
    <w:p>
      <w:pPr>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January 28, 2006, we had approximately $92.7 million in open purchase orders. We estimate that approximately 75% of these purchase orders may be considered non-cancelable.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closings and remodels from January 29, 2005 to January 28, 2006 and related square footage: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20"/>
                <w:szCs w:val="20"/>
                <w:color w:val="auto"/>
              </w:rPr>
            </w:pPr>
            <w:r>
              <w:rPr>
                <w:rFonts w:ascii="Arial" w:cs="Arial" w:eastAsia="Arial" w:hAnsi="Arial"/>
                <w:sz w:val="14"/>
                <w:szCs w:val="14"/>
                <w:b w:val="1"/>
                <w:bCs w:val="1"/>
                <w:color w:val="auto"/>
              </w:rPr>
              <w:t>Number of Stores:</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8"/>
              </w:rPr>
              <w:t>Casual Male</w:t>
            </w:r>
          </w:p>
        </w:tc>
        <w:tc>
          <w:tcPr>
            <w:tcW w:w="74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1"/>
              </w:rPr>
              <w:t>Rochester</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Total stores</w:t>
            </w:r>
          </w:p>
        </w:tc>
      </w:tr>
      <w:tr>
        <w:trPr>
          <w:trHeight w:val="27"/>
        </w:trPr>
        <w:tc>
          <w:tcPr>
            <w:tcW w:w="52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At January 29, 2005</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New outlet stores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retail stores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Closed stores(1)</w:t>
            </w:r>
          </w:p>
        </w:tc>
        <w:tc>
          <w:tcPr>
            <w:tcW w:w="74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At January 28, 2006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Remodels in 2005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4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Remodels to date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r>
      <w:tr>
        <w:trPr>
          <w:trHeight w:val="264"/>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Square footage (in thousands)</w:t>
            </w: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At January 28, 2006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60" w:type="dxa"/>
            <w:vAlign w:val="bottom"/>
            <w:shd w:val="clear" w:color="auto" w:fill="CCEEFF"/>
          </w:tcPr>
          <w:p>
            <w:pPr>
              <w:spacing w:after="0"/>
              <w:rPr>
                <w:sz w:val="18"/>
                <w:szCs w:val="18"/>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At January 29, 2005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740" w:type="dxa"/>
            <w:vAlign w:val="bottom"/>
          </w:tcPr>
          <w:p>
            <w:pPr>
              <w:spacing w:after="0"/>
              <w:rPr>
                <w:sz w:val="19"/>
                <w:szCs w:val="19"/>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171</w:t>
            </w:r>
          </w:p>
        </w:tc>
        <w:tc>
          <w:tcPr>
            <w:tcW w:w="680" w:type="dxa"/>
            <w:vAlign w:val="bottom"/>
          </w:tcPr>
          <w:p>
            <w:pPr>
              <w:jc w:val="right"/>
              <w:spacing w:after="0"/>
              <w:rPr>
                <w:sz w:val="20"/>
                <w:szCs w:val="20"/>
                <w:color w:val="auto"/>
              </w:rPr>
            </w:pPr>
            <w:r>
              <w:rPr>
                <w:rFonts w:ascii="Arial" w:cs="Arial" w:eastAsia="Arial" w:hAnsi="Arial"/>
                <w:sz w:val="18"/>
                <w:szCs w:val="18"/>
                <w:color w:val="auto"/>
              </w:rPr>
              <w:t>1,862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Closed stores for fiscal 2005 include the four stores which were closed by Hurricanes Katrina, Rita and Wilma. We have already re-opened one store and expect to re-open the three remaining stores during fiscal 2006.</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fiscal 2005, we incurred approximately $15.7 million in capital expenditures, approximately $6.5 million of which related to our rollout in fiscal 2005 of our new point-of-sale registers and CRM software and the remaining expenditures related to store capital and miscellaneous equipment at the corporate level.</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Capital expenditures for fiscal 2006 are expected to be approximately $20.0 million, of which $8.0 million relates to our re-branding of the Casual Male Big &amp; Tall retail stores to Casual Male XL. We expect to incur approximately $6.2 million for store capital related to new stores as well as remodels and relocations, with the remainder of the $20.0 million for system enhancements and other corporate level expenditures. Included in store expansion are funds to remodel an additional 13 of our existing Casual Male Big &amp; Tall retail stores at an estimated $35,000 to $45,000 for each location.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fiscal 2006, we intend to open 7 new Casual Male stores and expect to close 7 existing Casual Male stores as their respective leases expire. We also plan to open 4 new Rochester Big &amp; Tall retail stores.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We record inventory, with the exception of our Casual Male catalog and e-commerce inventory, at the lower of cost or market on a first in, first</w:t>
      </w:r>
      <w:r>
        <w:rPr>
          <w:rFonts w:ascii="Arial" w:cs="Arial" w:eastAsia="Arial" w:hAnsi="Arial"/>
          <w:sz w:val="18"/>
          <w:szCs w:val="18"/>
          <w:i w:val="1"/>
          <w:iCs w:val="1"/>
          <w:color w:val="auto"/>
        </w:rPr>
        <w:t xml:space="preserve"> </w:t>
      </w:r>
      <w:r>
        <w:rPr>
          <w:rFonts w:ascii="Arial" w:cs="Arial" w:eastAsia="Arial" w:hAnsi="Arial"/>
          <w:sz w:val="18"/>
          <w:szCs w:val="18"/>
          <w:color w:val="auto"/>
        </w:rPr>
        <w:t>out, or FIFO, basis under the retail inventory method. Inventory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for our Casual Male catalog and e-commerce business of approximately $7.2 million at January 28, 2006 is accounted for using the average cost method, which approximates the FIFO basis under the retail inventory method. We reserve for obsolescence based on the difference between the weighted average cost of the inventory and the estimated market value of the inventory based on assumptions of future demand and market conditions. If actual market conditions are less favorable than those projected by our management, additional reserves may be required.</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We review our long-lived assets for impairment when indicators of impairment are present and the undiscounted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Goodwill and Intangibles</w:t>
      </w:r>
      <w:r>
        <w:rPr>
          <w:rFonts w:ascii="Arial" w:cs="Arial" w:eastAsia="Arial" w:hAnsi="Arial"/>
          <w:sz w:val="16"/>
          <w:szCs w:val="16"/>
          <w:color w:val="auto"/>
        </w:rPr>
        <w:t>. In connection with the Casual Male and Rochester acquisitions, we have goodwill and intangibles totaling approximately $89.7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at January 28, 2006. In accordance with Statement of Financial Accounting Standards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No. 142”), we evaluate goodwill and indefinite-lived assets at least annually for impairment by analyzing the estimated fair value based on the present value of discounted cash flows compared to the net book value. We will write off the amount of any goodwill or intangibles in excess of their fair value.</w:t>
      </w:r>
    </w:p>
    <w:p>
      <w:pPr>
        <w:spacing w:after="0" w:line="113"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i w:val="1"/>
          <w:iCs w:val="1"/>
          <w:color w:val="auto"/>
        </w:rPr>
        <w:t xml:space="preserve">Deferred Taxes. </w:t>
      </w:r>
      <w:r>
        <w:rPr>
          <w:rFonts w:ascii="Arial" w:cs="Arial" w:eastAsia="Arial" w:hAnsi="Arial"/>
          <w:sz w:val="15"/>
          <w:szCs w:val="15"/>
          <w:color w:val="auto"/>
        </w:rPr>
        <w:t>We record a valuation allowance to reduce our deferred tax assets to the amount that is more likely than not to be realized. We have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considered estimated future taxable income and ongoing tax planning strategies in assessing the amount needed for the valuation allowance. At January 28, 2006, our deferred tax assets were $43.0 million with a corresponding valuation allowance of $39.9 million. During the fourth quarter of fiscal 2005, we determined that it is more likely than not that we will be able to realize the benefits of a portion of our deferred tax assets. In reaching this determination, we considered the positive evidence of nine consecutive quarters of positive comparable store sales, our continued improvement in operating income over the past four years, our expectations regarding the generation of future taxable income, and our current market position and expected growth of our industry. Also, as discussed above, subsequent to year end, we entered into a sale-leaseback transaction which resulted in a gain on the sale of our corporate headquarters of approximately $29.3 million. For tax purposes in fiscal 2006, we will be able to utilize our existing NOL’s to offset this gain, For book purposes, we deferred the gain and will recognize only $1.5 million annually over the initial term of the respective lease agreement. Based on the positive evidence that existed at January 28, 2006, we reversed $3.1 million of our deferred tax valuation allowance as a benefit to income tax expense for fiscal 2005. The valuation allowance for our remaining tax assets does not affect our ability to utilize our net operating loss carryforwards to offset any future taxable income, subject to certain annual limitations.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On December 16, 2004, the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which is a revision of SFAS No. 123. The approach in SFAS No. 123R requires all share-based payments to employees, including grants of employee stock options, to be recognized in the income statement based on their fair values. Pro forma disclosure is no longer an alternative.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SFAS No. 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 123 for the pro forma disclosure. Commencing at the beginning of fiscal 2006, we have adopted SFAS No. 123R using the modified prospective method. Through the end of fiscal 2005, we accounted for stock options granted to employees and shares issued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under its employee stock purchase plans in accordance with the intrinsic value method permitted under APB Opinion No. 25, which resulted in no compensation expense having to be recognized, other than with respect to the acceleration of the vesting of outstanding and unvested options, as discussed below.</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impact of adopting SFAS No. 123R cannot be accurately estimated at this time, as it will depend on the market value and the amount of share-based awards granted in future periods. Because all but 15,000 outstanding options were full vested at January 28, 2006, we will record an immaterial charge for options granted prior to fiscal 2006.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14, 2005, the Securities and Exchange Commission announced that it would delay the required implementation of SFAS No. 123R, allowing companies that are not small business issuers to adopt the statement no later than the beginning of the first fiscal year beginning after June 15, 2005. As a result of this delay, we adopted SFAS No. 123R at the beginning of fiscal 2006.</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January 27, 2006, our Board of Directors approved the accelerated vesting of 965,000 outstanding and unvested options held by directors, officers and employees under our 1992 Stock Incentive Plan. As a result of the acceleration, these options to acquire 965,000 shares of our common stock, which otherwise would have vested from time to time over the following three years, became immediately exercisable. This action was taken to eliminate, to the extent permitted, the transition expense that we otherwise would incur in connection with the adoption of SFAS No. 123R. Under the accounting guidance of APB Opinion No. 25, the accelerated vesting resulted in a charge for stock-based compensation of approximately $30,000, which we recognized in the fourth quarter of fiscal 2005. Additionally, our pro forma disclosure for fiscal 2005 included the effect of this accelerated vesting, as calculated under SFAS No. 123 rules, of $2.9 million.</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Previously, on January 27, 2005, our Board of Directors had approved the accelerated vesting of all outstanding and unvested options held by directors, officers and employees at that time. As a result of that acceleration, options to acquire 1,903,252 shares of our common stock, which otherwise would have vested from time to time over the next 35 months, became immediately exercisable. Under the accounting guidance of APB 25, the accelerated vesting resulted in a charge for stock-based compensation of approximately $70,000, which we recognized in the fourth quarter of fiscal 2004.</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utilize cash from operations and from our Amended Credit Facility to fund our working capital needs. Our Amended Credit Facility is not used for trading or speculative purposes. In addition, we have available letters of credit as sources of financing for its working capital requirements. Borrowings under the Credit Facility, which expires in October 2007, bear interest at variable rates based on Bank of America’s prime rate or the London Interbank Offering Rate (“LIBOR”). At January 28, 2006, all of our borrowings were prime based borrowings at 7.25%. Based upon a sensitivity analysis as of January 28, 2006, assuming average outstanding borrowing during fiscal 2005 of $30.5 million, a 50 basis point increase in interest rates would have resulted in a potential increase in interest expense of approximately $153,000.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Sears Canada store locations conduct business in Canadian dollars and our Rochester Big &amp; Tall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in U.S. dollars may decline. As of January 28, 2006, sales from our Sears Canada stores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8"/>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702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1068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at January 28, 2006 and January 29, 2005</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Operations for the Fiscal Years Ended January 28, 2006, January 29, 2005 and January 31, 2004</w:t>
              </w:r>
            </w:hyperlink>
          </w:p>
        </w:tc>
        <w:tc>
          <w:tcPr>
            <w:tcW w:w="19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Changes in Stockholders’ Equity for the Fiscal Years Ended January 28, 2006, January 29, 2005 and January 31, 2004</w:t>
              </w:r>
            </w:hyperlink>
          </w:p>
        </w:tc>
        <w:tc>
          <w:tcPr>
            <w:tcW w:w="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Fiscal Years Ended January 28, 2006, January 29, 2005 and January 31, 2004</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140" w:type="dxa"/>
            <w:vAlign w:val="bottom"/>
            <w:gridSpan w:val="4"/>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2"/>
          </w:tcPr>
          <w:p>
            <w:pPr>
              <w:spacing w:after="0"/>
              <w:rPr>
                <w:sz w:val="24"/>
                <w:szCs w:val="24"/>
                <w:color w:val="auto"/>
              </w:rPr>
            </w:pPr>
          </w:p>
        </w:tc>
        <w:tc>
          <w:tcPr>
            <w:tcW w:w="6100" w:type="dxa"/>
            <w:vAlign w:val="bottom"/>
            <w:gridSpan w:val="3"/>
          </w:tcPr>
          <w:p>
            <w:pPr>
              <w:jc w:val="right"/>
              <w:ind w:right="33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60" w:firstLine="2695"/>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Casual Male Retail Group, Inc.:</w:t>
      </w:r>
    </w:p>
    <w:p>
      <w:pPr>
        <w:spacing w:after="0" w:line="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Casual Male Retail Group, Inc. as of January 28, 2006 and January 29, 2005 and the related consolidated statements of operations, changes in stockholders’ equity and cash flows for each of the three years in the period ended January 28, 2006.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Casual Male Retail Group, Inc. at January 28, 2006 and January 29, 2005, and the consolidated results of its operations and its cash flows for each of the three years in the period ended January 28,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Casual Male Retail Group Inc.’s internal control over financial reporting as of January 28, 2006, based on criteria established in Internal Control—Integrated Framework issued by the Committee of Sponsoring Organizations of the Treadway Commission and our report dated March 29, 2006 expressed an unqualified opinion thereon.</w:t>
      </w:r>
    </w:p>
    <w:p>
      <w:pPr>
        <w:spacing w:after="0" w:line="224"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January 28, 2006 and January 29,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January 28, 2006</w:t>
            </w:r>
          </w:p>
        </w:tc>
        <w:tc>
          <w:tcPr>
            <w:tcW w:w="4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(Fiscal 2005)</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(Fiscal 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 (Note B)</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91,546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131,959</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Other intangible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35,757</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283,831</w:t>
            </w:r>
          </w:p>
        </w:tc>
        <w:tc>
          <w:tcPr>
            <w:tcW w:w="520" w:type="dxa"/>
            <w:vAlign w:val="bottom"/>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28,195</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37,387</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40" w:type="dxa"/>
            <w:vAlign w:val="bottom"/>
            <w:gridSpan w:val="2"/>
          </w:tcPr>
          <w:p>
            <w:pPr>
              <w:spacing w:after="0"/>
              <w:rPr>
                <w:sz w:val="20"/>
                <w:szCs w:val="20"/>
                <w:color w:val="auto"/>
              </w:rPr>
            </w:pPr>
            <w:r>
              <w:rPr>
                <w:rFonts w:ascii="Arial" w:cs="Arial" w:eastAsia="Arial" w:hAnsi="Arial"/>
                <w:sz w:val="18"/>
                <w:szCs w:val="18"/>
                <w:color w:val="auto"/>
              </w:rPr>
              <w:t>Commitments and contingencies (Note 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$0.01 par value, 75,000,000 shares authorized, 39,635,937 and 39,398,947 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at January 28, 2006 and January 29, 2005, respectively</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156,177</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Treasury stock at cost, 5,171,930 shares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(23,362)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2006, January 29, 2005 and January 31, 2004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8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0"/>
              </w:rPr>
              <w:t>January 28,</w:t>
            </w:r>
          </w:p>
        </w:tc>
        <w:tc>
          <w:tcPr>
            <w:tcW w:w="280" w:type="dxa"/>
            <w:vAlign w:val="bottom"/>
          </w:tcPr>
          <w:p>
            <w:pPr>
              <w:spacing w:after="0"/>
              <w:rPr>
                <w:sz w:val="14"/>
                <w:szCs w:val="14"/>
                <w:color w:val="auto"/>
              </w:rPr>
            </w:pPr>
          </w:p>
        </w:tc>
        <w:tc>
          <w:tcPr>
            <w:tcW w:w="136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w w:val="90"/>
              </w:rPr>
              <w:t>January 29,</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2004)</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(Fiscal 2003)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share data)</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7"/>
              </w:rPr>
              <w:t>(In thousands, except</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421,383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365,047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339,305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239,203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214,607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199,129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182,180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150,440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151,890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132,554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12,737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9,858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164,627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142,412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17,553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8,028</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940" w:type="dxa"/>
            <w:vAlign w:val="bottom"/>
            <w:gridSpan w:val="2"/>
          </w:tcPr>
          <w:p>
            <w:pPr>
              <w:jc w:val="right"/>
              <w:ind w:right="212"/>
              <w:spacing w:after="0"/>
              <w:rPr>
                <w:sz w:val="20"/>
                <w:szCs w:val="20"/>
                <w:color w:val="auto"/>
              </w:rPr>
            </w:pPr>
            <w:r>
              <w:rPr>
                <w:rFonts w:ascii="Arial" w:cs="Arial" w:eastAsia="Arial" w:hAnsi="Arial"/>
                <w:sz w:val="18"/>
                <w:szCs w:val="18"/>
                <w:color w:val="auto"/>
              </w:rPr>
              <w:t>(8,553)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rPr>
              <w:t>(8,064)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 and income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8,031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8"/>
                <w:szCs w:val="18"/>
                <w:color w:val="auto"/>
              </w:rPr>
            </w:pPr>
          </w:p>
        </w:tc>
        <w:tc>
          <w:tcPr>
            <w:tcW w:w="94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(2,729)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10,760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10,760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1,524</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0.31</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0.31</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0.30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0.30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color w:val="auto"/>
              </w:rPr>
              <w:t>34,306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35,860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2006, January 29, 2005 and January 31, 2004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5"/>
              </w:rPr>
              <w:t>Common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9"/>
              </w:rPr>
              <w:t>Preferred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Additional</w:t>
            </w:r>
          </w:p>
        </w:tc>
        <w:tc>
          <w:tcPr>
            <w:tcW w:w="114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other</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right"/>
              <w:ind w:right="180"/>
              <w:spacing w:after="0" w:line="136" w:lineRule="exact"/>
              <w:rPr>
                <w:sz w:val="20"/>
                <w:szCs w:val="20"/>
                <w:color w:val="auto"/>
              </w:rPr>
            </w:pPr>
            <w:r>
              <w:rPr>
                <w:rFonts w:ascii="Arial" w:cs="Arial" w:eastAsia="Arial" w:hAnsi="Arial"/>
                <w:sz w:val="14"/>
                <w:szCs w:val="14"/>
                <w:b w:val="1"/>
                <w:bCs w:val="1"/>
                <w:color w:val="auto"/>
                <w:w w:val="89"/>
              </w:rPr>
              <w:t>Paid-in</w:t>
            </w: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4"/>
            <w:vMerge w:val="restart"/>
          </w:tcPr>
          <w:p>
            <w:pPr>
              <w:ind w:left="60"/>
              <w:spacing w:after="0" w:line="136" w:lineRule="exact"/>
              <w:rPr>
                <w:sz w:val="20"/>
                <w:szCs w:val="20"/>
                <w:color w:val="auto"/>
              </w:rPr>
            </w:pPr>
            <w:r>
              <w:rPr>
                <w:rFonts w:ascii="Arial" w:cs="Arial" w:eastAsia="Arial" w:hAnsi="Arial"/>
                <w:sz w:val="14"/>
                <w:szCs w:val="14"/>
                <w:b w:val="1"/>
                <w:bCs w:val="1"/>
                <w:color w:val="auto"/>
                <w:w w:val="95"/>
              </w:rPr>
              <w:t>(Accumulated</w:t>
            </w:r>
          </w:p>
        </w:tc>
        <w:tc>
          <w:tcPr>
            <w:tcW w:w="40" w:type="dxa"/>
            <w:vAlign w:val="bottom"/>
            <w:vMerge w:val="restart"/>
          </w:tcPr>
          <w:p>
            <w:pPr>
              <w:spacing w:after="0"/>
              <w:rPr>
                <w:sz w:val="2"/>
                <w:szCs w:val="2"/>
                <w:color w:val="auto"/>
              </w:rPr>
            </w:pPr>
          </w:p>
        </w:tc>
        <w:tc>
          <w:tcPr>
            <w:tcW w:w="860" w:type="dxa"/>
            <w:vAlign w:val="bottom"/>
            <w:gridSpan w:val="3"/>
            <w:vMerge w:val="restart"/>
          </w:tcPr>
          <w:p>
            <w:pPr>
              <w:ind w:left="40"/>
              <w:spacing w:after="0" w:line="136" w:lineRule="exact"/>
              <w:rPr>
                <w:sz w:val="20"/>
                <w:szCs w:val="20"/>
                <w:color w:val="auto"/>
              </w:rPr>
            </w:pPr>
            <w:r>
              <w:rPr>
                <w:rFonts w:ascii="Arial" w:cs="Arial" w:eastAsia="Arial" w:hAnsi="Arial"/>
                <w:sz w:val="14"/>
                <w:szCs w:val="14"/>
                <w:b w:val="1"/>
                <w:bCs w:val="1"/>
                <w:color w:val="auto"/>
              </w:rPr>
              <w:t>Receivable</w:t>
            </w:r>
          </w:p>
        </w:tc>
        <w:tc>
          <w:tcPr>
            <w:tcW w:w="10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5"/>
              </w:rPr>
              <w:t>comprehensive</w:t>
            </w: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Amounts</w:t>
            </w:r>
          </w:p>
        </w:tc>
        <w:tc>
          <w:tcPr>
            <w:tcW w:w="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from Officer</w:t>
            </w:r>
          </w:p>
        </w:tc>
        <w:tc>
          <w:tcPr>
            <w:tcW w:w="18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loss</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74"/>
              </w:rPr>
              <w:t>(In</w:t>
            </w:r>
          </w:p>
        </w:tc>
        <w:tc>
          <w:tcPr>
            <w:tcW w:w="5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1, 2003</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38,867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ind w:right="17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389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center"/>
              <w:ind w:right="9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146,892</w:t>
            </w:r>
          </w:p>
        </w:tc>
        <w:tc>
          <w:tcPr>
            <w:tcW w:w="52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4"/>
                <w:szCs w:val="14"/>
                <w:color w:val="auto"/>
                <w:w w:val="94"/>
              </w:rPr>
              <w:t>(3,119)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(8,913)</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(44,104)</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(197)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$ 91,067</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color w:val="auto"/>
              </w:rPr>
              <w:t>Issuance of warrants through private placements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5,570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4"/>
                <w:szCs w:val="14"/>
                <w:color w:val="auto"/>
                <w:w w:val="94"/>
              </w:rPr>
              <w:t>(1,000)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w:t>
            </w: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shares to related party for professional services</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w:t>
            </w: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Repayment of loan by executive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4"/>
              <w:spacing w:after="0" w:line="14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197</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pension</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(12,061)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31, 2004</w:t>
            </w: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gridSpan w:val="2"/>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39,246</w:t>
            </w:r>
          </w:p>
        </w:tc>
        <w:tc>
          <w:tcPr>
            <w:tcW w:w="80" w:type="dxa"/>
            <w:vAlign w:val="bottom"/>
          </w:tcPr>
          <w:p>
            <w:pPr>
              <w:spacing w:after="0"/>
              <w:rPr>
                <w:sz w:val="13"/>
                <w:szCs w:val="13"/>
                <w:color w:val="auto"/>
              </w:rPr>
            </w:pPr>
          </w:p>
        </w:tc>
        <w:tc>
          <w:tcPr>
            <w:tcW w:w="300" w:type="dxa"/>
            <w:vAlign w:val="bottom"/>
          </w:tcPr>
          <w:p>
            <w:pPr>
              <w:jc w:val="center"/>
              <w:ind w:right="172"/>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w w:val="85"/>
              </w:rPr>
              <w:t>392</w:t>
            </w:r>
          </w:p>
        </w:tc>
        <w:tc>
          <w:tcPr>
            <w:tcW w:w="80" w:type="dxa"/>
            <w:vAlign w:val="bottom"/>
          </w:tcPr>
          <w:p>
            <w:pPr>
              <w:spacing w:after="0"/>
              <w:rPr>
                <w:sz w:val="13"/>
                <w:szCs w:val="13"/>
                <w:color w:val="auto"/>
              </w:rPr>
            </w:pPr>
          </w:p>
        </w:tc>
        <w:tc>
          <w:tcPr>
            <w:tcW w:w="4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right="92"/>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153,650</w:t>
            </w:r>
          </w:p>
        </w:tc>
        <w:tc>
          <w:tcPr>
            <w:tcW w:w="520" w:type="dxa"/>
            <w:vAlign w:val="bottom"/>
            <w:gridSpan w:val="2"/>
          </w:tcPr>
          <w:p>
            <w:pPr>
              <w:jc w:val="right"/>
              <w:ind w:right="24"/>
              <w:spacing w:after="0" w:line="155" w:lineRule="exact"/>
              <w:rPr>
                <w:sz w:val="20"/>
                <w:szCs w:val="20"/>
                <w:color w:val="auto"/>
              </w:rPr>
            </w:pPr>
            <w:r>
              <w:rPr>
                <w:rFonts w:ascii="Arial" w:cs="Arial" w:eastAsia="Arial" w:hAnsi="Arial"/>
                <w:sz w:val="14"/>
                <w:szCs w:val="14"/>
                <w:color w:val="auto"/>
                <w:w w:val="94"/>
              </w:rPr>
              <w:t>(4,172)</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8"/>
              </w:rPr>
              <w:t>(17,036)</w:t>
            </w: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(56,165)</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4"/>
              </w:rPr>
              <w:t>$ 80,841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Repurchase of common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
              <w:spacing w:after="0" w:line="143" w:lineRule="exact"/>
              <w:rPr>
                <w:sz w:val="20"/>
                <w:szCs w:val="20"/>
                <w:color w:val="auto"/>
              </w:rPr>
            </w:pPr>
            <w:r>
              <w:rPr>
                <w:rFonts w:ascii="Arial" w:cs="Arial" w:eastAsia="Arial" w:hAnsi="Arial"/>
                <w:sz w:val="14"/>
                <w:szCs w:val="14"/>
                <w:color w:val="auto"/>
                <w:w w:val="94"/>
              </w:rPr>
              <w:t>(1,000)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(6,326)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warrants</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foreign currency</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29, 2005</w:t>
            </w: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gridSpan w:val="2"/>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39,399</w:t>
            </w:r>
          </w:p>
        </w:tc>
        <w:tc>
          <w:tcPr>
            <w:tcW w:w="80" w:type="dxa"/>
            <w:vAlign w:val="bottom"/>
          </w:tcPr>
          <w:p>
            <w:pPr>
              <w:spacing w:after="0"/>
              <w:rPr>
                <w:sz w:val="13"/>
                <w:szCs w:val="13"/>
                <w:color w:val="auto"/>
              </w:rPr>
            </w:pPr>
          </w:p>
        </w:tc>
        <w:tc>
          <w:tcPr>
            <w:tcW w:w="300" w:type="dxa"/>
            <w:vAlign w:val="bottom"/>
          </w:tcPr>
          <w:p>
            <w:pPr>
              <w:jc w:val="center"/>
              <w:ind w:right="172"/>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w w:val="85"/>
              </w:rPr>
              <w:t>394</w:t>
            </w:r>
          </w:p>
        </w:tc>
        <w:tc>
          <w:tcPr>
            <w:tcW w:w="80" w:type="dxa"/>
            <w:vAlign w:val="bottom"/>
          </w:tcPr>
          <w:p>
            <w:pPr>
              <w:spacing w:after="0"/>
              <w:rPr>
                <w:sz w:val="13"/>
                <w:szCs w:val="13"/>
                <w:color w:val="auto"/>
              </w:rPr>
            </w:pPr>
          </w:p>
        </w:tc>
        <w:tc>
          <w:tcPr>
            <w:tcW w:w="4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right="92"/>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154,693</w:t>
            </w:r>
          </w:p>
        </w:tc>
        <w:tc>
          <w:tcPr>
            <w:tcW w:w="520" w:type="dxa"/>
            <w:vAlign w:val="bottom"/>
            <w:gridSpan w:val="2"/>
          </w:tcPr>
          <w:p>
            <w:pPr>
              <w:jc w:val="right"/>
              <w:ind w:right="24"/>
              <w:spacing w:after="0" w:line="155" w:lineRule="exact"/>
              <w:rPr>
                <w:sz w:val="20"/>
                <w:szCs w:val="20"/>
                <w:color w:val="auto"/>
              </w:rPr>
            </w:pPr>
            <w:r>
              <w:rPr>
                <w:rFonts w:ascii="Arial" w:cs="Arial" w:eastAsia="Arial" w:hAnsi="Arial"/>
                <w:sz w:val="14"/>
                <w:szCs w:val="14"/>
                <w:color w:val="auto"/>
                <w:w w:val="94"/>
              </w:rPr>
              <w:t>(5,172)</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8"/>
              </w:rPr>
              <w:t>(23,362)</w:t>
            </w:r>
          </w:p>
        </w:tc>
        <w:tc>
          <w:tcPr>
            <w:tcW w:w="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(54,641)</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(120)</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4"/>
              </w:rPr>
              <w:t>$ 76,964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Exercises under option program</w:t>
            </w:r>
          </w:p>
        </w:tc>
        <w:tc>
          <w:tcPr>
            <w:tcW w:w="4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120</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Exercises of warrants</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foreign currency</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10,760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28, 2006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39,636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ind w:right="17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396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center"/>
              <w:ind w:right="9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156,177</w:t>
            </w:r>
          </w:p>
        </w:tc>
        <w:tc>
          <w:tcPr>
            <w:tcW w:w="52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4"/>
                <w:szCs w:val="14"/>
                <w:color w:val="auto"/>
                <w:w w:val="94"/>
              </w:rPr>
              <w:t>(5,172)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(23,362)</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(43,881)</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$ 89,157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2006, January 29, 2005 and January 31, 2004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Fiscal 2005</w:t>
            </w:r>
          </w:p>
        </w:tc>
        <w:tc>
          <w:tcPr>
            <w:tcW w:w="3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2004</w:t>
            </w:r>
          </w:p>
        </w:tc>
        <w:tc>
          <w:tcPr>
            <w:tcW w:w="2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0"/>
              </w:rPr>
              <w:t>Fiscal 2003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440"/>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10,760</w:t>
            </w:r>
          </w:p>
        </w:tc>
        <w:tc>
          <w:tcPr>
            <w:tcW w:w="4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1,524</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(12,061)</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3,223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12,737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9,858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Accretion of warrants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expenses, principally related to debt redemption costs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Provision (reversal) of impairment of assets, store closings and severance</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(2,538)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Gain on sale of Levi's/Dockers business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Gain on sale of joint venture interest</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(3,140)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(3,071)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from disposal of property and equipment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Issuance of common stock to Board of Directors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Issuance of common stock to related party</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Issuance of common stock for professional services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Changes in operating assets and liabilities, net of effect of businesses acquired:</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1,270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13,271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6,369</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1,687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1,077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(3,414)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Accrued liabilities for severance, store closings and impairment charges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Accrued expenses and other liabilities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4,037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(7,550)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(3,542)</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16,832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13,433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11,964</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Additions to property and equipment, net</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(15,656)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(20,637)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(12,320)</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sale of Levi's/Dockers business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13,160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sale of joint venture interest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Acquisition of Rochester, less cash acquired</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(19,066)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for investing activities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(15,656)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(18,337)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(12,320)</w:t>
            </w:r>
          </w:p>
        </w:tc>
        <w:tc>
          <w:tcPr>
            <w:tcW w:w="0" w:type="dxa"/>
            <w:vAlign w:val="bottom"/>
          </w:tcPr>
          <w:p>
            <w:pPr>
              <w:spacing w:after="0"/>
              <w:rPr>
                <w:sz w:val="1"/>
                <w:szCs w:val="1"/>
                <w:color w:val="auto"/>
              </w:rPr>
            </w:pPr>
          </w:p>
        </w:tc>
      </w:tr>
      <w:tr>
        <w:trPr>
          <w:trHeight w:val="156"/>
        </w:trPr>
        <w:tc>
          <w:tcPr>
            <w:tcW w:w="8260" w:type="dxa"/>
            <w:vAlign w:val="bottom"/>
          </w:tcPr>
          <w:p>
            <w:pPr>
              <w:ind w:left="440"/>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borrowings (repayments) under credit facility</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18,076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15,688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the issuance of long-term debt, net of commissions and offering costs</w:t>
            </w: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119,607</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Principal payments on long-term debt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(18,270)</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Prepayment of long-term debt</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(14,243)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(46,250)</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the issuance of warrants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5,570</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Net payment of premiums associated with prepayment of long-term debt</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Repurchase of common stock</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(6,326)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(7,926)</w:t>
            </w:r>
          </w:p>
        </w:tc>
        <w:tc>
          <w:tcPr>
            <w:tcW w:w="0" w:type="dxa"/>
            <w:vAlign w:val="bottom"/>
          </w:tcPr>
          <w:p>
            <w:pPr>
              <w:spacing w:after="0"/>
              <w:rPr>
                <w:sz w:val="1"/>
                <w:szCs w:val="1"/>
                <w:color w:val="auto"/>
              </w:rPr>
            </w:pPr>
          </w:p>
        </w:tc>
      </w:tr>
      <w:tr>
        <w:trPr>
          <w:trHeight w:val="149"/>
        </w:trPr>
        <w:tc>
          <w:tcPr>
            <w:tcW w:w="8260" w:type="dxa"/>
            <w:vAlign w:val="bottom"/>
          </w:tcPr>
          <w:p>
            <w:pPr>
              <w:ind w:left="880"/>
              <w:spacing w:after="0" w:line="149" w:lineRule="exact"/>
              <w:rPr>
                <w:sz w:val="20"/>
                <w:szCs w:val="20"/>
                <w:color w:val="auto"/>
              </w:rPr>
            </w:pPr>
            <w:r>
              <w:rPr>
                <w:rFonts w:ascii="Arial" w:cs="Arial" w:eastAsia="Arial" w:hAnsi="Arial"/>
                <w:sz w:val="14"/>
                <w:szCs w:val="14"/>
                <w:color w:val="auto"/>
              </w:rPr>
              <w:t>Stock compensation and issuance of stock options under option program</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for) provided by financing activities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6,456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4"/>
                <w:szCs w:val="14"/>
                <w:color w:val="auto"/>
              </w:rPr>
              <w:t>Net (decrease) increase in cash and cash equivalents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(163)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1,552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60" w:type="dxa"/>
            <w:vAlign w:val="bottom"/>
          </w:tcPr>
          <w:p>
            <w:pPr>
              <w:ind w:left="440"/>
              <w:spacing w:after="0" w:line="149" w:lineRule="exact"/>
              <w:rPr>
                <w:sz w:val="20"/>
                <w:szCs w:val="20"/>
                <w:color w:val="auto"/>
              </w:rPr>
            </w:pPr>
            <w:r>
              <w:rPr>
                <w:rFonts w:ascii="Arial" w:cs="Arial" w:eastAsia="Arial" w:hAnsi="Arial"/>
                <w:sz w:val="14"/>
                <w:szCs w:val="14"/>
                <w:color w:val="auto"/>
              </w:rPr>
              <w:t>Beginning of the year</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5,731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4,179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4,692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End of the year</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5,568</w:t>
            </w: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5,731</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28,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Casual Male Retail Group, Inc. (“Company”) is the largest specialty retailer of big &amp; tall men’s apparel. At January 28, 2006, the Company operated 481 Casual Male Big &amp; Tall and Casual Male XL stores located throughout the United States, 13 Casual Male at Sears Canada in-store locations and 24 Rochester Big &amp; Tall stores located in major U.S. cities and one store in London, England. The Company also operates two e-commerce sites and a catalog business.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 The results for fiscal 2004 include the effect, since October 30, 2004, of the Company’s acquisition of Rochester Big &amp; Tall Clothing (“Rochester Acquisition”), which is discussed in full in Note K.</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from prior years have been reclassified to conform to the current year presentation.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years 2005, 2004 and 2003 ended on January 28, 2006, January 29, 2005 and January 31, 2004,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Statement of Financial Accounting Standards (“SFAS”) No. 107, </w:t>
      </w:r>
      <w:r>
        <w:rPr>
          <w:rFonts w:ascii="Arial" w:cs="Arial" w:eastAsia="Arial" w:hAnsi="Arial"/>
          <w:sz w:val="16"/>
          <w:szCs w:val="16"/>
          <w:i w:val="1"/>
          <w:iCs w:val="1"/>
          <w:color w:val="auto"/>
        </w:rPr>
        <w:t>Disclosure About Fair Value of Financial Instruments,</w:t>
      </w:r>
      <w:r>
        <w:rPr>
          <w:rFonts w:ascii="Arial" w:cs="Arial" w:eastAsia="Arial" w:hAnsi="Arial"/>
          <w:sz w:val="16"/>
          <w:szCs w:val="16"/>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Merchandise inventories for the Company’s catalog and e-commerce businesses, of approximately $7.2 million, are accounted for using the average cost method, which approximates the FIFO basis under the retail inventory method. All other merchandise inventories were valued at the lower of cost or market using first-in, first-out (“FIFO”) under the retail inventory method.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Building and land improvements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Thirty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five years</w:t>
      </w:r>
    </w:p>
    <w:p>
      <w:pPr>
        <w:spacing w:after="0" w:line="200"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requires that all business combinations be accounted for under the purchase method. The statement further requires separate recognition of intangible assets that meet one of two criteria set forth in the statement. This statement applies to all business combinations initiated after June 30, 2001. Under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goodwill and intangible assets with indefinite lives are no longer amortized but are tested at least annually for impairment. Separable intangible assets with defined lives will continue to be amortized over their useful lives. The provisions of SFAS No. 142 apply to goodwill and intangible assets acquired before and after the statement’s effective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January 29, 2005 to January 28, 2006: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January 29, 2005</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3"/>
              </w:rPr>
              <w:t>Additions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79"/>
              </w:rPr>
              <w:t>(in thousands)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7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523</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33,200</w:t>
            </w:r>
          </w:p>
        </w:tc>
        <w:tc>
          <w:tcPr>
            <w:tcW w:w="3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378</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least annually, the Company performs an impairment analysis and records an impairment charge for any intangible assets with a carrying value in excess of its fair value. Other intangibles, which include customer lists and non-compete agreements, are the only intangible assets with defined lives, which range from 3 to 16 years based on each asset’s estimated economic useful life. Accumulated amortization was $649,376 at January 28, 2006 and $271,225 at January 29, 2005.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other intangible assets for the next five fiscal years is as follows: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60" w:type="dxa"/>
            <w:vAlign w:val="bottom"/>
            <w:gridSpan w:val="2"/>
          </w:tcPr>
          <w:p>
            <w:pPr>
              <w:jc w:val="right"/>
              <w:ind w:right="4292"/>
              <w:spacing w:after="0"/>
              <w:rPr>
                <w:sz w:val="20"/>
                <w:szCs w:val="20"/>
                <w:color w:val="auto"/>
              </w:rPr>
            </w:pPr>
            <w:r>
              <w:rPr>
                <w:rFonts w:ascii="Arial" w:cs="Arial" w:eastAsia="Arial" w:hAnsi="Arial"/>
                <w:sz w:val="14"/>
                <w:szCs w:val="14"/>
                <w:b w:val="1"/>
                <w:bCs w:val="1"/>
                <w:color w:val="auto"/>
                <w:w w:val="80"/>
              </w:rPr>
              <w:t>Fiscal Years</w:t>
            </w:r>
          </w:p>
        </w:tc>
        <w:tc>
          <w:tcPr>
            <w:tcW w:w="9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jc w:val="right"/>
              <w:ind w:right="4192"/>
              <w:spacing w:after="0"/>
              <w:rPr>
                <w:sz w:val="20"/>
                <w:szCs w:val="20"/>
                <w:color w:val="auto"/>
              </w:rPr>
            </w:pPr>
            <w:r>
              <w:rPr>
                <w:rFonts w:ascii="Arial" w:cs="Arial" w:eastAsia="Arial" w:hAnsi="Arial"/>
                <w:sz w:val="18"/>
                <w:szCs w:val="18"/>
                <w:color w:val="auto"/>
              </w:rPr>
              <w:t>2006</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jc w:val="right"/>
              <w:ind w:right="4192"/>
              <w:spacing w:after="0"/>
              <w:rPr>
                <w:sz w:val="20"/>
                <w:szCs w:val="20"/>
                <w:color w:val="auto"/>
              </w:rPr>
            </w:pPr>
            <w:r>
              <w:rPr>
                <w:rFonts w:ascii="Arial" w:cs="Arial" w:eastAsia="Arial" w:hAnsi="Arial"/>
                <w:sz w:val="18"/>
                <w:szCs w:val="18"/>
                <w:color w:val="auto"/>
              </w:rPr>
              <w:t>2007</w:t>
            </w: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jc w:val="right"/>
              <w:ind w:right="4192"/>
              <w:spacing w:after="0"/>
              <w:rPr>
                <w:sz w:val="20"/>
                <w:szCs w:val="20"/>
                <w:color w:val="auto"/>
              </w:rPr>
            </w:pPr>
            <w:r>
              <w:rPr>
                <w:rFonts w:ascii="Arial" w:cs="Arial" w:eastAsia="Arial" w:hAnsi="Arial"/>
                <w:sz w:val="18"/>
                <w:szCs w:val="18"/>
                <w:color w:val="auto"/>
              </w:rPr>
              <w:t>2008</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jc w:val="right"/>
              <w:ind w:right="4192"/>
              <w:spacing w:after="0"/>
              <w:rPr>
                <w:sz w:val="20"/>
                <w:szCs w:val="20"/>
                <w:color w:val="auto"/>
              </w:rPr>
            </w:pPr>
            <w:r>
              <w:rPr>
                <w:rFonts w:ascii="Arial" w:cs="Arial" w:eastAsia="Arial" w:hAnsi="Arial"/>
                <w:sz w:val="18"/>
                <w:szCs w:val="18"/>
                <w:color w:val="auto"/>
              </w:rPr>
              <w:t>2009</w:t>
            </w: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jc w:val="right"/>
              <w:ind w:right="4192"/>
              <w:spacing w:after="0"/>
              <w:rPr>
                <w:sz w:val="20"/>
                <w:szCs w:val="20"/>
                <w:color w:val="auto"/>
              </w:rPr>
            </w:pPr>
            <w:r>
              <w:rPr>
                <w:rFonts w:ascii="Arial" w:cs="Arial" w:eastAsia="Arial" w:hAnsi="Arial"/>
                <w:sz w:val="18"/>
                <w:szCs w:val="18"/>
                <w:color w:val="auto"/>
              </w:rPr>
              <w:t>2010</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accordance with Statement of Position 98-5, “Reporting on the Costs of Start-Up Activities,” the Company expenses all pre-opening costs for its stores as incurred.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28, 2006 and January 29, 2005 were $904,725 and $933,293, respectively. Advertising expense, which is included in selling, general and administrative expenses, was $28.6 million, $25.5 million and $19.2 million for fiscal 2005, 2004 and 2003,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Gift Cards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2002 the Company launched its gift card program. Revenue from gift cards and store merchandise credits is recognized at the time of redemption. Gift card breakage is income recognized due to the non-redemption of a portion of gift cards sold by the Company for which a liability was recorded in prior periods. The Company has determined, based on historical redemption patterns accumulated over the last three years, that approximately 7% to 8% of the gift cards will not be redeemed. Revenue for fiscal 2005 includes income of $1.2 million, which represented the amount of gift card breakage from the inception of the gift card program. For gift cards sold in fiscal 2005, the Company recognized in income estimated gift card breakage, over the expected redemption period for such gift cards, based on historical trends.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operates 13 Casual Male stores located within Sears Canada retail stores and one Rochester Big &amp; Tall Clothing store located in London, England. Assets and liabilities of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the computation of basic and diluted earnings per share. Basic earnings per share is computed by dividing net income (loss) by the weighted-average number of shares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Common Stock outstanding during the year. Diluted earnings per share is determined by giving effect to the exercise of stock options using the treasury stock method.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5"/>
              </w:rPr>
              <w:t>Fiscal Years Ended</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3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440" w:type="dxa"/>
            <w:vAlign w:val="bottom"/>
          </w:tcPr>
          <w:p>
            <w:pPr>
              <w:spacing w:after="0"/>
              <w:rPr>
                <w:sz w:val="12"/>
                <w:szCs w:val="12"/>
                <w:color w:val="auto"/>
              </w:rPr>
            </w:pPr>
          </w:p>
        </w:tc>
        <w:tc>
          <w:tcPr>
            <w:tcW w:w="1800" w:type="dxa"/>
            <w:vAlign w:val="bottom"/>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January 31, 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34,511</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 options, excluding anti-dilutive options and and warrants of 1,262 shares at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January 31, 2004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1,554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2,222</w:t>
            </w:r>
          </w:p>
        </w:tc>
        <w:tc>
          <w:tcPr>
            <w:tcW w:w="80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35,860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and warrants was greater than the average market price per share of Common Stock for the respective periods. Convertible notes were excluded because they were anti-dilutive using the “if-converted”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January 28, 2006</w:t>
            </w:r>
          </w:p>
        </w:tc>
        <w:tc>
          <w:tcPr>
            <w:tcW w:w="940" w:type="dxa"/>
            <w:vAlign w:val="bottom"/>
          </w:tcPr>
          <w:p>
            <w:pPr>
              <w:spacing w:after="0"/>
              <w:rPr>
                <w:sz w:val="12"/>
                <w:szCs w:val="12"/>
                <w:color w:val="auto"/>
              </w:rPr>
            </w:pPr>
          </w:p>
        </w:tc>
        <w:tc>
          <w:tcPr>
            <w:tcW w:w="1940" w:type="dxa"/>
            <w:vAlign w:val="bottom"/>
            <w:gridSpan w:val="2"/>
          </w:tcPr>
          <w:p>
            <w:pPr>
              <w:jc w:val="center"/>
              <w:ind w:right="960"/>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January 31, 2004</w:t>
            </w:r>
          </w:p>
        </w:tc>
        <w:tc>
          <w:tcPr>
            <w:tcW w:w="2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9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1,888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9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$10.65/share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options, warrants and convertible notes, which expire between May 14, 2012 and January 1, 2024, have exercise prices/conversion rates ranging from $6.66 to $10.65 in fiscal 2005, $6.83 to $10.65 in fiscal 2004 and $6.01 to $10.65 in fiscal 2003.</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In the first quarter of fiscal 2003, the Company adopted the disclosure provisions of SFAS No. 148,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w:t>
      </w:r>
      <w:r>
        <w:rPr>
          <w:rFonts w:ascii="Arial" w:cs="Arial" w:eastAsia="Arial" w:hAnsi="Arial"/>
          <w:sz w:val="15"/>
          <w:szCs w:val="15"/>
          <w:i w:val="1"/>
          <w:iCs w:val="1"/>
          <w:color w:val="auto"/>
        </w:rPr>
        <w:t>Transition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Disclosure</w:t>
      </w:r>
      <w:r>
        <w:rPr>
          <w:rFonts w:ascii="Arial" w:cs="Arial" w:eastAsia="Arial" w:hAnsi="Arial"/>
          <w:sz w:val="15"/>
          <w:szCs w:val="15"/>
          <w:color w:val="auto"/>
        </w:rPr>
        <w:t>, an amendment to SFAS No, 123,</w:t>
      </w:r>
      <w:r>
        <w:rPr>
          <w:rFonts w:ascii="Arial" w:cs="Arial" w:eastAsia="Arial" w:hAnsi="Arial"/>
          <w:sz w:val="15"/>
          <w:szCs w:val="15"/>
          <w:i w:val="1"/>
          <w:iCs w:val="1"/>
          <w:color w:val="auto"/>
        </w:rPr>
        <w:t xml:space="preserve"> Accounting for Stock-Based Compensation </w:t>
      </w:r>
      <w:r>
        <w:rPr>
          <w:rFonts w:ascii="Arial" w:cs="Arial" w:eastAsia="Arial" w:hAnsi="Arial"/>
          <w:sz w:val="15"/>
          <w:szCs w:val="15"/>
          <w:color w:val="auto"/>
        </w:rPr>
        <w:t>(“SFAS No. 123”). This statement provided alternative methods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transition for a voluntary change to the fair value based method of accounting for stock-based employee compensation. Additionally, the Statement also amended the disclosure requirements of SFAS No. 123 to require prominent disclosure in both annual and interim financial statements about the method of accounting for stock-based compensation and the effect of the method used on reported results. As permitted by SFAS No. 123, through the end of fiscal 2005, the Company accounted for share-based payments to its employees and directors using the intrinsic value method as determined under APB No. 25, </w:t>
      </w:r>
      <w:r>
        <w:rPr>
          <w:rFonts w:ascii="Arial" w:cs="Arial" w:eastAsia="Arial" w:hAnsi="Arial"/>
          <w:sz w:val="15"/>
          <w:szCs w:val="15"/>
          <w:i w:val="1"/>
          <w:iCs w:val="1"/>
          <w:color w:val="auto"/>
        </w:rPr>
        <w:t>Accounting for Stock Issue</w:t>
      </w:r>
      <w:r>
        <w:rPr>
          <w:rFonts w:ascii="Arial" w:cs="Arial" w:eastAsia="Arial" w:hAnsi="Arial"/>
          <w:sz w:val="15"/>
          <w:szCs w:val="15"/>
          <w:color w:val="auto"/>
        </w:rPr>
        <w:t xml:space="preserve"> </w:t>
      </w:r>
      <w:r>
        <w:rPr>
          <w:rFonts w:ascii="Arial" w:cs="Arial" w:eastAsia="Arial" w:hAnsi="Arial"/>
          <w:sz w:val="15"/>
          <w:szCs w:val="15"/>
          <w:i w:val="1"/>
          <w:iCs w:val="1"/>
          <w:color w:val="auto"/>
        </w:rPr>
        <w:t>to Employee</w:t>
      </w:r>
      <w:r>
        <w:rPr>
          <w:rFonts w:ascii="Arial" w:cs="Arial" w:eastAsia="Arial" w:hAnsi="Arial"/>
          <w:sz w:val="15"/>
          <w:szCs w:val="15"/>
          <w:color w:val="auto"/>
        </w:rPr>
        <w:t>s, and, as such, generally recognized no compensation cost for such payments. See Note G for more information regarding stock-based compensation.</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On December 16, 2004, the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which is a revision of SFAS No. 123. The approach in SFAS No. 123R requires all share-based payments to employees, including grants of employee stock options, to be recognized in the income statement based on their fair values. Pro forma disclosure is no longer an alternative.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SFAS No.123R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 123 for the pro forma disclosure. Commencing at the beginning of fiscal 2006, we adopted SFAS No. 123R using the modified prospective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370" w:lineRule="auto"/>
        <w:rPr>
          <w:sz w:val="20"/>
          <w:szCs w:val="20"/>
          <w:color w:val="auto"/>
        </w:rPr>
      </w:pPr>
      <w:r>
        <w:rPr>
          <w:rFonts w:ascii="Arial" w:cs="Arial" w:eastAsia="Arial" w:hAnsi="Arial"/>
          <w:sz w:val="15"/>
          <w:szCs w:val="15"/>
          <w:color w:val="auto"/>
        </w:rPr>
        <w:t>method. Through fiscal 2005 no compensation expense was generally recognized because the Company previously accounted for stock options granted to employees and shares issued under its employee stock purchase plans in accordance with the intrinsic value method permitted under APB Opinion No. 25.</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impact of adopting SFAS No. 123R cannot be accurately estimated at this time, as it will depend on the market value and the amount of share-based awards granted in future periods. Because all but 15,000 outstanding options were fully vested at January 28, 2006, the charge that the Company will record for options granted prior to fiscal 2006 will be immaterial.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14, 2005, the Securities and Exchange Commission announced that it would delay the required implementation of SFAS No. 123R, allowing companies that are not small business issuers to adopt the statement no later than the beginning of the first fiscal year beginning after June 15, 2005. As a result of this delay, the Company adopted SFAS No. 123R at the beginning of fiscal 2006.</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January 27, 2006, the Company’s Board of Directors approved the accelerated vesting of 965,000 outstanding and unvested options held by directors, officers and employees under the Company’s 1992 Stock Incentive Plan. As a result of the acceleration, these options to acquire 965,000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 No. 123R. Under the accounting guidance of APB Opinion No. 25, the accelerated vesting resulted in a charge for stock-based compensation of approximately $30,000, which the Company recognized in the fourth quarter of fiscal 2005.</w:t>
      </w:r>
    </w:p>
    <w:p>
      <w:pPr>
        <w:spacing w:after="0" w:line="12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Previously, on January 27, 2005, the Company’s Board of Directors had approved the accelerated vesting of all outstanding and unvested options held on that date by directors, officers and employees. As a result of that acceleration, options to acquire 1,903,252 shares of the Company’s Common Stock, which otherwise would have vested from time to time through fiscal 2007, became immediately exercisable. Under the accounting guidance of APB 25, the accelerated vesting resulted in a charge for stock-based compensation of approximately $70,000, which was recognized by the Company in the fourth quarter of fiscal 2004.</w:t>
      </w:r>
    </w:p>
    <w:p>
      <w:pPr>
        <w:spacing w:after="0" w:line="9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Additionally, the Company’s pro forma disclosure for fiscal 2005 and fiscal 2004 include the effect of these accelerations, as calculated under SFAS No. 123 rules, of $2.9 million and $6.1 million, respectively.</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Company has disclosed the pro forma net income or loss and per share amounts using the fair value based method. Had compensation costs for the Company’s grants for stock-based compensation been determined consistent with SFAS No. 123, the Company’s net income (loss) and income (loss) per share would have been as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January 28, 2006</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80"/>
              </w:rPr>
              <w:t>(in thousands,</w:t>
            </w:r>
          </w:p>
        </w:tc>
        <w:tc>
          <w:tcPr>
            <w:tcW w:w="1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29, 2005</w:t>
            </w:r>
          </w:p>
        </w:tc>
        <w:tc>
          <w:tcPr>
            <w:tcW w:w="14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31, 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except per share amounts)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(loss)—as reported</w:t>
            </w:r>
          </w:p>
        </w:tc>
        <w:tc>
          <w:tcPr>
            <w:tcW w:w="20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10,760</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1,524</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Reversal of acceleration charge under APB 25</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expense</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Charge for acceleration of options using fair value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(6,082)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(loss)—pro forma</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(7,046)</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(loss) per share—basic as reported</w:t>
            </w: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share—basic pro-forma</w:t>
            </w:r>
          </w:p>
        </w:tc>
        <w:tc>
          <w:tcPr>
            <w:tcW w:w="20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(0.21)</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(loss) per share—diluted as reported</w:t>
            </w: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share—diluted pro-forma</w:t>
            </w:r>
          </w:p>
        </w:tc>
        <w:tc>
          <w:tcPr>
            <w:tcW w:w="20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(0.21)</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00" w:type="dxa"/>
            <w:vAlign w:val="bottom"/>
          </w:tcPr>
          <w:p>
            <w:pPr>
              <w:ind w:left="82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tax benefits have been recognized for the additional compensation expense presented above for each of the three fiscal years, because such deferred tax assets would not be realized. The effects of applying SFAS No. 123 in this pro forma disclosure are not likely to be representative of the effects on reported net income for future years upon the adoption of SFAS 123R.</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 Scholes option-pricing model with the following weighted-average assumptions used for grants in fiscal 2005, 2004 and 2003: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11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4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January 29, 2005</w:t>
            </w:r>
          </w:p>
        </w:tc>
        <w:tc>
          <w:tcPr>
            <w:tcW w:w="440" w:type="dxa"/>
            <w:vAlign w:val="bottom"/>
          </w:tcPr>
          <w:p>
            <w:pPr>
              <w:spacing w:after="0"/>
              <w:rPr>
                <w:sz w:val="12"/>
                <w:szCs w:val="12"/>
                <w:color w:val="auto"/>
              </w:rPr>
            </w:pPr>
          </w:p>
        </w:tc>
        <w:tc>
          <w:tcPr>
            <w:tcW w:w="11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January 31, 2004</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6"/>
              </w:rPr>
              <w:t>65.0%</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6"/>
              </w:rPr>
              <w:t>65.0%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3.88%–4.48%</w:t>
            </w:r>
          </w:p>
        </w:tc>
        <w:tc>
          <w:tcPr>
            <w:tcW w:w="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2.69%–3.71%</w:t>
            </w:r>
          </w:p>
        </w:tc>
        <w:tc>
          <w:tcPr>
            <w:tcW w:w="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2.54%–3.26%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6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7"/>
              </w:rPr>
              <w:t>4.5</w:t>
            </w:r>
          </w:p>
        </w:tc>
        <w:tc>
          <w:tcPr>
            <w:tcW w:w="16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7"/>
              </w:rPr>
              <w:t>4.5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Dividend rate</w:t>
            </w:r>
          </w:p>
        </w:tc>
        <w:tc>
          <w:tcPr>
            <w:tcW w:w="114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$3.76</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$3.96</w:t>
            </w:r>
          </w:p>
        </w:tc>
        <w:tc>
          <w:tcPr>
            <w:tcW w:w="16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$2.64</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 The recorded impairments for fiscal 2003 and fiscal 2005 were immaterial. No impairment charges were recorded in fiscal 2004.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LP Innovations, Inc.</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Since fiscal 2002, the Company had been in the process of divesting its majority owned loss prevention subsidiary, LP Innovations, Inc. (“LPI”), with the intention that LPI would become a separate public company. However, due to lower than expected operating results, the Company has decided to delay the spin-off. In fiscal 2004, the Company wrote off $962,000 of offering costs. In fiscal 2003, the Company also recorded the write-off of $355,000 of such costs. These charges are included in “Other income (expense)” on the Consolidated Statement of Operations for each respective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29,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0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Equipment</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Building, land and building improvements</w:t>
            </w: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Hardware and software</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24,879</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75,800</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w:t>
            </w:r>
          </w:p>
        </w:tc>
        <w:tc>
          <w:tcPr>
            <w:tcW w:w="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30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Due to the sale-leaseback transaction which occurred subsequent to year end, the net book value of the Company’s “Building, land and building improvements” of $26.6 million at January 28, 2006 was reclassified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 on the Consolidated Balance Sheet. See Note N for a complete discussion of the subsequent sale-leaseback transaction.</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Depreciation expense related to continuing operations for fiscal 2005, 2004 and 2003 was $11.7 million, $8.8 million and $6.4 million, respectively. Such amounts exclude depreciation expense recorded in discontinued operations of $1.7 million for each fiscal year 2004 and 2003.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On December 15, 2005 and January 31, 2006, the Company amended its credit facility with Bank of America Retail Group, LLC (formerly known as Fleet Retail Group, Inc.) by executing the Second Amendment and the Third Amendment, respectively, to the Fourth Amended and Restated Loan and Security Agreement (the “Amendments”). In summary, the Amendments amended the credit facility (the “Amended Credit Facility”) to allow the Company to principally</w:t>
      </w:r>
    </w:p>
    <w:p>
      <w:pPr>
        <w:spacing w:after="0" w:line="1" w:lineRule="exact"/>
        <w:rPr>
          <w:sz w:val="20"/>
          <w:szCs w:val="20"/>
          <w:color w:val="auto"/>
        </w:rPr>
      </w:pPr>
    </w:p>
    <w:p>
      <w:pPr>
        <w:ind w:right="420" w:firstLine="8"/>
        <w:spacing w:after="0" w:line="254"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 the outstanding mortgage on its corporate headquarters in Canton, Massachusetts, (ii) prepay or retire its convertible notes, subject to maintaining excess availability, on a six-month basis, of at least $30.0 million, (iii) prepay its Term loan, (iv) enter into a sale-leaseback transaction for its corporate headquarters and (v) extend its advance rate on borrowings through December 15, 2005 to February 1, 2006, enabling the Company to receive increased availability under the Amended Credit Facility.</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Amended Credit Facility continues to principally provide for a total commitment of $90 million with the ability to issue documentary and standby letters of credits of up to $20 million. The maturity date of the Amended Credit Facility is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Company’s ability to borrow under the Amended Credit Facility is determined using an availability formula based on eligible assets, with increased advance rates based on seasonality.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Company’s obligations under the Amended Credit Facility are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Amended Credit Facility at January 28, 2006.</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At January 28, 2006, the Company had borrowings outstanding under the Amended Credit Facility of $37.4 million and outstanding standby letters of credit of $2.4 million and outstanding documentary letters of credit of $0.7 million. Average borrowings outstanding under this facility during fiscal 2005 were approximately $30.5 million, resulting in an average unused excess availability of approximately $36.8 million.</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fair value of amounts outstanding under the Amended Credit Facility approximates the carrying value at January 28, 2006 and January 29, 2005. At the Company’s option, any portion of the outstanding borrowings can be converted to LIBOR-based contracts; the remainder bears interest based on prime. At January 28, 2006, the prime-based borrowings interest rate was 7.25% and the Company had no outstanding LIBOR contracts.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long-term debt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5% convertible senior subordinated notes due 2024</w:t>
            </w:r>
          </w:p>
        </w:tc>
        <w:tc>
          <w:tcPr>
            <w:tcW w:w="26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5% senior subordinated notes due 2007</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4,125</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Mortgage note</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104,500</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(9,063)</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convertible senior subordinated notes due 2024</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fiscal 2003, the Company sold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bear interest at a rate of 5% per year, payable semi-annually, are convertible into the Company’s Common Stock at a conversion price of $10.65 per share and constitute general unsecured obligations of the Company, subordinate to all existing and future designated senior indebtedness.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Convertible Note holder has the right to require the Company to redeem the Convertible Notes for cash or delivery of shares of our common stock, at the Company’s option, on January 1, 2009, 2014, or 2019. The purchase price payable for each Convertible Note will be equal to 100% of its principal amount plus accrued and unpaid interest and additional interest, if any, to, but excluding, the repurchase date. In addition, on or after January 6, 2007, the Company has the option to redeem the Convertible Notes, in whole or in part, at the redemption price, which is 100% of the principal amount plus accrued and unpaid interest and additional interest, if any, to, but excluding the redemption date.</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the fourth quarter of fiscal 2005, the Company repurchased $5.3 million of the Convertible Notes in the open market and recognized a gain on the notes of $0.4 million. This gain was offset partially by $0.2 million associated with the write-off of deferred financing costs on such notes. The net gain of $0.2 million is included in the Company’s results of operations as part of “Other income (expense)” for fiscal 2005.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senior subordinated notes due 2007</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January 28, 2006, the Company has $4.1 million principal amount of its 5% senior subordinated notes due 2007 outstanding. These notes were issued in May 2002 through a private placement with the Kellwood Company, with whom the Company also has a product sourcing agreement. The Company makes quarterly principal payments in the amount of $687,500 which will continue through the remaining term of the notes. Accrued interest is payable quarterly.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 loan</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October 29, 2004, the Company entered into a 3-year term loan for $7.5 million with Bank of America Retail Group, LLC, the proceeds of which were used for the Rochester Acquisition. The loan requires principal payments in the amount of approximately $1.9 million on each of the first two anniversaries of the loan with the remaining balance due at maturity. The term loan accrues interest at the prevailing LIBOR rate plus 5% per annum.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fourth quarter of fiscal 2005, the Company made its scheduled principal payment of $1.9 million. Subsequent to year end, the Company prepaid in full the remaining balance of $5.6 million. Accordingly, the $5.6 million is included as part of “Current portion of long-term debt” on the Consolidated Balance Sheet at January 28, 2006.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Mortgage note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January 20, 2006, the Company prepaid, in full, $8.7 million on its outstanding mortgage note for its real estate and buildings located in Canton, Massachusetts. In connection with the prepayment, the Company incurred a penalty of $1.2 million which is included in the Company’s results of operations as “Other income (expense)” fiscal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Prepayment costs—Fiscal 2004 and Fiscal 2003</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fiscal 2004, the Company incurred a charge of $1.9 million as a result of the prepayment of its remaining $7.8 million of 12% senior subordinated notes due 2010. This prepayment charge is reflected in the Company’s results of operations as “Other income (expense)” for fiscal 2004.</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Similarly, in fiscal 2003, the Company incurred charges of $13.8 million related to the prepayment of its 12% senior subordinated notes due 2007, $21.8 million of its 12% senior subordinated notes due 2010 and its prepayment of its Back Bay Term Loan. This prepayment charge is reflected in the Company’s results of operations as “Other income (expense)” for fiscal 2003.</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 maturities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maturities of long-term debt, including the mortgage note, for the next five fiscal years are as follows: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(in thousands)</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Fiscal 2006*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20" w:type="dxa"/>
            <w:vAlign w:val="bottom"/>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Fiscal 2007</w:t>
            </w:r>
          </w:p>
        </w:tc>
        <w:tc>
          <w:tcPr>
            <w:tcW w:w="820" w:type="dxa"/>
            <w:vAlign w:val="bottom"/>
          </w:tcPr>
          <w:p>
            <w:pPr>
              <w:ind w:left="560"/>
              <w:spacing w:after="0"/>
              <w:rPr>
                <w:sz w:val="20"/>
                <w:szCs w:val="20"/>
                <w:color w:val="auto"/>
              </w:rPr>
            </w:pPr>
            <w:r>
              <w:rPr>
                <w:rFonts w:ascii="Arial" w:cs="Arial" w:eastAsia="Arial" w:hAnsi="Arial"/>
                <w:sz w:val="18"/>
                <w:szCs w:val="18"/>
                <w:color w:val="auto"/>
                <w:w w:val="79"/>
              </w:rPr>
              <w:t>688</w:t>
            </w:r>
          </w:p>
        </w:tc>
        <w:tc>
          <w:tcPr>
            <w:tcW w:w="2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Fiscal 2008</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Fiscal 2009</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460" w:right="6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maturities for fiscal 2006 include the prepayment of $5.6 million for the Company’s Term Loan which was prepaid in full by the Company subsequent to the end of fiscal 2005.</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$11.5 million, $9.5 million and $9.9 million for fiscal 2005, 2004 and 2003,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January 28, 2006, the Company has net operating loss carryforwards of $103.3 million for federal income tax purposes and $91.0 million for state income tax purposes that are available to offset future taxable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income, subject to certain annual usage limitations, through fiscal year 2024. As a result of the Casual Male acquisition and the issuance of additional equity in fiscal 2002, the utilization of approximately $32.9 million of the $103.3 million in federal net operating losses are subject to an annual limitation of approximately $4.8 million per year. Additionally, the Company has alternative minimum tax credit carryforwards of $1.4 million, which are available to further reduce income taxes over an indefinite period.</w:t>
      </w:r>
    </w:p>
    <w:p>
      <w:pPr>
        <w:spacing w:after="0" w:line="143" w:lineRule="exact"/>
        <w:rPr>
          <w:sz w:val="20"/>
          <w:szCs w:val="20"/>
          <w:color w:val="auto"/>
        </w:rPr>
      </w:pPr>
    </w:p>
    <w:p>
      <w:pPr>
        <w:ind w:right="80" w:firstLine="456"/>
        <w:spacing w:after="0" w:line="260" w:lineRule="auto"/>
        <w:rPr>
          <w:sz w:val="20"/>
          <w:szCs w:val="20"/>
          <w:color w:val="auto"/>
        </w:rPr>
      </w:pPr>
      <w:r>
        <w:rPr>
          <w:rFonts w:ascii="Arial" w:cs="Arial" w:eastAsia="Arial" w:hAnsi="Arial"/>
          <w:sz w:val="17"/>
          <w:szCs w:val="17"/>
          <w:color w:val="auto"/>
        </w:rPr>
        <w:t>Realization of the Company’s deferred tax assets, which relate principally to federal net operating loss carryforwards, which expire from 2018 through 2024, is dependent on generating sufficient taxable income in the near term. In fiscal years 2001 and 2002, the Company established a full valuation allowance against its deferred tax assets due to the uncertainty at that time of generating future taxable income, based on its historical losses in those years. Since that time, the Company has transformed itself, through acquisitions and divestures, from an operator of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the market leader of men’s big &amp; tall apparel. Since the Company acquired Casual Male in fiscal 2002, its big &amp; tall business has been profitable from an operating perspective. Further, with the acquisition of Rochester Clothing in October 2004, which was immediately accretive to the Company’s business, the Company has gained another market tier of the industry now attracting the higher end target customers.</w:t>
      </w:r>
    </w:p>
    <w:p>
      <w:pPr>
        <w:spacing w:after="0" w:line="14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In reaching this determination, the Company considered this dramatic change in its overall business, the positive evidence of nine consecutive quarters of positive comparable store sales, the continued improvement in operating income over the past four years, its expectations regarding the generation of future taxable income, the Company’s increasing market position and the expected growth of the big &amp; tall industry. Also, as discussed above, subsequent to year end, the Company entered into a sale-leaseback transaction which resulted in a gain on the sale of its corporate headquarters, net of transaction costs, of approximately $29.3 million. For tax purposes in fiscal 2006, the Company will be able to utilize its existing NOL’s to offset this gain, For book purposes, the Company deferred the gain and will recognize only $1.5 million annually over the initial term of the respective lease agreement. Based on the positive evidence that existed at January 28, 2006, the Company reversed $3.1 million of its deferred tax valuation allowance as a benefit to income tax expense for fiscal 2005. The valuation allowance for the Company’s remaining deferred tax assets does not affect its ability to utilize its net operating loss carryforwards to offset any future taxable income, subject to certain annual limitations.</w:t>
      </w:r>
    </w:p>
    <w:p>
      <w:pPr>
        <w:spacing w:after="0" w:line="12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fiscal 2005, the Company booked recorded a net benefit of $2.7 million, which consisted of a benefit of $3.1 million for the reversal of a portion of the valuation allowance offset partially by $342,000 of taxes related to foreign taxes and income tax audit adjustments. There was no provision for income taxes for fiscal 2004 and fiscal 2003.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January 28, 2006 and January 29, 2005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January 28, 2006</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87"/>
              </w:rPr>
              <w:t>January 29,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assets—current: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3,711</w:t>
            </w:r>
          </w:p>
        </w:tc>
        <w:tc>
          <w:tcPr>
            <w:tcW w:w="4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Net deferred tax assets—current</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5,547</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assets—noncurrent: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Excess of book over tax depreciation/amortization</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3,852</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42,858</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Foreign tax credit carryforward</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gridSpan w:val="2"/>
          </w:tcPr>
          <w:p>
            <w:pPr>
              <w:spacing w:after="0"/>
              <w:rPr>
                <w:sz w:val="20"/>
                <w:szCs w:val="20"/>
                <w:color w:val="auto"/>
              </w:rPr>
            </w:pPr>
            <w:r>
              <w:rPr>
                <w:rFonts w:ascii="Arial" w:cs="Arial" w:eastAsia="Arial" w:hAnsi="Arial"/>
                <w:sz w:val="18"/>
                <w:szCs w:val="18"/>
                <w:color w:val="auto"/>
              </w:rPr>
              <w:t>Net deferred tax assets—non current</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48,189</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liabilities—noncurrent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Tax-deductible goodwill</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(10,784)</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liabilities—noncurrent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(10,784)</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42,952</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(39,881)</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assets, net</w:t>
            </w: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The provision (benefit) for income taxes consists of the following:</w:t>
            </w: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Fiscal Years Ended</w:t>
            </w: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January 28, 2006</w:t>
            </w:r>
          </w:p>
        </w:tc>
        <w:tc>
          <w:tcPr>
            <w:tcW w:w="180" w:type="dxa"/>
            <w:vAlign w:val="bottom"/>
          </w:tcPr>
          <w:p>
            <w:pPr>
              <w:spacing w:after="0"/>
              <w:rPr>
                <w:sz w:val="19"/>
                <w:szCs w:val="19"/>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January 29, 2005</w:t>
            </w:r>
          </w:p>
        </w:tc>
        <w:tc>
          <w:tcPr>
            <w:tcW w:w="48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87"/>
              </w:rPr>
              <w:t>January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276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32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(3,071)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(3,071)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(2,729)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Fiscal Years Ended</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January 28, 2006</w:t>
            </w:r>
          </w:p>
        </w:tc>
        <w:tc>
          <w:tcPr>
            <w:tcW w:w="48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 2005</w:t>
            </w:r>
          </w:p>
        </w:tc>
        <w:tc>
          <w:tcPr>
            <w:tcW w:w="48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31, 2004</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19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567</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(6,108)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(1,278)</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Provision for income tax</w:t>
            </w:r>
          </w:p>
        </w:tc>
        <w:tc>
          <w:tcPr>
            <w:tcW w:w="1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(2,729)</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40" w:type="dxa"/>
            <w:vAlign w:val="bottom"/>
            <w:vMerge w:val="restart"/>
          </w:tcPr>
          <w:p>
            <w:pPr>
              <w:jc w:val="right"/>
              <w:ind w:right="492"/>
              <w:spacing w:after="0"/>
              <w:rPr>
                <w:sz w:val="20"/>
                <w:szCs w:val="20"/>
                <w:color w:val="auto"/>
              </w:rPr>
            </w:pPr>
            <w:r>
              <w:rPr>
                <w:rFonts w:ascii="Arial" w:cs="Arial" w:eastAsia="Arial" w:hAnsi="Arial"/>
                <w:sz w:val="18"/>
                <w:szCs w:val="18"/>
                <w:color w:val="auto"/>
              </w:rPr>
              <w:t>59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tax payments of $471,000, $388,000 and $218,000 for fiscal years 2005, 2004 and 2003,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January 28, 2006,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02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9"/>
        </w:trPr>
        <w:tc>
          <w:tcPr>
            <w:tcW w:w="100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43,108</w:t>
            </w:r>
          </w:p>
        </w:tc>
        <w:tc>
          <w:tcPr>
            <w:tcW w:w="20" w:type="dxa"/>
            <w:vAlign w:val="bottom"/>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36,549</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w:t>
            </w:r>
          </w:p>
        </w:tc>
        <w:tc>
          <w:tcPr>
            <w:tcW w:w="20" w:type="dxa"/>
            <w:vAlign w:val="bottom"/>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23,857</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w:t>
            </w:r>
          </w:p>
        </w:tc>
        <w:tc>
          <w:tcPr>
            <w:tcW w:w="20" w:type="dxa"/>
            <w:vAlign w:val="bottom"/>
          </w:tcPr>
          <w:p>
            <w:pPr>
              <w:spacing w:after="0"/>
              <w:rPr>
                <w:sz w:val="18"/>
                <w:szCs w:val="18"/>
                <w:color w:val="auto"/>
              </w:rPr>
            </w:pPr>
          </w:p>
        </w:tc>
      </w:tr>
      <w:tr>
        <w:trPr>
          <w:trHeight w:val="223"/>
        </w:trPr>
        <w:tc>
          <w:tcPr>
            <w:tcW w:w="1002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101,034</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252,543</w:t>
            </w:r>
          </w:p>
        </w:tc>
        <w:tc>
          <w:tcPr>
            <w:tcW w:w="2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32" w:lineRule="exact"/>
        <w:rPr>
          <w:sz w:val="20"/>
          <w:szCs w:val="20"/>
          <w:color w:val="auto"/>
        </w:rPr>
      </w:pPr>
    </w:p>
    <w:p>
      <w:pPr>
        <w:jc w:val="both"/>
        <w:ind w:right="20" w:firstLine="456"/>
        <w:spacing w:after="0" w:line="254" w:lineRule="auto"/>
        <w:rPr>
          <w:sz w:val="20"/>
          <w:szCs w:val="20"/>
          <w:color w:val="auto"/>
        </w:rPr>
      </w:pPr>
      <w:r>
        <w:rPr>
          <w:rFonts w:ascii="Arial" w:cs="Arial" w:eastAsia="Arial" w:hAnsi="Arial"/>
          <w:sz w:val="18"/>
          <w:szCs w:val="18"/>
          <w:color w:val="auto"/>
        </w:rPr>
        <w:t>Subsequent to year end, on February 1, 2006 the Company entered into a twenty-year lease agreement with a subsidiary of Spirit Finance Corp. (“Spirit”), as part of a sale-leaseback which is fully discussed in Note N, whereby the Company agreed to lease the property it sold to Spirit back for an annual rent of $4.6 million. In the first quarter of fiscal 2006, the Company will realize a gain of approximately $29.3 million on the sale of this property, which will be deferred and amortized over the initial 20 years of the related lease agreement. Accordingly, the Company’s annual rent of $4.6 million will be offset by $1.5 million related to the amortization of this deferred gain. This lease commitment, excluding the impact of the gain, is included in the above table of expected future minimum rentals obligations.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$46.9 million, $52.1 million and $54.8 million for fiscal 2005, fiscal 2004 and fiscal 2003,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Licensing and Endorsement Agreement with George Foreman</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June 2003, the Company entered into a License Agreement and Endorsement Agreement (the “Foreman Agreements”) with George Foreman Productions, Inc. pursuant to which George Foreman would act as the Company’s spokesperson. Further, the Company would have the right to use Mr. Foreman’s name, image and likeness in connection with its Big &amp; Tall merchandise. The initial term of the Foreman Agreements is through December 31, 2006, at which time the Company will have the option to extend pursuant to certain terms and conditions of the License Agreement. During the second quarter of fiscal 2004, the license agreement was amended to enable further extension of the term by adding two additional three-year options to extend the relationship from 2012 to 2018. In addition, the amendment also extended the Company’s rights under the agreement to include worldwide rights to the George Foreman Clothing Collections.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Foreman Agreements, as amended, as compensation for Mr. Foreman’s services and the exclusive rights to his name, image and likeness for apparel clothing and certain accessories, Mr. Foreman will receive $1.5 million over the initial term of the Endorsement Agreement and will receive a royalty payment on all merchandise manufactured under the George Foreman product lines, subject to a guaranteed minimum payment of $4.0 million over the initial term. Through the end of fiscal 2005, the Company has paid $1.0 million of the $1.5 million due under the Endorsement Agreement and $3.3 million of the $4.0 million minimum guarantee under the License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June 26, 2003, Mr. Foreman received an option to purchase 100,000 fully vested and non-forfeitable shares of the Company’s Common Stock at an exercise price of $5.50 per share. On December 12, 2003, Mr. Foreman received an option to purchase an additional 100,000 fully vested and non-forfeitable shares of the Company’s Common Stock at an exercise price of $7.15 per share. The fair value of both options, as calculated using the Black Scholes model, was in aggregate approximately $604,000, and is being expensed by the Company over the initial term of the Foreman Agreements.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2004, the Company entered into an additional license agreement with George Foreman for the right to sell shoes and footwear under the George Foreman name. The initial term of the agreement is through June 30, 2007, at which time the Company will have the option to extend pursuant to certain terms and conditions of the License Agreement. Mr. Foreman will receive a royalty payment on all footwear manufactured under the George Foreman name, subject to a guaranteed minimum of $275,000 over the initial term. In May 2004, Mr. Foreman received an advance payment from the Company of $200,000 under the terms of the agreement. No further payments were made during fiscal 2005.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 of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warrant activity for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3,383,871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2,201,471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Warrants issued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1,182,400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Warrants exercised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3,272,871</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3,377,871</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3,383,871</w:t>
            </w:r>
          </w:p>
        </w:tc>
        <w:tc>
          <w:tcPr>
            <w:tcW w:w="20" w:type="dxa"/>
            <w:vAlign w:val="bottom"/>
          </w:tcPr>
          <w:p>
            <w:pPr>
              <w:spacing w:after="0"/>
              <w:rPr>
                <w:sz w:val="18"/>
                <w:szCs w:val="18"/>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Warrants exercisable at end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3,272,871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3,377,871</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3,383,871</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exercise price per warrant: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Outstanding at beginning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$5.77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Canceled during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Outstanding at end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$5.79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9"/>
                <w:szCs w:val="19"/>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Outstanding and Exercisable at January 28,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Range of Exercise</w:t>
            </w:r>
          </w:p>
        </w:tc>
        <w:tc>
          <w:tcPr>
            <w:tcW w:w="160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Remaining</w:t>
            </w:r>
          </w:p>
        </w:tc>
        <w:tc>
          <w:tcPr>
            <w:tcW w:w="780" w:type="dxa"/>
            <w:vAlign w:val="bottom"/>
          </w:tcPr>
          <w:p>
            <w:pPr>
              <w:spacing w:after="0"/>
              <w:rPr>
                <w:sz w:val="14"/>
                <w:szCs w:val="14"/>
                <w:color w:val="auto"/>
              </w:rPr>
            </w:pPr>
          </w:p>
        </w:tc>
        <w:tc>
          <w:tcPr>
            <w:tcW w:w="27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Weighted Average</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Prices</w:t>
            </w:r>
          </w:p>
        </w:tc>
        <w:tc>
          <w:tcPr>
            <w:tcW w:w="16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1580" w:type="dxa"/>
            <w:vAlign w:val="bottom"/>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Contractual Life</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Exercise Price</w:t>
            </w:r>
          </w:p>
        </w:tc>
        <w:tc>
          <w:tcPr>
            <w:tcW w:w="16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Exercisable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$0.01 to</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3980" w:type="dxa"/>
            <w:vAlign w:val="bottom"/>
            <w:gridSpan w:val="3"/>
            <w:shd w:val="clear" w:color="auto" w:fill="CCEEFF"/>
          </w:tcPr>
          <w:p>
            <w:pPr>
              <w:jc w:val="right"/>
              <w:ind w:right="1580"/>
              <w:spacing w:after="0"/>
              <w:rPr>
                <w:sz w:val="20"/>
                <w:szCs w:val="20"/>
                <w:color w:val="auto"/>
              </w:rPr>
            </w:pPr>
            <w:r>
              <w:rPr>
                <w:rFonts w:ascii="Arial" w:cs="Arial" w:eastAsia="Arial" w:hAnsi="Arial"/>
                <w:sz w:val="18"/>
                <w:szCs w:val="18"/>
                <w:color w:val="auto"/>
              </w:rPr>
              <w:t>525,000</w:t>
            </w:r>
          </w:p>
        </w:tc>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6.3 years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0.01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2.16 to</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3980" w:type="dxa"/>
            <w:vAlign w:val="bottom"/>
            <w:gridSpan w:val="3"/>
          </w:tcPr>
          <w:p>
            <w:pPr>
              <w:jc w:val="right"/>
              <w:ind w:right="1580"/>
              <w:spacing w:after="0"/>
              <w:rPr>
                <w:sz w:val="20"/>
                <w:szCs w:val="20"/>
                <w:color w:val="auto"/>
              </w:rPr>
            </w:pPr>
            <w:r>
              <w:rPr>
                <w:rFonts w:ascii="Arial" w:cs="Arial" w:eastAsia="Arial" w:hAnsi="Arial"/>
                <w:sz w:val="18"/>
                <w:szCs w:val="18"/>
                <w:color w:val="auto"/>
              </w:rPr>
              <w:t>495,000</w:t>
            </w: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0.3 years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right"/>
              <w:ind w:right="1600"/>
              <w:spacing w:after="0"/>
              <w:rPr>
                <w:sz w:val="20"/>
                <w:szCs w:val="20"/>
                <w:color w:val="auto"/>
              </w:rPr>
            </w:pPr>
            <w:r>
              <w:rPr>
                <w:rFonts w:ascii="Arial" w:cs="Arial" w:eastAsia="Arial" w:hAnsi="Arial"/>
                <w:sz w:val="18"/>
                <w:szCs w:val="18"/>
                <w:color w:val="auto"/>
              </w:rPr>
              <w:t>4.25</w:t>
            </w:r>
          </w:p>
        </w:tc>
        <w:tc>
          <w:tcPr>
            <w:tcW w:w="800" w:type="dxa"/>
            <w:vAlign w:val="bottom"/>
          </w:tcPr>
          <w:p>
            <w:pPr>
              <w:jc w:val="right"/>
              <w:spacing w:after="0"/>
              <w:rPr>
                <w:sz w:val="20"/>
                <w:szCs w:val="20"/>
                <w:color w:val="auto"/>
              </w:rPr>
            </w:pPr>
            <w:r>
              <w:rPr>
                <w:rFonts w:ascii="Arial" w:cs="Arial" w:eastAsia="Arial" w:hAnsi="Arial"/>
                <w:sz w:val="18"/>
                <w:szCs w:val="18"/>
                <w:color w:val="auto"/>
              </w:rPr>
              <w:t>495,000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4.31 to</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3980" w:type="dxa"/>
            <w:vAlign w:val="bottom"/>
            <w:gridSpan w:val="3"/>
            <w:shd w:val="clear" w:color="auto" w:fill="CCEEFF"/>
          </w:tcPr>
          <w:p>
            <w:pPr>
              <w:jc w:val="right"/>
              <w:ind w:right="1580"/>
              <w:spacing w:after="0"/>
              <w:rPr>
                <w:sz w:val="20"/>
                <w:szCs w:val="20"/>
                <w:color w:val="auto"/>
              </w:rPr>
            </w:pPr>
            <w:r>
              <w:rPr>
                <w:rFonts w:ascii="Arial" w:cs="Arial" w:eastAsia="Arial" w:hAnsi="Arial"/>
                <w:sz w:val="18"/>
                <w:szCs w:val="18"/>
                <w:color w:val="auto"/>
              </w:rPr>
              <w:t>364,400</w:t>
            </w:r>
          </w:p>
        </w:tc>
        <w:tc>
          <w:tcPr>
            <w:tcW w:w="1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 years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5.05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6.46 to</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8.50</w:t>
            </w:r>
          </w:p>
        </w:tc>
        <w:tc>
          <w:tcPr>
            <w:tcW w:w="1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1,888,471</w:t>
            </w:r>
          </w:p>
        </w:tc>
        <w:tc>
          <w:tcPr>
            <w:tcW w:w="1580" w:type="dxa"/>
            <w:vAlign w:val="bottom"/>
          </w:tcPr>
          <w:p>
            <w:pPr>
              <w:spacing w:after="0"/>
              <w:rPr>
                <w:sz w:val="18"/>
                <w:szCs w:val="18"/>
                <w:color w:val="auto"/>
              </w:rPr>
            </w:pP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2.4 years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right"/>
              <w:ind w:right="1600"/>
              <w:spacing w:after="0"/>
              <w:rPr>
                <w:sz w:val="20"/>
                <w:szCs w:val="20"/>
                <w:color w:val="auto"/>
              </w:rPr>
            </w:pPr>
            <w:r>
              <w:rPr>
                <w:rFonts w:ascii="Arial" w:cs="Arial" w:eastAsia="Arial" w:hAnsi="Arial"/>
                <w:sz w:val="18"/>
                <w:szCs w:val="18"/>
                <w:color w:val="auto"/>
              </w:rPr>
              <w:t>7.94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1,888,471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$0.01 to</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3,272,871</w:t>
            </w: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2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5.79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3,272,871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vMerge w:val="restart"/>
          </w:tcPr>
          <w:p>
            <w:pPr>
              <w:ind w:left="420"/>
              <w:spacing w:after="0"/>
              <w:rPr>
                <w:sz w:val="20"/>
                <w:szCs w:val="20"/>
                <w:color w:val="auto"/>
              </w:rPr>
            </w:pPr>
            <w:r>
              <w:rPr>
                <w:rFonts w:ascii="Arial" w:cs="Arial" w:eastAsia="Arial" w:hAnsi="Arial"/>
                <w:sz w:val="18"/>
                <w:szCs w:val="18"/>
                <w:color w:val="auto"/>
              </w:rPr>
              <w:t>61</w:t>
            </w: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fiscal 2002, as part of a private placement of 12% senior subordinated notes due 2007, which the Company fully redeemed in fiscal 2003, the Company issued warrants to purchase 1,715,000 shares of Common Stock at an exercise price of $0.01 per share and additional warrants to purchase 1,176,471 shares of Common Stock at an exercise price of $8.50 per share. The Company assigned a value, based on the Black Scholes model, of $9.6 million for these warrants. The value of the warrants was reflected as a component of stockholders’ equity as a discount on the notes and was initially amortized over the term of the corresponding debt, which was five years. In November 2003, the Company prepaid in full the principal amount due on the 12% senior subordinated notes and accordingly the unamortized value of these warrants of $7.3 million was written off and was included in “Other income (expense)” on the Consolidated Statement of Operations for fiscal 2003.</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fiscal 2003, as part of the private placement of the Company’s 12% senior subordinated notes due 2010, the Company issued warrants to purchase 1,182,400 shares of Common Stock at exercise prices ranging from $4.76 per share to $7.32 per share. Such exercise prices represent the average of the closing prices on the Company’s Common Stock on the Nasdaq National Market for the period of 30 trading days ending prior to each of the respective issue dates. The assigned Black Scholes value of $5.6 million for such warrants was reflected as a component of stockholders’ equity to be amortized over the seven-year life of the notes as additional interest expense. In the fourth quarter of fiscal 2003 and the second quarter of fiscal 2004, as discussed more fully in Note C above, the Company prepaid the notes, which resulted in the acceleration and write-off of the related unamortized value of the warrants of approximately $4.1 million in fiscal 2003 and $1.9 million in fiscal 2004, both of which are included in “Other income (expense)” on the Consolidated Statement of Operations for the respective periods.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January 28, 2006, the Company has a total of 5.2 million shares of repurchased stock at an aggregate cost of $23.4 million which is reported by the Company as treasury stock and is reflected as a reduction in stockholders’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terms of the 1992 Stock Incentive Plan, as amended most recently on August 7, 2003 (the “1992 Plan”), up to 6,930,000 shares of Common Stock can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who qualify as independent under the listing standards of the Nasdaq National Market. The Compensation Committee makes all determinations with respect to amounts and conditions covering awards under the 1992 Plan. Options have never been granted at a price less than fair value on the date of the grant. Options granted to employees and executives typically vest over three years and options granted to directors vest over two years. Options granted under the 1992 Plan expire ten years from the date of grant. The 1992 Plan, as amended, terminates on the earlier of (i) the date when all shares issuable thereunder have been issued or (ii) April 2, 2007.</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the fourth quarter of fiscal 2005, the Company’s Board of Directors approved the accelerated vesting of 965,000 outstanding and unvested options held at that time by directors, officers and employees under the Company’s 1992 Stock Incentive Plan. As a result of the acceleration, these options to acquire 965,000 shares of our common stock, which otherwise would have vested from time to time over the following three years, became immediately exercisable.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Previously, during the fourth quarter of fiscal 2004, the Company’s Board of Directors had approved the accelerated vesting of all outstanding and unvested options held at that time by directors, officers and employees. As a result of that acceleration, options to acquire 1,903,252 shares of our common stock, which otherwise would have vested from time to time through fiscal 2007, became immediately exercisable.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“Stock-Based Compensation” in Note A above for a complete discussion of the accelerations and their financial impact.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shares subject to the 1992 Plan for the fiscal years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3,493,007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2,219,869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1,899,990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991,647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1,732,378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827,594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312,824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Options exercised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133,490</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146,416</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4,241,997</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3,493,007</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2,219,869</w:t>
            </w:r>
          </w:p>
        </w:tc>
        <w:tc>
          <w:tcPr>
            <w:tcW w:w="20" w:type="dxa"/>
            <w:vAlign w:val="bottom"/>
          </w:tcPr>
          <w:p>
            <w:pPr>
              <w:spacing w:after="0"/>
              <w:rPr>
                <w:sz w:val="18"/>
                <w:szCs w:val="18"/>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Options exercisable at end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4,226,997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3,493,007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1,097,364</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reserved for future grants at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2,254,259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3,673,813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exercise price per option: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at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Granted during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6.81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Exercised during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at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1992 Plan at January 28,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Options Outstanding</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w w:val="92"/>
              </w:rPr>
              <w:t>Options Exercisable</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86"/>
              </w:rPr>
              <w:t>Weighted Average</w:t>
            </w:r>
          </w:p>
        </w:tc>
        <w:tc>
          <w:tcPr>
            <w:tcW w:w="1140" w:type="dxa"/>
            <w:vAlign w:val="bottom"/>
          </w:tcPr>
          <w:p>
            <w:pPr>
              <w:spacing w:after="0"/>
              <w:rPr>
                <w:sz w:val="11"/>
                <w:szCs w:val="11"/>
                <w:color w:val="auto"/>
              </w:rPr>
            </w:pPr>
          </w:p>
        </w:tc>
        <w:tc>
          <w:tcPr>
            <w:tcW w:w="8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3"/>
          </w:tcPr>
          <w:p>
            <w:pPr>
              <w:jc w:val="center"/>
              <w:ind w:right="1140"/>
              <w:spacing w:after="0" w:line="135" w:lineRule="exact"/>
              <w:rPr>
                <w:sz w:val="20"/>
                <w:szCs w:val="20"/>
                <w:color w:val="auto"/>
              </w:rPr>
            </w:pPr>
            <w:r>
              <w:rPr>
                <w:rFonts w:ascii="Arial" w:cs="Arial" w:eastAsia="Arial" w:hAnsi="Arial"/>
                <w:sz w:val="14"/>
                <w:szCs w:val="14"/>
                <w:b w:val="1"/>
                <w:bCs w:val="1"/>
                <w:color w:val="auto"/>
                <w:w w:val="85"/>
              </w:rPr>
              <w:t>Range of Exercise</w:t>
            </w:r>
          </w:p>
        </w:tc>
        <w:tc>
          <w:tcPr>
            <w:tcW w:w="1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gridSpan w:val="3"/>
          </w:tcPr>
          <w:p>
            <w:pPr>
              <w:jc w:val="right"/>
              <w:ind w:right="80"/>
              <w:spacing w:after="0" w:line="135"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jc w:val="center"/>
              <w:ind w:left="317"/>
              <w:spacing w:after="0"/>
              <w:rPr>
                <w:sz w:val="20"/>
                <w:szCs w:val="20"/>
                <w:color w:val="auto"/>
              </w:rPr>
            </w:pPr>
            <w:r>
              <w:rPr>
                <w:rFonts w:ascii="Arial" w:cs="Arial" w:eastAsia="Arial" w:hAnsi="Arial"/>
                <w:sz w:val="14"/>
                <w:szCs w:val="14"/>
                <w:b w:val="1"/>
                <w:bCs w:val="1"/>
                <w:color w:val="auto"/>
                <w:w w:val="85"/>
              </w:rPr>
              <w:t>Prices</w:t>
            </w:r>
          </w:p>
        </w:tc>
        <w:tc>
          <w:tcPr>
            <w:tcW w:w="40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7"/>
              </w:rPr>
              <w:t>Exercise Price</w:t>
            </w:r>
          </w:p>
        </w:tc>
        <w:tc>
          <w:tcPr>
            <w:tcW w:w="1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7"/>
              </w:rPr>
              <w:t>Exercise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7"/>
              </w:rPr>
              <w:t>$0.81 to $</w:t>
            </w:r>
          </w:p>
        </w:tc>
        <w:tc>
          <w:tcPr>
            <w:tcW w:w="15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2.15</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317,833</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 years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317,833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2.16 to</w:t>
            </w: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4.30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257,416</w:t>
            </w:r>
          </w:p>
        </w:tc>
        <w:tc>
          <w:tcPr>
            <w:tcW w:w="60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5.7 years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257,416</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4.31 to</w:t>
            </w:r>
          </w:p>
        </w:tc>
        <w:tc>
          <w:tcPr>
            <w:tcW w:w="15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6.45</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2,225,498</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7.8 years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2,225,498</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6.46 to</w:t>
            </w:r>
          </w:p>
        </w:tc>
        <w:tc>
          <w:tcPr>
            <w:tcW w:w="1540" w:type="dxa"/>
            <w:vAlign w:val="bottom"/>
            <w:gridSpan w:val="2"/>
          </w:tcPr>
          <w:p>
            <w:pPr>
              <w:jc w:val="right"/>
              <w:ind w:right="1140"/>
              <w:spacing w:after="0"/>
              <w:rPr>
                <w:sz w:val="20"/>
                <w:szCs w:val="20"/>
                <w:color w:val="auto"/>
              </w:rPr>
            </w:pPr>
            <w:r>
              <w:rPr>
                <w:rFonts w:ascii="Arial" w:cs="Arial" w:eastAsia="Arial" w:hAnsi="Arial"/>
                <w:sz w:val="18"/>
                <w:szCs w:val="18"/>
                <w:color w:val="auto"/>
              </w:rPr>
              <w:t>8.60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1,063,750</w:t>
            </w:r>
          </w:p>
        </w:tc>
        <w:tc>
          <w:tcPr>
            <w:tcW w:w="60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9.0 years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1,048,750</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8.61 to</w:t>
            </w:r>
          </w:p>
        </w:tc>
        <w:tc>
          <w:tcPr>
            <w:tcW w:w="15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4"/>
              </w:rPr>
              <w:t>10.30</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377,500</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7.8 years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377,500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left="17"/>
              <w:spacing w:after="0"/>
              <w:rPr>
                <w:sz w:val="20"/>
                <w:szCs w:val="20"/>
                <w:color w:val="auto"/>
              </w:rPr>
            </w:pPr>
            <w:r>
              <w:rPr>
                <w:rFonts w:ascii="Arial" w:cs="Arial" w:eastAsia="Arial" w:hAnsi="Arial"/>
                <w:sz w:val="18"/>
                <w:szCs w:val="18"/>
                <w:color w:val="auto"/>
                <w:w w:val="87"/>
              </w:rPr>
              <w:t>$0.81 to $</w:t>
            </w:r>
          </w:p>
        </w:tc>
        <w:tc>
          <w:tcPr>
            <w:tcW w:w="1540" w:type="dxa"/>
            <w:vAlign w:val="bottom"/>
            <w:gridSpan w:val="2"/>
            <w:vMerge w:val="restart"/>
          </w:tcPr>
          <w:p>
            <w:pPr>
              <w:jc w:val="right"/>
              <w:ind w:right="1140"/>
              <w:spacing w:after="0"/>
              <w:rPr>
                <w:sz w:val="20"/>
                <w:szCs w:val="20"/>
                <w:color w:val="auto"/>
              </w:rPr>
            </w:pPr>
            <w:r>
              <w:rPr>
                <w:rFonts w:ascii="Arial" w:cs="Arial" w:eastAsia="Arial" w:hAnsi="Arial"/>
                <w:sz w:val="18"/>
                <w:szCs w:val="18"/>
                <w:color w:val="auto"/>
                <w:w w:val="84"/>
              </w:rPr>
              <w:t>10.30</w:t>
            </w: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8"/>
                <w:szCs w:val="18"/>
                <w:color w:val="auto"/>
              </w:rPr>
              <w:t>7.7 years</w:t>
            </w: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4,241,997</w:t>
            </w:r>
          </w:p>
        </w:tc>
        <w:tc>
          <w:tcPr>
            <w:tcW w:w="6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5.80</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4,226,997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vMerge w:val="restart"/>
          </w:tcPr>
          <w:p>
            <w:pPr>
              <w:jc w:val="right"/>
              <w:ind w:right="232"/>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 granted outside of the Company’s 1992 Plan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Below is a summary of options granted outside of the Company’s 1992 Plan. This activity represents options which have been granted to consultants of the Company prior to August 2003 and options granted to its executives in excess of the 1992 Plan’s annual maximum grant which was 500,000 as of August 7, 2003.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Options exercised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20" w:type="dxa"/>
            <w:vAlign w:val="bottom"/>
          </w:tcPr>
          <w:p>
            <w:pPr>
              <w:spacing w:after="0"/>
              <w:rPr>
                <w:sz w:val="18"/>
                <w:szCs w:val="18"/>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Options exercisable at end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1,140,000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1,140,000</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850,000</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exercise price per option: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Outstanding at beginning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Canceled during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Outstanding at end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issued outside of the 1992 Plan at January 28,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gridSpan w:val="3"/>
          </w:tcPr>
          <w:p>
            <w:pPr>
              <w:ind w:left="1080"/>
              <w:spacing w:after="0"/>
              <w:rPr>
                <w:sz w:val="20"/>
                <w:szCs w:val="20"/>
                <w:color w:val="auto"/>
              </w:rPr>
            </w:pPr>
            <w:r>
              <w:rPr>
                <w:rFonts w:ascii="Arial" w:cs="Arial" w:eastAsia="Arial" w:hAnsi="Arial"/>
                <w:sz w:val="14"/>
                <w:szCs w:val="14"/>
                <w:b w:val="1"/>
                <w:bCs w:val="1"/>
                <w:color w:val="auto"/>
              </w:rPr>
              <w:t>Options Outstanding</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w w:val="98"/>
              </w:rPr>
              <w:t>Options Exercisable</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Remaining</w:t>
            </w: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86"/>
              </w:rPr>
              <w:t>Weighted Average</w:t>
            </w:r>
          </w:p>
        </w:tc>
        <w:tc>
          <w:tcPr>
            <w:tcW w:w="1140" w:type="dxa"/>
            <w:vAlign w:val="bottom"/>
          </w:tcPr>
          <w:p>
            <w:pPr>
              <w:spacing w:after="0"/>
              <w:rPr>
                <w:sz w:val="11"/>
                <w:szCs w:val="11"/>
                <w:color w:val="auto"/>
              </w:rPr>
            </w:pPr>
          </w:p>
        </w:tc>
        <w:tc>
          <w:tcPr>
            <w:tcW w:w="76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4"/>
                <w:szCs w:val="14"/>
                <w:b w:val="1"/>
                <w:bCs w:val="1"/>
                <w:color w:val="auto"/>
              </w:rPr>
              <w:t>Number</w:t>
            </w: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3"/>
          </w:tcPr>
          <w:p>
            <w:pPr>
              <w:ind w:left="300"/>
              <w:spacing w:after="0" w:line="135" w:lineRule="exact"/>
              <w:rPr>
                <w:sz w:val="20"/>
                <w:szCs w:val="20"/>
                <w:color w:val="auto"/>
              </w:rPr>
            </w:pPr>
            <w:r>
              <w:rPr>
                <w:rFonts w:ascii="Arial" w:cs="Arial" w:eastAsia="Arial" w:hAnsi="Arial"/>
                <w:sz w:val="14"/>
                <w:szCs w:val="14"/>
                <w:b w:val="1"/>
                <w:bCs w:val="1"/>
                <w:color w:val="auto"/>
              </w:rPr>
              <w:t>Range of</w:t>
            </w:r>
          </w:p>
        </w:tc>
        <w:tc>
          <w:tcPr>
            <w:tcW w:w="8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3"/>
          </w:tcPr>
          <w:p>
            <w:pPr>
              <w:jc w:val="right"/>
              <w:ind w:right="80"/>
              <w:spacing w:after="0" w:line="135"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75"/>
        </w:trPr>
        <w:tc>
          <w:tcPr>
            <w:tcW w:w="11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4"/>
              </w:rPr>
              <w:t>Exercise Prices</w:t>
            </w:r>
          </w:p>
        </w:tc>
        <w:tc>
          <w:tcPr>
            <w:tcW w:w="11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1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Exercise Price</w:t>
            </w:r>
          </w:p>
        </w:tc>
        <w:tc>
          <w:tcPr>
            <w:tcW w:w="1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Exercise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w w:val="95"/>
              </w:rPr>
              <w:t>$1.14 to $1.44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 years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ind w:left="180"/>
              <w:spacing w:after="0"/>
              <w:rPr>
                <w:sz w:val="20"/>
                <w:szCs w:val="20"/>
                <w:color w:val="auto"/>
              </w:rPr>
            </w:pPr>
            <w:r>
              <w:rPr>
                <w:rFonts w:ascii="Arial" w:cs="Arial" w:eastAsia="Arial" w:hAnsi="Arial"/>
                <w:sz w:val="18"/>
                <w:szCs w:val="18"/>
                <w:color w:val="auto"/>
                <w:w w:val="98"/>
              </w:rPr>
              <w:t>2.38 to</w:t>
            </w:r>
          </w:p>
        </w:tc>
        <w:tc>
          <w:tcPr>
            <w:tcW w:w="1500" w:type="dxa"/>
            <w:vAlign w:val="bottom"/>
            <w:gridSpan w:val="2"/>
          </w:tcPr>
          <w:p>
            <w:pPr>
              <w:jc w:val="right"/>
              <w:ind w:right="1120"/>
              <w:spacing w:after="0"/>
              <w:rPr>
                <w:sz w:val="20"/>
                <w:szCs w:val="20"/>
                <w:color w:val="auto"/>
              </w:rPr>
            </w:pPr>
            <w:r>
              <w:rPr>
                <w:rFonts w:ascii="Arial" w:cs="Arial" w:eastAsia="Arial" w:hAnsi="Arial"/>
                <w:sz w:val="18"/>
                <w:szCs w:val="18"/>
                <w:color w:val="auto"/>
              </w:rPr>
              <w:t>3.15</w:t>
            </w:r>
          </w:p>
        </w:tc>
        <w:tc>
          <w:tcPr>
            <w:tcW w:w="800" w:type="dxa"/>
            <w:vAlign w:val="bottom"/>
          </w:tcPr>
          <w:p>
            <w:pPr>
              <w:jc w:val="right"/>
              <w:spacing w:after="0"/>
              <w:rPr>
                <w:sz w:val="20"/>
                <w:szCs w:val="20"/>
                <w:color w:val="auto"/>
              </w:rPr>
            </w:pPr>
            <w:r>
              <w:rPr>
                <w:rFonts w:ascii="Arial" w:cs="Arial" w:eastAsia="Arial" w:hAnsi="Arial"/>
                <w:sz w:val="18"/>
                <w:szCs w:val="18"/>
                <w:color w:val="auto"/>
              </w:rPr>
              <w:t>360,000</w:t>
            </w:r>
          </w:p>
        </w:tc>
        <w:tc>
          <w:tcPr>
            <w:tcW w:w="112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5.4 years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3.88 to</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 years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gridSpan w:val="3"/>
          </w:tcPr>
          <w:p>
            <w:pPr>
              <w:jc w:val="right"/>
              <w:ind w:right="1120"/>
              <w:spacing w:after="0"/>
              <w:rPr>
                <w:sz w:val="20"/>
                <w:szCs w:val="20"/>
                <w:color w:val="auto"/>
              </w:rPr>
            </w:pPr>
            <w:r>
              <w:rPr>
                <w:rFonts w:ascii="Arial" w:cs="Arial" w:eastAsia="Arial" w:hAnsi="Arial"/>
                <w:sz w:val="18"/>
                <w:szCs w:val="18"/>
                <w:color w:val="auto"/>
                <w:w w:val="95"/>
              </w:rPr>
              <w:t>$1.14 to $5.35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1,140,000</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1,140,000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Seymour Holtzman, the Chairman of the Board of Directors of the Company, is compensated by the Company both directly (as an executive officer of the Company) and indirectly (as the president and chief executive officer and, together with his wife, the sole shareholder of Jewelcor Management Inc. (“JMI”)). Since October 1999, the Company has had an ongoing consulting agreement with JMI to assist in developing and implementing a strategic plan for the Company and for other related consulting services as may be agreed upon between JMI and the Company. Mr. Holtzman, who became the Company’s Chairman of the Board on April 11, 2000, is the beneficial holder of approximately 15.8% of the outstanding Common Stock of the Company (principally held by JMI).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total compensation Mr. Holtzman has received, directly as an officer of the Company and indirectly through JMI, over the past three fiscal years on a combined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Fiscal 2005</w:t>
            </w:r>
          </w:p>
        </w:tc>
        <w:tc>
          <w:tcPr>
            <w:tcW w:w="110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2004</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Fiscal 2003</w:t>
            </w:r>
          </w:p>
        </w:tc>
        <w:tc>
          <w:tcPr>
            <w:tcW w:w="220" w:type="dxa"/>
            <w:vAlign w:val="bottom"/>
          </w:tcPr>
          <w:p>
            <w:pPr>
              <w:spacing w:after="0"/>
              <w:rPr>
                <w:sz w:val="14"/>
                <w:szCs w:val="14"/>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annual compensation</w:t>
            </w:r>
          </w:p>
        </w:tc>
        <w:tc>
          <w:tcPr>
            <w:tcW w:w="3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$431,000(1)</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$416,000(2)</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$350,000(3)</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Combined bonus</w:t>
            </w:r>
          </w:p>
        </w:tc>
        <w:tc>
          <w:tcPr>
            <w:tcW w:w="1420" w:type="dxa"/>
            <w:vAlign w:val="bottom"/>
          </w:tcPr>
          <w:p>
            <w:pPr>
              <w:spacing w:after="0"/>
              <w:rPr>
                <w:sz w:val="18"/>
                <w:szCs w:val="18"/>
                <w:color w:val="auto"/>
              </w:rPr>
            </w:pPr>
          </w:p>
        </w:tc>
        <w:tc>
          <w:tcPr>
            <w:tcW w:w="178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$150,000(4)</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$150,000(5)</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long-term stock-based compensation awards(6)</w:t>
            </w:r>
          </w:p>
        </w:tc>
        <w:tc>
          <w:tcPr>
            <w:tcW w:w="3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160,000(7)</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400,000(8)</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200,000(9)</w:t>
            </w:r>
          </w:p>
        </w:tc>
      </w:tr>
      <w:tr>
        <w:trPr>
          <w:trHeight w:val="108"/>
        </w:trPr>
        <w:tc>
          <w:tcPr>
            <w:tcW w:w="118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right="500" w:hanging="452"/>
        <w:spacing w:after="0" w:line="25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February 2005 through April 2005, JMI received a monthly consulting fee of $32,667, payable in cash. Effective May 9, 2005, the Compensation Committee increased the annual consulting fees payable in cash to JMI to $412,000, or $34,333 per month. Mr. Holtzman received an annual salary of $24,000 as payment for his services as an executive officer of the Company.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JMI received $392,000 in consulting fees, payable in cash. Mr. Holtzman received an annual salary $24,000 in fiscal 2004.</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the period April 2003 through April 2004, the Company issued to JMI 70,769 non-forfeitable and fully vested shares of Common Stock as payment for services to be rendered under the consulting agreement through April 28, 2004. The fair value of the issued shares as of April 28, 2003 was $276,000, or $3.90 per share. The Compensation Committee and Board of Directors increased the annual compensation to JMI, effective May 1, 2003, by $50,000, to $326,000. The increase of $50,000 for fiscal 2004 was paid to JMI through the issuance of 12,820 non-forfeitable and fully vested shares of Common Stock valued at $3.90 per share. Mr. Holtzman received an annual salary of $24,000 in fiscal 2003.</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15, 2004, JMI received a bonus in the amount of $150,000 for services performed in fiscal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 2003, JMI received a bonus in the amount of $150,000.</w:t>
      </w:r>
    </w:p>
    <w:p>
      <w:pPr>
        <w:spacing w:after="0" w:line="9" w:lineRule="exact"/>
        <w:rPr>
          <w:rFonts w:ascii="Arial" w:cs="Arial" w:eastAsia="Arial" w:hAnsi="Arial"/>
          <w:sz w:val="18"/>
          <w:szCs w:val="18"/>
          <w:color w:val="auto"/>
        </w:rPr>
      </w:pPr>
    </w:p>
    <w:p>
      <w:pPr>
        <w:ind w:left="460" w:right="56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result of the Company accelerating substantially all outstanding and unvested stock options held by directors, officers and employees under the Company’s 1992 Stock Incentive Plan, all outstanding options held by Mr. Holtzman are fully vested and exercisable.</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9, 2005, the Compensation Committee granted to Mr. Holtzman a 10-year option to purchase 160,000 shares of the Company’s Common Stock at an exercise price of $6.90 per share.</w:t>
      </w:r>
    </w:p>
    <w:p>
      <w:pPr>
        <w:ind w:left="460" w:right="4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15, 2004, the Compensation Committee granted to Mr. Holtzman a 10-year option to purchase 200,000 shares of the Company’s Common Stock at an exercise price of $6.27 per share. On August 31, 2004, the Compensation Committee granted to Mr. Holtzman a 10-year option to purchase 100,000 shares of the Company’s Common Stock at an exercise price of $5.89 per share. On August 31, 2004, the Compensation Committee also granted</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Holtzman a 10-year option to purchase an additional 100,000 shares of the Company’s Common Stock at an exercise price of $5.89 per share.</w:t>
      </w:r>
    </w:p>
    <w:p>
      <w:pPr>
        <w:spacing w:after="0" w:line="3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 2003, the Compensation Committee granted to Mr. Holtzman a 10-year option to purchase 200,000 shares of Common Stock. This option has an exercise price of $5.01 per share and vests ratably over a two-year period.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Directors and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On October 27, 2004, in connection with the Rochester Acquisition, the Board of Directors of the Company appointed Robert L. Sockolov, the Chief Executive Officer of Rochester Big &amp; Tall Clothing, as a director of the Company, effective upon the consummation of the acquisition. Accordingly, on October 29, 2004, the date the Rochester Acquisition was consummated, Mr. Sockolov became a director of the Company.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29, 2004, the Company also entered into an employment agreement (the “Employment Agreement”) with Mr. Sockolov. Under the terms of the Employment Agreement, which will terminate January 31, 2008, Mr. Sockolov serves as the Chief Executive Officer of the Company’s Rochester business. Pursuant to the Employment Agreement, Mr. Sockolov receives an annual base salary of $250,000, subject to annual increases as determined by the Board of Directors or a committee thereof.</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December 19, 2005, Mr. Sockolov received an option to purchase 50,000 shares of the Company’s Common Stock at an exercise price of $5.97 per share. This option, which would have vested ratably over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three-year period, is fully vested and exercisable as of January 27, 2006 as a result of the Company’s acceleration of substantially all outstanding and unvested stock options held by executives, directors and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January 28, 2006 and January 29, 2005:</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January 28, 2006</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19,443</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(2,463)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and interest costs</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17,895</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20,165</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1,583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(2,463)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18,395</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17,895</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18,395</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Funded Status</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loss</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2,719</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Net amount recognized at year end</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3,219</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the statement of financial position: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Prepaid benefit cost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3,219</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benefit liability</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amount recognized at year end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3,219</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Other comprehensive income attributable to change in additional minimum liability recognition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20"/>
              <w:spacing w:after="0"/>
              <w:rPr>
                <w:sz w:val="20"/>
                <w:szCs w:val="20"/>
                <w:color w:val="auto"/>
              </w:rPr>
            </w:pPr>
            <w:r>
              <w:rPr>
                <w:rFonts w:ascii="Arial" w:cs="Arial" w:eastAsia="Arial" w:hAnsi="Arial"/>
                <w:sz w:val="18"/>
                <w:szCs w:val="18"/>
                <w:color w:val="auto"/>
              </w:rPr>
              <w:t>66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pension benefit for the year ended January 28, 2006 and January 29, 2005 includes the following components: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28, 2006</w:t>
            </w:r>
          </w:p>
        </w:tc>
        <w:tc>
          <w:tcPr>
            <w:tcW w:w="10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Service cost earned during the year</w:t>
            </w:r>
          </w:p>
        </w:tc>
        <w:tc>
          <w:tcPr>
            <w:tcW w:w="290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2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pension benefit</w:t>
            </w:r>
          </w:p>
        </w:tc>
        <w:tc>
          <w:tcPr>
            <w:tcW w:w="290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2005, the Company settled $2.5 million of the pension liability which resulted in the recognition of $0.3 million additional actuarial loss.</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28, 2006 and January 29, 2005 included a discount rate of 5.75% and 6.00% for fiscal 2005 and fiscal 2004, respectively. Assumptions used to determine the net periodic benefit cost for the years ended January 28, 2006 and January 29, 2005 included a discount rate of 5.75% and 6.00% for fiscal 2005 and fiscal 2004, respectively.</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expected long term rate of return for both the benefit obligation and the net periodic benefit cost was assumed to be 8.00% for fiscal 2005 and fiscal 2004. The expected long-term rate of return assumption was developed considering historical and future expectations for returns for each asset class.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2006</w:t>
            </w:r>
          </w:p>
        </w:tc>
        <w:tc>
          <w:tcPr>
            <w:tcW w:w="7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2007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2009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2011-2016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6,433</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2006 and its asset allocation at January 28, 2006 and January 29, 2005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Target allocation</w:t>
            </w:r>
          </w:p>
        </w:tc>
        <w:tc>
          <w:tcPr>
            <w:tcW w:w="10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Percentage of plan assets at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2040" w:type="dxa"/>
            <w:vAlign w:val="bottom"/>
            <w:gridSpan w:val="2"/>
          </w:tcPr>
          <w:p>
            <w:pPr>
              <w:jc w:val="right"/>
              <w:ind w:right="1220"/>
              <w:spacing w:after="0" w:line="142" w:lineRule="exact"/>
              <w:rPr>
                <w:sz w:val="20"/>
                <w:szCs w:val="20"/>
                <w:color w:val="auto"/>
              </w:rPr>
            </w:pPr>
            <w:r>
              <w:rPr>
                <w:rFonts w:ascii="Arial" w:cs="Arial" w:eastAsia="Arial" w:hAnsi="Arial"/>
                <w:sz w:val="14"/>
                <w:szCs w:val="14"/>
                <w:b w:val="1"/>
                <w:bCs w:val="1"/>
                <w:color w:val="auto"/>
              </w:rPr>
              <w:t>Fiscal 2006</w:t>
            </w:r>
          </w:p>
        </w:tc>
        <w:tc>
          <w:tcPr>
            <w:tcW w:w="204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w w:val="85"/>
              </w:rPr>
              <w:t>January 28, 2006</w:t>
            </w:r>
          </w:p>
        </w:tc>
        <w:tc>
          <w:tcPr>
            <w:tcW w:w="11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January 29, 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70.00%</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40.28%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20.00%</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47.69%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3"/>
            <w:vMerge w:val="continue"/>
          </w:tcPr>
          <w:p>
            <w:pPr>
              <w:spacing w:after="0"/>
              <w:rPr>
                <w:sz w:val="19"/>
                <w:szCs w:val="19"/>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Supplemental Plan’s funded status at January 28, 2006 and January 29, 2005:</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28, 2006</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and interest costs</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Balance at end of year</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Benefits and expenses paid</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Funded Status</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loss</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Net amount recognized at year end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the statement of financial position:</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Prepaid benefit cost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benefit liability</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amount recognized at year end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28, 2006 and January 29, 2005 included a discount rate of 5.75% and 6.00% for fiscal 2005 and fiscal 2004, respectively. Assumptions used to determine the net periodic benefit cost for the years ended January 28, 2006 and January 29, 2005 included a discount rate of 5.75% and 6.00% for fiscal 2005 and fiscal 2004,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fiscal 2004, in addition to the Company’s existing defined contribution 401(k) plan, the Company assumed an additional defined contribution plan as a result of the Rochester Acquisition in October 2004.</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Casual Male 401(k) plan covers all eligible employees who have completed six months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2005, the matching contribution by the Company was set at 50% of contributions by eligible employees up to a maximum of 6% of salary. The Rochester 401(k) plan is an elective plan pursuant to which participant’s contributions are voluntary and Rochester has at a minimum contributed the required 3% minimum. The Company intends to merge the 401(k) plans during fiscal 2006.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$938,424, $782,112 and $572,218 of expense under these plans in fiscal 2005, 2004 and 2003,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ind w:right="160" w:firstLine="456"/>
        <w:spacing w:after="0" w:line="235" w:lineRule="auto"/>
        <w:rPr>
          <w:sz w:val="20"/>
          <w:szCs w:val="20"/>
          <w:color w:val="auto"/>
        </w:rPr>
      </w:pPr>
      <w:r>
        <w:rPr>
          <w:rFonts w:ascii="Arial" w:cs="Arial" w:eastAsia="Arial" w:hAnsi="Arial"/>
          <w:sz w:val="18"/>
          <w:szCs w:val="18"/>
          <w:color w:val="auto"/>
        </w:rPr>
        <w:t>The following table summarizes the results of operations from the Company’s discontinued operations for fiscal 2004 and fiscal 2003. Included in discontinued operations are the results of operations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No tax benefit or provision was realized on discontinued operations for either fiscal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Fiscal 2005</w:t>
            </w:r>
          </w:p>
        </w:tc>
        <w:tc>
          <w:tcPr>
            <w:tcW w:w="7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Fiscal 2004(1)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2003(2)</w:t>
            </w: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(in millions)</w:t>
            </w:r>
          </w:p>
        </w:tc>
        <w:tc>
          <w:tcPr>
            <w:tcW w:w="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Provision (reversal) for impairment of assets, store closings and severance</w:t>
            </w:r>
          </w:p>
        </w:tc>
        <w:tc>
          <w:tcPr>
            <w:tcW w:w="2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jc w:val="both"/>
        <w:ind w:left="460" w:right="20" w:hanging="452"/>
        <w:spacing w:after="0" w:line="269"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Fiscal 2004 includes a gain of $1.2 million that the Company recognized in connection with the sale of 32 of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in the fourth quarter. Results also include income of $2.5 million recognized in the second and fourth quarters as a result of the reversal of excess restructuring reserves.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Fiscal 2003 includes income of $646,000 as a result of revised accruals for certain landlord settlements.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Rochester Acquisition</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October 29, 2004 the Company completed the acquisition of substantially all of the assets of Rochester Big &amp; Tall Clothing (the “Rochester Acquisition”). The purchase price was $15.0 million in cash and the assumption of bank and subordinated debt of approximately $5.0 million, in addition to the assumption of identified operating liabilities such as accounts payable and accrued liabilities. The $5.0 million that the Company assumed in subordinated debt from Rochester was paid in full on October 29, 2004. There is a potential payment over a three-year period of an additional $4.0 million, which is subject to an earn-out provision.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purchase price was allocated as follows:</w:t>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0" w:type="dxa"/>
            <w:vAlign w:val="bottom"/>
            <w:gridSpan w:val="2"/>
            <w:shd w:val="clear" w:color="auto" w:fill="CCEEFF"/>
          </w:tcPr>
          <w:p>
            <w:pPr>
              <w:ind w:left="49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Accounts receivable</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Prepaid expenses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assets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Trademarks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Accounts payable</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cash paid for assets acquired and liabilities assumed</w:t>
            </w:r>
          </w:p>
        </w:tc>
        <w:tc>
          <w:tcPr>
            <w:tcW w:w="49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980" w:type="dxa"/>
            <w:vAlign w:val="bottom"/>
            <w:vMerge w:val="restart"/>
          </w:tcPr>
          <w:p>
            <w:pPr>
              <w:jc w:val="right"/>
              <w:ind w:right="4172"/>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financed the transaction with a $7.5 million term loan from Bank of America Retail Group, Inc., together with borrowings on its existing credit facility, which was amended in connection with the acquisition. See Note C for a detailed discussion of the borrowings.</w:t>
      </w:r>
    </w:p>
    <w:p>
      <w:pPr>
        <w:spacing w:after="0" w:line="160" w:lineRule="exact"/>
        <w:rPr>
          <w:sz w:val="20"/>
          <w:szCs w:val="20"/>
          <w:color w:val="auto"/>
        </w:rPr>
      </w:pPr>
    </w:p>
    <w:p>
      <w:pPr>
        <w:jc w:val="right"/>
        <w:ind w:right="9140"/>
        <w:spacing w:after="0"/>
        <w:rPr>
          <w:sz w:val="20"/>
          <w:szCs w:val="20"/>
          <w:color w:val="auto"/>
        </w:rPr>
      </w:pPr>
      <w:r>
        <w:rPr>
          <w:rFonts w:ascii="Arial" w:cs="Arial" w:eastAsia="Arial" w:hAnsi="Arial"/>
          <w:sz w:val="15"/>
          <w:szCs w:val="15"/>
          <w:b w:val="1"/>
          <w:bCs w:val="1"/>
          <w:color w:val="auto"/>
        </w:rPr>
        <w:t>L. Sale of Divested Businesses</w:t>
      </w:r>
    </w:p>
    <w:p>
      <w:pPr>
        <w:spacing w:after="0" w:line="131" w:lineRule="exact"/>
        <w:rPr>
          <w:sz w:val="20"/>
          <w:szCs w:val="20"/>
          <w:color w:val="auto"/>
        </w:rPr>
      </w:pPr>
    </w:p>
    <w:p>
      <w:pPr>
        <w:jc w:val="right"/>
        <w:ind w:right="9160"/>
        <w:spacing w:after="0"/>
        <w:rPr>
          <w:sz w:val="20"/>
          <w:szCs w:val="20"/>
          <w:color w:val="auto"/>
        </w:rPr>
      </w:pPr>
      <w:r>
        <w:rPr>
          <w:rFonts w:ascii="Arial" w:cs="Arial" w:eastAsia="Arial" w:hAnsi="Arial"/>
          <w:sz w:val="17"/>
          <w:szCs w:val="17"/>
          <w:b w:val="1"/>
          <w:bCs w:val="1"/>
          <w:i w:val="1"/>
          <w:iCs w:val="1"/>
          <w:color w:val="auto"/>
        </w:rPr>
        <w:t>Ecko Unltd.</w:t>
      </w:r>
      <w:r>
        <w:rPr>
          <w:rFonts w:ascii="Arial" w:cs="Arial" w:eastAsia="Arial" w:hAnsi="Arial"/>
          <w:sz w:val="21"/>
          <w:szCs w:val="21"/>
          <w:b w:val="1"/>
          <w:bCs w:val="1"/>
          <w:i w:val="1"/>
          <w:iCs w:val="1"/>
          <w:color w:val="auto"/>
          <w:vertAlign w:val="superscript"/>
        </w:rPr>
        <w:t>®</w:t>
      </w:r>
      <w:r>
        <w:rPr>
          <w:rFonts w:ascii="Arial" w:cs="Arial" w:eastAsia="Arial" w:hAnsi="Arial"/>
          <w:sz w:val="17"/>
          <w:szCs w:val="17"/>
          <w:b w:val="1"/>
          <w:bCs w:val="1"/>
          <w:i w:val="1"/>
          <w:iCs w:val="1"/>
          <w:color w:val="auto"/>
        </w:rPr>
        <w:t xml:space="preserve"> Joint Venture</w:t>
      </w:r>
    </w:p>
    <w:p>
      <w:pPr>
        <w:spacing w:after="0" w:line="57" w:lineRule="exact"/>
        <w:rPr>
          <w:sz w:val="20"/>
          <w:szCs w:val="20"/>
          <w:color w:val="auto"/>
        </w:rPr>
      </w:pPr>
    </w:p>
    <w:p>
      <w:pPr>
        <w:ind w:firstLine="456"/>
        <w:spacing w:after="0" w:line="244" w:lineRule="auto"/>
        <w:rPr>
          <w:sz w:val="20"/>
          <w:szCs w:val="20"/>
          <w:color w:val="auto"/>
        </w:rPr>
      </w:pPr>
      <w:r>
        <w:rPr>
          <w:rFonts w:ascii="Arial" w:cs="Arial" w:eastAsia="Arial" w:hAnsi="Arial"/>
          <w:sz w:val="18"/>
          <w:szCs w:val="18"/>
          <w:color w:val="auto"/>
        </w:rPr>
        <w:t>Beginning in March 2002 and through July 30, 2004, the Company operated a joint venture with Ecko.Complex, LLC (“Ecko”) under which the Company, a 50.5% partner, owned and managed retail outlet stores bearing the name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featuring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merchandise. Ecko, a 49.5% partner, contributed to the joint venture the use of its trademark and the merchandise requirements, at cost, of the retail outlet stores. Under the joint venture arrangement, the Company contributed all real estate and operating requirements for the retail outlet stores, including, but not limited to, the real estate leases, payroll needs and advertising. Each partner shared in the operating profits of the joint venture, after each partner had received reimbursements for its cost contributions. For financial reporting purposes, Ecko’s 49.5% ownership in the joint venture was included in the Company’s consolidated financial statements as a minority interest, through July 30, 2004.</w:t>
      </w:r>
    </w:p>
    <w:p>
      <w:pPr>
        <w:spacing w:after="0" w:line="15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July 30, 2004, the Company sold to Ecko its 50.5% interest in the joint venture for a purchase price of $800,000 in cash and a secured promissory note in the principal amount of $6.2 million. The secured promissory note was paid in full by the end of fiscal 2004. Through the end of fiscal 2004, the Company received fees based on a percentage of sales for providing transitional services to the joint venture related to its operating and accounting systems. 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was also paid in full by the end of fiscal 2004.</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above sales transaction resulted in a gain of approximately $3.1 million, which is included in the Consolidated Statements of Operations as a component of “Other income (expense)” for fiscal 2004.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Levi’s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/Dockers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Business</w:t>
      </w:r>
    </w:p>
    <w:p>
      <w:pPr>
        <w:spacing w:after="0" w:line="46" w:lineRule="exact"/>
        <w:rPr>
          <w:sz w:val="20"/>
          <w:szCs w:val="20"/>
          <w:color w:val="auto"/>
        </w:rPr>
      </w:pPr>
    </w:p>
    <w:p>
      <w:pPr>
        <w:ind w:right="60" w:firstLine="456"/>
        <w:spacing w:after="0" w:line="260" w:lineRule="auto"/>
        <w:rPr>
          <w:sz w:val="20"/>
          <w:szCs w:val="20"/>
          <w:color w:val="auto"/>
        </w:rPr>
      </w:pPr>
      <w:r>
        <w:rPr>
          <w:rFonts w:ascii="Arial" w:cs="Arial" w:eastAsia="Arial" w:hAnsi="Arial"/>
          <w:sz w:val="17"/>
          <w:szCs w:val="17"/>
          <w:color w:val="auto"/>
        </w:rPr>
        <w:t>During the fourth quarter of fiscal 2004, the Company entered into an Asset Purchase Agreement with Hub Holding Corp., an affiliate of Sun Capital Partners, Inc. (“Hub Holding”), pursuant to which the Company sold 32 of its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Hub Holding. The closing of the transaction occurred on November 24, 2004. The sale price was approximately $12.8 million in cash. In addition, the Company also received $325,000 as part of an earn out payment based on the stores’ financial performance through fiscal 2004. In connection with the sale, Hub Holding assumed all outstanding accounts payable and accrued liabilities incurred in the ordinary course of business, including the remaining lease obligations for these 32 store locations. The Company recognized a gain on the sale of $1.2 million which was included in discontinued operations for fiscal 2004. In addition, the Company recognized income of approximately $2.5 million related to the reversal of restructuring reserves no longer needed as a result of the sale. See Note J, “Discontinued Operations”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the Casual Male acquisition in May 2002 through the end of fiscal 2004, the Company operated its business under two reportable store segments:</w:t>
      </w:r>
    </w:p>
    <w:p>
      <w:pPr>
        <w:spacing w:after="0" w:line="38" w:lineRule="exact"/>
        <w:rPr>
          <w:sz w:val="20"/>
          <w:szCs w:val="20"/>
          <w:color w:val="auto"/>
        </w:rPr>
      </w:pPr>
    </w:p>
    <w:p>
      <w:pPr>
        <w:ind w:right="40" w:firstLine="8"/>
        <w:spacing w:after="0" w:line="233"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Big &amp; Tall Apparel business and (ii) Other Branded Apparel businesses. However, with the completion of the closure of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sale of its Ecko joint venture interest, the Company completely exited all operations of its Other Branded Apparel business by the end of fiscal 2004. As a result, beginning in fiscal 2005 the Company began reporting its</w:t>
      </w:r>
    </w:p>
    <w:p>
      <w:pPr>
        <w:spacing w:after="0"/>
        <w:rPr>
          <w:rFonts w:ascii="Arial" w:cs="Arial" w:eastAsia="Arial" w:hAnsi="Arial"/>
          <w:sz w:val="18"/>
          <w:szCs w:val="18"/>
          <w:color w:val="auto"/>
        </w:rPr>
      </w:pPr>
      <w:r>
        <w:rPr>
          <w:rFonts w:ascii="Arial" w:cs="Arial" w:eastAsia="Arial" w:hAnsi="Arial"/>
          <w:sz w:val="18"/>
          <w:szCs w:val="18"/>
          <w:color w:val="auto"/>
        </w:rPr>
        <w:t>operations as one reportable segment, Big &amp; Tall Men’s Apparel, which consists of the Company’s Casual Male and Rochester businesses.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2004 and fiscal 2003, the Company’s results were reported in the following segments: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The Big &amp; Tall Apparel business: </w:t>
      </w:r>
      <w:r>
        <w:rPr>
          <w:rFonts w:ascii="Arial" w:cs="Arial" w:eastAsia="Arial" w:hAnsi="Arial"/>
          <w:sz w:val="16"/>
          <w:szCs w:val="16"/>
          <w:color w:val="auto"/>
        </w:rPr>
        <w:t>This group included the Company’s Casual Male Big &amp; Tall retail stores, Casual Male Big &amp; Tall outlet stores, Casual</w:t>
      </w:r>
      <w:r>
        <w:rPr>
          <w:rFonts w:ascii="Arial" w:cs="Arial" w:eastAsia="Arial" w:hAnsi="Arial"/>
          <w:sz w:val="16"/>
          <w:szCs w:val="16"/>
          <w:i w:val="1"/>
          <w:iCs w:val="1"/>
          <w:color w:val="auto"/>
        </w:rPr>
        <w:t xml:space="preserve"> </w:t>
      </w:r>
      <w:r>
        <w:rPr>
          <w:rFonts w:ascii="Arial" w:cs="Arial" w:eastAsia="Arial" w:hAnsi="Arial"/>
          <w:sz w:val="16"/>
          <w:szCs w:val="16"/>
          <w:color w:val="auto"/>
        </w:rPr>
        <w:t>Male at Sears Canada stores, and, from October 2004, its 22 Rochester Big &amp; Tall stores in addition to its catalog and e-commerce businesses.</w:t>
      </w:r>
    </w:p>
    <w:p>
      <w:pPr>
        <w:spacing w:after="0" w:line="4" w:lineRule="exact"/>
        <w:rPr>
          <w:sz w:val="20"/>
          <w:szCs w:val="20"/>
          <w:color w:val="auto"/>
        </w:rPr>
      </w:pPr>
    </w:p>
    <w:p>
      <w:pPr>
        <w:ind w:right="80" w:firstLine="456"/>
        <w:spacing w:after="0" w:line="227"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This segment included the results of operations through July 30, 2004 of the 29 Ecko Unltd.</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owned and operated through a joint venture with Ecko.Complex, LLC. On July 30, 2004, the Company sold its 50.5% interest in the joint venture to Ecko.Complex, LLC. This segment excluded the operating results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since all operations were reclassed to discontinued operations for fiscal 2004 and fiscal 2003. See Note J for discontinued operations.</w:t>
      </w:r>
    </w:p>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A above. The Company evaluates individual store profitability in terms of a store’s “Operating Profit” which is defined by the Company as gross margin less occupancy costs, direct selling costs and an allocation of indirect selling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results from continuing operations on a segment basis for fiscal 2004 and fiscal 2003: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0"/>
              </w:rPr>
              <w:t>Fiscal 2004</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2003</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2"/>
              </w:rPr>
              <w:t>Big &amp; Tall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Branded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Big &amp; Tall</w:t>
            </w: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Branded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Apparel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Apparel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9"/>
              </w:rPr>
              <w:t>Apparel</w:t>
            </w: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Apparel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5"/>
              </w:rPr>
              <w:t>Discontinued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business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business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business</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79"/>
              </w:rPr>
              <w:t>business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Operations(1)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352,428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12,619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365,047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319,209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20,096</w:t>
            </w:r>
          </w:p>
        </w:tc>
        <w:tc>
          <w:tcPr>
            <w:tcW w:w="32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150,440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132,525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127,927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132,554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109,326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(1,361)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635</w:t>
            </w:r>
          </w:p>
        </w:tc>
        <w:tc>
          <w:tcPr>
            <w:tcW w:w="32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79,858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79,858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67,533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5,821</w:t>
            </w:r>
          </w:p>
        </w:tc>
        <w:tc>
          <w:tcPr>
            <w:tcW w:w="320" w:type="dxa"/>
            <w:vAlign w:val="bottom"/>
            <w:gridSpan w:val="2"/>
          </w:tcPr>
          <w:p>
            <w:pPr>
              <w:jc w:val="center"/>
              <w:ind w:left="1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25,319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Fixed assets(2)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61,047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89,349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81,306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2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Balances represent assets and liabilities as of January 31, 2004 for the Company’s discontinued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For results of operations for discontinued operations see Note J.</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Big &amp; Tall Apparel business includes corporate assets of $43.1 million and $39.6 million for fiscal 2004 and fiscal 2003,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Big &amp; Tall Apparel business includes corporate non-merchandise payables of $9.4 million and $6.3 million,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Subsequent Event (Unaudited)</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Subsequent to year end, on January 30, 2006, the Company entered into a sale-leaseback transaction with Spirit. Pursuant to the sale-leaseback transaction, the Company sold to Spirit its rights, title and interest in its headquarters and distribution center property for $57.0 million. The property consists of a 755,992 gross square foot building located on approximately 27.3 acres in Canton, MA. The transaction funded and closed on February 1,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At the closing, the Company entered into a Lease Agreement with SPE, a wholly-owned subsidiary of Spirit (the “Lease Agreement”) whereby the Company agreed to lease the property back for an annual rent of $4.6 million, payable monthly and in advance. The initial period of the Lease Agreement is for 20 years and will expire January 31, 2026 unless an option period is exercised. At that time,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the first quarter of fiscal 2006, the Company will realize a gain of approximately $29.3 million on the sale of property, net of approximately $1.0 million of transaction costs. The gain will be deferred and amortized over the initial term of the related lease agreement of 20 years in accordance with SFAS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annual recognition of the gain of approximately $1.5 million will offset the expected annual rent pursuant to the lease of $4.6 million.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used the net proceeds from the sale of approximately $56.0 million to reduce outstanding borrowings under its Amended Credit Facility and to repay in full its term loan.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 forma Presentation (Unaudited)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including unaudited pro forma condensed financials statements for fiscal 2005 to provide a summary of the sale-leaseback transaction and its impact on the Company’s liquidity, long-term debt obligations and results of operations as if the transaction had occurred during fiscal 2005. The unaudited pro-forma condensed balance sheet assumes that the sale-leaseback transaction occurred on the last day of fiscal 2005. The unaudited pro-forma condensed income statement assumes that the sale-leaseback transaction occurred on the first day of fiscal 2005. The Company believes that this information will benefit the understanding of this transaction’s impact on future operating results and financial position. The Company’s results of operations, on a pro forma basis, show that the impact of the sale-leaseback transaction will be accretive to net income; however, it will cause the Company’s operating income to decrease as a result of the shift from interest expense to occupancy costs.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unaudited pro forma condensed financial statements have been prepared based on available information, using assumptions that the Company’s management believes are reasonable. The results do not purport to represent the actual results of operations or financial position that would have occurred if the transaction had occurred on the dates specified above. The following results are also not necessarily indicative of the results that may be achieved in the future.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Unaudited</w:t>
            </w:r>
          </w:p>
        </w:tc>
      </w:tr>
      <w:tr>
        <w:trPr>
          <w:trHeight w:val="149"/>
        </w:trPr>
        <w:tc>
          <w:tcPr>
            <w:tcW w:w="1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Consolidated Condensed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Pro-Forma Balance</w:t>
            </w:r>
          </w:p>
        </w:tc>
      </w:tr>
      <w:tr>
        <w:trPr>
          <w:trHeight w:val="149"/>
        </w:trPr>
        <w:tc>
          <w:tcPr>
            <w:tcW w:w="1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0"/>
              </w:rPr>
              <w:t>Balance Sheet at</w:t>
            </w:r>
          </w:p>
        </w:tc>
        <w:tc>
          <w:tcPr>
            <w:tcW w:w="1000" w:type="dxa"/>
            <w:vAlign w:val="bottom"/>
          </w:tcPr>
          <w:p>
            <w:pPr>
              <w:spacing w:after="0"/>
              <w:rPr>
                <w:sz w:val="12"/>
                <w:szCs w:val="12"/>
                <w:color w:val="auto"/>
              </w:rPr>
            </w:pPr>
          </w:p>
        </w:tc>
        <w:tc>
          <w:tcPr>
            <w:tcW w:w="2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Pro-forma adjustments</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Sheet at</w:t>
            </w:r>
          </w:p>
        </w:tc>
      </w:tr>
      <w:tr>
        <w:trPr>
          <w:trHeight w:val="175"/>
        </w:trPr>
        <w:tc>
          <w:tcPr>
            <w:tcW w:w="11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January 28, 2006</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Sale-leaseback</w:t>
            </w: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January 28, 2006</w:t>
            </w:r>
          </w:p>
        </w:tc>
      </w:tr>
      <w:tr>
        <w:trPr>
          <w:trHeight w:val="142"/>
        </w:trPr>
        <w:tc>
          <w:tcPr>
            <w:tcW w:w="1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12,926 (a)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Assets held for sale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26,629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680"/>
              <w:spacing w:after="0"/>
              <w:rPr>
                <w:sz w:val="20"/>
                <w:szCs w:val="20"/>
                <w:color w:val="auto"/>
              </w:rPr>
            </w:pPr>
            <w:r>
              <w:rPr>
                <w:rFonts w:ascii="Arial" w:cs="Arial" w:eastAsia="Arial" w:hAnsi="Arial"/>
                <w:sz w:val="18"/>
                <w:szCs w:val="18"/>
                <w:color w:val="auto"/>
              </w:rPr>
              <w:t>(26,629)(b)</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91,546</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91,546</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8,216</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Goodwill and other intangibles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89,618</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89,618</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20" w:type="dxa"/>
            <w:vAlign w:val="bottom"/>
          </w:tcPr>
          <w:p>
            <w:pPr>
              <w:spacing w:after="0"/>
              <w:rPr>
                <w:sz w:val="18"/>
                <w:szCs w:val="18"/>
                <w:color w:val="auto"/>
              </w:rPr>
            </w:pPr>
          </w:p>
        </w:tc>
      </w:tr>
      <w:tr>
        <w:trPr>
          <w:trHeight w:val="222"/>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283,831</w:t>
            </w:r>
          </w:p>
        </w:tc>
        <w:tc>
          <w:tcPr>
            <w:tcW w:w="112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ind w:left="680"/>
              <w:spacing w:after="0"/>
              <w:rPr>
                <w:sz w:val="20"/>
                <w:szCs w:val="20"/>
                <w:color w:val="auto"/>
              </w:rPr>
            </w:pPr>
            <w:r>
              <w:rPr>
                <w:rFonts w:ascii="Arial" w:cs="Arial" w:eastAsia="Arial" w:hAnsi="Arial"/>
                <w:sz w:val="18"/>
                <w:szCs w:val="18"/>
                <w:color w:val="auto"/>
              </w:rPr>
              <w:t>(13,703)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270,128</w:t>
            </w:r>
          </w:p>
        </w:tc>
      </w:tr>
      <w:tr>
        <w:trPr>
          <w:trHeight w:val="20"/>
        </w:trPr>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(5,625)(c)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Deferred gain</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740"/>
              <w:spacing w:after="0"/>
              <w:rPr>
                <w:sz w:val="20"/>
                <w:szCs w:val="20"/>
                <w:color w:val="auto"/>
              </w:rPr>
            </w:pPr>
            <w:r>
              <w:rPr>
                <w:rFonts w:ascii="Arial" w:cs="Arial" w:eastAsia="Arial" w:hAnsi="Arial"/>
                <w:sz w:val="18"/>
                <w:szCs w:val="18"/>
                <w:color w:val="auto"/>
              </w:rPr>
              <w:t>29,309 (d)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29,309</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24,592</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24,592</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(37,387)(c)</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95,437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95,437</w:t>
            </w:r>
          </w:p>
        </w:tc>
        <w:tc>
          <w:tcPr>
            <w:tcW w:w="2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20" w:type="dxa"/>
            <w:vAlign w:val="bottom"/>
          </w:tcPr>
          <w:p>
            <w:pPr>
              <w:spacing w:after="0"/>
              <w:rPr>
                <w:sz w:val="19"/>
                <w:szCs w:val="19"/>
                <w:color w:val="auto"/>
              </w:rPr>
            </w:pP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(13,703)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270,128</w:t>
            </w:r>
          </w:p>
        </w:tc>
        <w:tc>
          <w:tcPr>
            <w:tcW w:w="2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excess cash from the transaction which will be used for working capital needs.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net book value at January 28, 2006 of the property sold.</w:t>
      </w:r>
    </w:p>
    <w:p>
      <w:pPr>
        <w:spacing w:after="0" w:line="9"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portion of the proceeds were used to repay in full the Company’s term loan for $5.6 million and to repay all borrowings outstanding under its credit facility.</w:t>
      </w:r>
    </w:p>
    <w:p>
      <w:pPr>
        <w:ind w:left="460" w:right="12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recognized a gain of $29.3 million, net of transaction costs, on the sale-leaseback transaction which will be deferred and amortized over the respective lease agreement as a reduction to rent expense. Approximately $1.5 million of the $29.3 million will be classified as a current portion of the deferred gain.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Consolidated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Condensed Statement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Pro-Forma 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Operations for the year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Statement of Operations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ended</w:t>
            </w:r>
          </w:p>
        </w:tc>
        <w:tc>
          <w:tcPr>
            <w:tcW w:w="540" w:type="dxa"/>
            <w:vAlign w:val="bottom"/>
          </w:tcPr>
          <w:p>
            <w:pPr>
              <w:spacing w:after="0"/>
              <w:rPr>
                <w:sz w:val="12"/>
                <w:szCs w:val="12"/>
                <w:color w:val="auto"/>
              </w:rPr>
            </w:pPr>
          </w:p>
        </w:tc>
        <w:tc>
          <w:tcPr>
            <w:tcW w:w="2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Pro-forma adjustments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the 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January 28, 2006</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6"/>
              </w:rPr>
              <w:t>for Sale-leaseback</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January 28,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421,383</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182,180</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151,890</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8"/>
                <w:szCs w:val="18"/>
                <w:color w:val="auto"/>
              </w:rPr>
              <w:t>3,095(e)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(755)(f)</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17,553</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8"/>
                <w:szCs w:val="18"/>
                <w:color w:val="auto"/>
              </w:rPr>
              <w:t>(2,340)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(8,553)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3,700(g)</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w:t>
            </w: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1,360</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1,360</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share—basic</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40" w:type="dxa"/>
            <w:vAlign w:val="bottom"/>
            <w:gridSpan w:val="2"/>
            <w:vMerge w:val="continue"/>
          </w:tcPr>
          <w:p>
            <w:pPr>
              <w:spacing w:after="0"/>
              <w:rPr>
                <w:sz w:val="18"/>
                <w:szCs w:val="18"/>
                <w:color w:val="auto"/>
              </w:rPr>
            </w:pP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Weighted average number of common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34,306</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35,860</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30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net annual occupancy cost under the lease agreement of $4.6 million offset by the annual accretion of the deferred gain on the sale of the property of $1.5 million.</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elimination of annual depreciation associated with the building and land which were sold as part of the sale-leaseback transaction.</w:t>
      </w:r>
    </w:p>
    <w:p>
      <w:pPr>
        <w:spacing w:after="0" w:line="32" w:lineRule="exact"/>
        <w:rPr>
          <w:rFonts w:ascii="Arial" w:cs="Arial" w:eastAsia="Arial" w:hAnsi="Arial"/>
          <w:sz w:val="16"/>
          <w:szCs w:val="16"/>
          <w:color w:val="auto"/>
        </w:rPr>
      </w:pPr>
    </w:p>
    <w:p>
      <w:pPr>
        <w:ind w:left="460" w:right="40" w:hanging="452"/>
        <w:spacing w:after="0" w:line="32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discussed above, a portion of the proceeds from the sale of the property were used to repay some of the Company’s debt obligations. As a result of these prepayments, the Company has eliminated the interest expense incurred in fiscal 2005 on the related debt, which was approximately $3.7 million.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Selected Quarterly Data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Third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Quarter</w:t>
            </w:r>
          </w:p>
        </w:tc>
        <w:tc>
          <w:tcPr>
            <w:tcW w:w="40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9"/>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2005</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97,298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100,620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93,770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129,695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40,239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38,585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(loss) from continuing operations(1)</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(1,881)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operations(1)</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(loss)(1)</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(1,881)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Earnings (loss) per share—diluted(2)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2004</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84,175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88,076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74,646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118,150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30,232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(loss) from continuing operations(3)</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(3,480)</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8,271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operations(3)</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(loss)(3)</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(5,094)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7,885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Earnings (loss) per share—diluted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8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Results for fiscal 2005 include a $1.2 million prepayment penalty associated with the Company’s prepayment of its outstanding mortgage note. This expense was partially offset by $0.4 million of income from the discount realized from the buyback of approximately $5.3 million of the Company’s Convertible Notes and a write-off of $0.2 million associated with the deferred financing costs on the notes. Results for fiscal 2005 also include a benefit of $3.1 million related to a partial reversal of the Company’s income tax valuation allowance. See Note D.</w:t>
      </w:r>
    </w:p>
    <w:p>
      <w:pPr>
        <w:spacing w:after="0" w:line="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Diluted earnings per share for the fourth quarter of fiscal 2005 include the impact of the Company’s convertible notes. Such notes had an anti-dilutive effect for the first three quarters and full fiscal year.</w:t>
      </w:r>
    </w:p>
    <w:p>
      <w:pPr>
        <w:jc w:val="both"/>
        <w:ind w:left="460" w:right="40" w:hanging="452"/>
        <w:spacing w:after="0" w:line="260"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Results for fiscal 2004 include a gain of $3.1 million which was recognized in the second quarter in connection with the Company’s sale of its joint venture interest in Ecko Unltd</w:t>
      </w:r>
      <w:r>
        <w:rPr>
          <w:rFonts w:ascii="Arial" w:cs="Arial" w:eastAsia="Arial" w:hAnsi="Arial"/>
          <w:sz w:val="20"/>
          <w:szCs w:val="20"/>
          <w:color w:val="auto"/>
          <w:vertAlign w:val="superscript"/>
        </w:rPr>
        <w:t>®</w:t>
      </w:r>
      <w:r>
        <w:rPr>
          <w:rFonts w:ascii="Arial" w:cs="Arial" w:eastAsia="Arial" w:hAnsi="Arial"/>
          <w:sz w:val="16"/>
          <w:szCs w:val="16"/>
          <w:color w:val="auto"/>
        </w:rPr>
        <w:t>. This gain was partially offset during the second quarter by $1.9 million of costs associated with the Company’s prepayment of debt and a charge of $0.9 million for the write-off of certain costs associated with the postponement of the Company’s spin-off of its subsidiary, LPI.</w:t>
      </w:r>
    </w:p>
    <w:p>
      <w:pPr>
        <w:ind w:left="460" w:right="180"/>
        <w:spacing w:after="0" w:line="233" w:lineRule="auto"/>
        <w:rPr>
          <w:rFonts w:ascii="Arial" w:cs="Arial" w:eastAsia="Arial" w:hAnsi="Arial"/>
          <w:sz w:val="16"/>
          <w:szCs w:val="16"/>
          <w:color w:val="auto"/>
        </w:rPr>
      </w:pPr>
      <w:r>
        <w:rPr>
          <w:rFonts w:ascii="Arial" w:cs="Arial" w:eastAsia="Arial" w:hAnsi="Arial"/>
          <w:sz w:val="18"/>
          <w:szCs w:val="18"/>
          <w:color w:val="auto"/>
        </w:rPr>
        <w:t>Discontinued Operations for fiscal 2004 include a gain of $1.2 million related to the sale of the Company’s 32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was recognized in the fourth quarter and approximately $2.5 million of income recognized in the second and fourth quarters in connection with the reversal of excess restructuring reserves.</w:t>
      </w:r>
    </w:p>
    <w:p>
      <w:pPr>
        <w:spacing w:after="0" w:line="1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Consistent with the retail apparel industry, the Company’s business is seasonal with the largest volume of its sales generated during the Father’s Day selling season in June and the Christmas selling season in December. As a result of the impact of the Christmas selling season, the majority of the Company’s operating income is generated in the fourth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28, 2006. Based on this evaluation, our Chief Executive Officer and Chief Financial Officer concluded that, as of January 28, 2006,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The Company’s internal control over financial reporting is a process designed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62" w:lineRule="exact"/>
        <w:rPr>
          <w:sz w:val="20"/>
          <w:szCs w:val="20"/>
          <w:color w:val="auto"/>
        </w:rPr>
      </w:pPr>
    </w:p>
    <w:p>
      <w:pPr>
        <w:ind w:left="1120" w:hanging="217"/>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83" w:lineRule="exact"/>
        <w:rPr>
          <w:rFonts w:ascii="Arial" w:cs="Arial" w:eastAsia="Arial" w:hAnsi="Arial"/>
          <w:sz w:val="16"/>
          <w:szCs w:val="16"/>
          <w:color w:val="auto"/>
        </w:rPr>
      </w:pPr>
    </w:p>
    <w:p>
      <w:pPr>
        <w:ind w:left="460" w:right="120" w:firstLine="443"/>
        <w:spacing w:after="0" w:line="259" w:lineRule="auto"/>
        <w:tabs>
          <w:tab w:leader="none" w:pos="11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Management assessed the design and effectiveness of the Company’s internal control over financial reporting as of January 28, 2006. In making this assessment, management used the criteria set forth by the Committee of Sponsoring Organizations of the Treadway Commission (COSO) in Internal Control-Integrated Framework.</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on management’s assessment and those criteria, management determined that the Company maintained effective internal control over financial reporting as of January 28, 2006.</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indicated in its Attestation Report included below, Ernst &amp; Young LLP, the independent registered public accounting firm that audited the financial statements included in this report, has attested to management’s assessment regarding the effectiveness of its internal control over financial reporting as of January 28, 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80" w:firstLine="2695"/>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Casual Male Retail Group, Inc.:</w:t>
      </w:r>
    </w:p>
    <w:p>
      <w:pPr>
        <w:spacing w:after="0" w:line="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Annual Report on Internal Control Over Financial Reporting, that Casual Male Retail Group, Inc. maintained effective internal control over financial reporting as of January 28, 2006,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management’s assessment that Casual Male Retail Group, Inc. maintained effective internal control over financial reporting as of January 28, 2006, is fairly stated, in all material respects, based on the COSO criteria. Also, in our opinion, Casual Male Retail Group, Inc. maintained, in all material respects, effective internal control over financial reporting as of January 28, 2006, based on the COSO criteria.</w:t>
      </w:r>
    </w:p>
    <w:p>
      <w:pPr>
        <w:spacing w:after="0" w:line="10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Casual Male Retail Group, Inc. as of January 28, 2006 and January 29, 2005 and the related consolidated statements of operations, changes in stockholders’ equity and cash flows for each of the three years in the period ended January 28, 2006 of Casual Male Retail Group, Inc. and our report dated March 29, 2006 expressed an unqualified opinion thereon.</w:t>
      </w:r>
    </w:p>
    <w:p>
      <w:pPr>
        <w:spacing w:after="0" w:line="224"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28, 2006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November 16, 2005, we entered into a Buying Agency Agreement with Li &amp; Fung (Trading) Limited, a Company incorporated in Hong Kong. Pursuant to the agreement, we have appointed Li &amp; Fung as a non-exclusive buying agent of the Company to assist us in purchasing merchandise in certain foreign countries. The agreement will be in effect for a year, and thereafter will continue until terminated by either party upon receiving 60 days written notice.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28, 2006 in connection with our 2006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January 28,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January 28,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January 28,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January 28,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January 28, 2006.</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15(a)(1) Financial Statements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43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Schedule II “Valuation and Qualifying Accounts” for the three fiscal years ended January 28, 2006, January 29, 2005 and January 31, 2004 is set forth on page 81 of this Annual Report.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other schedules, other than the schedule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82 of this Annual Report.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28, 2006, January 29, 2005 and January 31, 2004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Balance at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Charges/</w:t>
            </w:r>
          </w:p>
        </w:tc>
        <w:tc>
          <w:tcPr>
            <w:tcW w:w="5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Provision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5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55"/>
        </w:trPr>
        <w:tc>
          <w:tcPr>
            <w:tcW w:w="60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3"/>
                <w:szCs w:val="13"/>
                <w:color w:val="auto"/>
              </w:rPr>
            </w:pPr>
          </w:p>
        </w:tc>
        <w:tc>
          <w:tcPr>
            <w:tcW w:w="1500" w:type="dxa"/>
            <w:vAlign w:val="bottom"/>
            <w:gridSpan w:val="2"/>
          </w:tcPr>
          <w:p>
            <w:pPr>
              <w:jc w:val="right"/>
              <w:ind w:right="912"/>
              <w:spacing w:after="0" w:line="148" w:lineRule="exact"/>
              <w:rPr>
                <w:sz w:val="20"/>
                <w:szCs w:val="20"/>
                <w:color w:val="auto"/>
              </w:rPr>
            </w:pPr>
            <w:r>
              <w:rPr>
                <w:rFonts w:ascii="Arial" w:cs="Arial" w:eastAsia="Arial" w:hAnsi="Arial"/>
                <w:sz w:val="14"/>
                <w:szCs w:val="14"/>
                <w:b w:val="1"/>
                <w:bCs w:val="1"/>
                <w:color w:val="auto"/>
                <w:w w:val="87"/>
              </w:rPr>
              <w:t>(Benefit)</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offs</w:t>
            </w:r>
          </w:p>
        </w:tc>
        <w:tc>
          <w:tcPr>
            <w:tcW w:w="580" w:type="dxa"/>
            <w:vAlign w:val="bottom"/>
          </w:tcPr>
          <w:p>
            <w:pPr>
              <w:spacing w:after="0"/>
              <w:rPr>
                <w:sz w:val="13"/>
                <w:szCs w:val="13"/>
                <w:color w:val="auto"/>
              </w:rPr>
            </w:pPr>
          </w:p>
        </w:tc>
        <w:tc>
          <w:tcPr>
            <w:tcW w:w="7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60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79"/>
              </w:rPr>
              <w:t>thousands)</w:t>
            </w:r>
          </w:p>
        </w:tc>
        <w:tc>
          <w:tcPr>
            <w:tcW w:w="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Reserves</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Year ended January 31, 2004 (fiscal 2003)</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  17,363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512"/>
              <w:spacing w:after="0"/>
              <w:rPr>
                <w:sz w:val="20"/>
                <w:szCs w:val="20"/>
                <w:color w:val="auto"/>
              </w:rPr>
            </w:pPr>
            <w:r>
              <w:rPr>
                <w:rFonts w:ascii="Arial" w:cs="Arial" w:eastAsia="Arial" w:hAnsi="Arial"/>
                <w:sz w:val="18"/>
                <w:szCs w:val="18"/>
                <w:color w:val="auto"/>
              </w:rPr>
              <w:t>(646)(1)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$12,886</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$3,831(2)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Year ended January 29, 2005 (fiscal 2004)</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(2,538)(3)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Year ended January 28, 2006 (fiscal 2005)</w:t>
            </w:r>
          </w:p>
        </w:tc>
        <w:tc>
          <w:tcPr>
            <w:tcW w:w="58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reversal of excess reserves related to landlord settlements.</w:t>
      </w:r>
    </w:p>
    <w:p>
      <w:pPr>
        <w:spacing w:after="0" w:line="15" w:lineRule="exact"/>
        <w:rPr>
          <w:rFonts w:ascii="Arial" w:cs="Arial" w:eastAsia="Arial" w:hAnsi="Arial"/>
          <w:sz w:val="18"/>
          <w:szCs w:val="18"/>
          <w:color w:val="auto"/>
        </w:rPr>
      </w:pPr>
    </w:p>
    <w:p>
      <w:pPr>
        <w:ind w:left="460" w:right="8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the reserve balance at January 31, 2004 is a markdown reserve for inventory of $0.8 million, which was included in inventory on the consolidated balance sheet.</w:t>
      </w: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the reversal of excess reserves for the Company’s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that were closed or sold in fiscal 2004.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43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Exhibits</w:t>
            </w:r>
          </w:p>
        </w:tc>
        <w:tc>
          <w:tcPr>
            <w:tcW w:w="10900" w:type="dxa"/>
            <w:vAlign w:val="bottom"/>
            <w:vMerge w:val="restart"/>
          </w:tcPr>
          <w:p>
            <w:pPr>
              <w:ind w:left="780"/>
              <w:spacing w:after="0"/>
              <w:rPr>
                <w:sz w:val="20"/>
                <w:szCs w:val="20"/>
                <w:color w:val="auto"/>
              </w:rPr>
            </w:pPr>
            <w:r>
              <w:rPr>
                <w:rFonts w:ascii="Arial" w:cs="Arial" w:eastAsia="Arial" w:hAnsi="Arial"/>
                <w:sz w:val="18"/>
                <w:szCs w:val="18"/>
                <w:color w:val="auto"/>
                <w:w w:val="88"/>
              </w:rPr>
              <w:t>Restated Certificate of Incorporation of the Company, as amended (included as Exhibit 3.1 to Amendment No. 3 of the Company’s Registration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jc w:val="right"/>
              <w:ind w:right="102"/>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Statement on Form S-1 (No. 33-13402),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3.2</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Certificate of Amendment to Restated Certificate of Incorporation, as amended, dated June 22, 1993 (included as Exhibit 3.2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3.3</w:t>
            </w:r>
          </w:p>
        </w:tc>
        <w:tc>
          <w:tcPr>
            <w:tcW w:w="10900" w:type="dxa"/>
            <w:vAlign w:val="bottom"/>
          </w:tcPr>
          <w:p>
            <w:pPr>
              <w:ind w:left="780"/>
              <w:spacing w:after="0"/>
              <w:rPr>
                <w:sz w:val="20"/>
                <w:szCs w:val="20"/>
                <w:color w:val="auto"/>
              </w:rPr>
            </w:pPr>
            <w:r>
              <w:rPr>
                <w:rFonts w:ascii="Arial" w:cs="Arial" w:eastAsia="Arial" w:hAnsi="Arial"/>
                <w:sz w:val="18"/>
                <w:szCs w:val="18"/>
                <w:color w:val="auto"/>
                <w:w w:val="96"/>
              </w:rPr>
              <w:t>Certificate of Amendment to Restated Certificate of Incorporation, as amended, dated August 8, 2002 (included as Exhibit 3.3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3.4</w:t>
            </w: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Certificate of Designations, Preferences and Rights of a Series of Preferred Stock of the Company establishing Series A Junior Participating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Cumulative Preferred Stock dated May 1, 1995 (included as Exhibit 3.2 to the Company’s Annual Report on Form 10-K filed on May 3, 1996,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3.5</w:t>
            </w:r>
          </w:p>
        </w:tc>
        <w:tc>
          <w:tcPr>
            <w:tcW w:w="10900" w:type="dxa"/>
            <w:vAlign w:val="bottom"/>
          </w:tcPr>
          <w:p>
            <w:pPr>
              <w:ind w:left="780"/>
              <w:spacing w:after="0"/>
              <w:rPr>
                <w:sz w:val="20"/>
                <w:szCs w:val="20"/>
                <w:color w:val="auto"/>
              </w:rPr>
            </w:pPr>
            <w:r>
              <w:rPr>
                <w:rFonts w:ascii="Arial" w:cs="Arial" w:eastAsia="Arial" w:hAnsi="Arial"/>
                <w:sz w:val="18"/>
                <w:szCs w:val="18"/>
                <w:color w:val="auto"/>
                <w:w w:val="92"/>
              </w:rPr>
              <w:t>Certificate of Designations, Preferences and Relative, Participating, Optional and Other Special Rights and Qualifications, Limitations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Restrictions of Series B Convertible Preferred Stock dated May 14, 2002 (included as Exhibit 3.1 to the Company’s Form 8-K filed on May 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3.6</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By-Laws of the Company, as amended (included as Exhibit 3.4 to the Company’s Quarterly Report on Form 10-Q filed on December 12, 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4.1</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Indenture, dated as of November 18, 2003, between the Company and U.S. Bank National Association, as Trustee (included as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w w:val="85"/>
              </w:rPr>
              <w:t>10.1</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1992 Stock Incentive Plan, as amended (included as Exhibit 10.1 to the Company’s Quarterly Report on Form 10-Q filed on December 9, 2003,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w w:val="85"/>
              </w:rPr>
              <w:t>10.2</w:t>
            </w: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Executive Incentive Program for fiscal year ending January 28, 2006 (included as Exhibit 10.1 to the Company’s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filed on June 13,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w w:val="85"/>
              </w:rPr>
              <w:t>10.3</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Fourth Amended and Restated Loan and Security Agreement dated October 29, 2004, by and among Fleet Retail Group, Inc., as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Agent and Collateral Agent, the Lenders identified herein, the Company, as Borrowers’ Representative and the Company and Designs Apparel,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91"/>
              </w:rPr>
              <w:t>Inc. as Borrowers (included as Exhibit 10.1 to the Company’s Quarterly Report on Form 10-Q filed on December 9, 2004, and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w w:val="85"/>
              </w:rPr>
              <w:t>10.4</w:t>
            </w:r>
          </w:p>
        </w:tc>
        <w:tc>
          <w:tcPr>
            <w:tcW w:w="10900" w:type="dxa"/>
            <w:vAlign w:val="bottom"/>
          </w:tcPr>
          <w:p>
            <w:pPr>
              <w:ind w:left="780"/>
              <w:spacing w:after="0"/>
              <w:rPr>
                <w:sz w:val="20"/>
                <w:szCs w:val="20"/>
                <w:color w:val="auto"/>
              </w:rPr>
            </w:pPr>
            <w:r>
              <w:rPr>
                <w:rFonts w:ascii="Arial" w:cs="Arial" w:eastAsia="Arial" w:hAnsi="Arial"/>
                <w:sz w:val="18"/>
                <w:szCs w:val="18"/>
                <w:color w:val="auto"/>
                <w:w w:val="87"/>
              </w:rPr>
              <w:t>Second Amendment to the Fourth Amended and Restated Loan and Security Agreement dated December 15, 2005, by and among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and Fleet Retail Group, Inc. (d/b/a Bank of America Retail Group, LLC) (included as Exhibit 10.1 to the Company’s Current Report on Form 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K filed December 16,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w w:val="85"/>
              </w:rPr>
              <w:t>10.5</w:t>
            </w:r>
          </w:p>
        </w:tc>
        <w:tc>
          <w:tcPr>
            <w:tcW w:w="10900" w:type="dxa"/>
            <w:vAlign w:val="bottom"/>
          </w:tcPr>
          <w:p>
            <w:pPr>
              <w:ind w:left="780"/>
              <w:spacing w:after="0"/>
              <w:rPr>
                <w:sz w:val="20"/>
                <w:szCs w:val="20"/>
                <w:color w:val="auto"/>
              </w:rPr>
            </w:pPr>
            <w:r>
              <w:rPr>
                <w:rFonts w:ascii="Arial" w:cs="Arial" w:eastAsia="Arial" w:hAnsi="Arial"/>
                <w:sz w:val="18"/>
                <w:szCs w:val="18"/>
                <w:color w:val="auto"/>
                <w:w w:val="87"/>
              </w:rPr>
              <w:t>Third Amendment to the Fourth Amended and Restated Loan and Security Agreement dated January 31, 2006, by and among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91"/>
              </w:rPr>
              <w:t>Fleet Retail Group, Inc. (d/b/a Bank of America Retail Group, LLC) (included as Exhibit 10.4 to the Company’s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filed February 3, 2006,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00" w:type="dxa"/>
            <w:vAlign w:val="bottom"/>
          </w:tcPr>
          <w:p>
            <w:pPr>
              <w:ind w:left="5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Exhibits</w:t>
            </w:r>
          </w:p>
        </w:tc>
        <w:tc>
          <w:tcPr>
            <w:tcW w:w="10920" w:type="dxa"/>
            <w:vAlign w:val="bottom"/>
            <w:vMerge w:val="restart"/>
          </w:tcPr>
          <w:p>
            <w:pPr>
              <w:ind w:left="660"/>
              <w:spacing w:after="0"/>
              <w:rPr>
                <w:sz w:val="20"/>
                <w:szCs w:val="20"/>
                <w:color w:val="auto"/>
              </w:rPr>
            </w:pPr>
            <w:r>
              <w:rPr>
                <w:rFonts w:ascii="Arial" w:cs="Arial" w:eastAsia="Arial" w:hAnsi="Arial"/>
                <w:sz w:val="18"/>
                <w:szCs w:val="18"/>
                <w:color w:val="auto"/>
                <w:w w:val="88"/>
              </w:rPr>
              <w:t>Note Agreement, dated as of July 2, 2003, among the Company, certain subsidiaries of the Company, and the Initial Purchasers identified on the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10.6</w:t>
            </w:r>
          </w:p>
        </w:tc>
        <w:tc>
          <w:tcPr>
            <w:tcW w:w="10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w w:val="98"/>
              </w:rPr>
              <w:t>signature pages thereto (the “Note Agreement”) (included as Exhibit 10.4 to the Company’s Quarterly Report on Form 10-Q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10.7</w:t>
            </w:r>
          </w:p>
        </w:tc>
        <w:tc>
          <w:tcPr>
            <w:tcW w:w="10920" w:type="dxa"/>
            <w:vAlign w:val="bottom"/>
          </w:tcPr>
          <w:p>
            <w:pPr>
              <w:ind w:left="660"/>
              <w:spacing w:after="0"/>
              <w:rPr>
                <w:sz w:val="20"/>
                <w:szCs w:val="20"/>
                <w:color w:val="auto"/>
              </w:rPr>
            </w:pPr>
            <w:r>
              <w:rPr>
                <w:rFonts w:ascii="Arial" w:cs="Arial" w:eastAsia="Arial" w:hAnsi="Arial"/>
                <w:sz w:val="18"/>
                <w:szCs w:val="18"/>
                <w:color w:val="auto"/>
                <w:w w:val="88"/>
              </w:rPr>
              <w:t>Form of 12% Senior Subordinated Note due 2010 (included as Exhibit 10.5 to the Company’s Quarterly Report on Form 10-Q filed on September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10920" w:type="dxa"/>
            <w:vAlign w:val="bottom"/>
          </w:tcPr>
          <w:p>
            <w:pPr>
              <w:ind w:left="660"/>
              <w:spacing w:after="0"/>
              <w:rPr>
                <w:sz w:val="20"/>
                <w:szCs w:val="20"/>
                <w:color w:val="auto"/>
              </w:rPr>
            </w:pPr>
            <w:r>
              <w:rPr>
                <w:rFonts w:ascii="Arial" w:cs="Arial" w:eastAsia="Arial" w:hAnsi="Arial"/>
                <w:sz w:val="18"/>
                <w:szCs w:val="18"/>
                <w:color w:val="auto"/>
                <w:w w:val="88"/>
              </w:rPr>
              <w:t>Form of Warrant issued to the Initial Purchasers under the Note Agreement (included as Exhibit 10.6 to the Company’s Quarterly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10920" w:type="dxa"/>
            <w:vAlign w:val="bottom"/>
          </w:tcPr>
          <w:p>
            <w:pPr>
              <w:ind w:left="660"/>
              <w:spacing w:after="0"/>
              <w:rPr>
                <w:sz w:val="20"/>
                <w:szCs w:val="20"/>
                <w:color w:val="auto"/>
              </w:rPr>
            </w:pPr>
            <w:r>
              <w:rPr>
                <w:rFonts w:ascii="Arial" w:cs="Arial" w:eastAsia="Arial" w:hAnsi="Arial"/>
                <w:sz w:val="18"/>
                <w:szCs w:val="18"/>
                <w:color w:val="auto"/>
                <w:w w:val="91"/>
              </w:rPr>
              <w:t>Form of Option Agreement between the Company and the Chairman and Executive Officers of the Company (included as Exhibit 10.1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September 8,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10.10</w:t>
            </w:r>
          </w:p>
        </w:tc>
        <w:tc>
          <w:tcPr>
            <w:tcW w:w="10920" w:type="dxa"/>
            <w:vAlign w:val="bottom"/>
          </w:tcPr>
          <w:p>
            <w:pPr>
              <w:ind w:left="660"/>
              <w:spacing w:after="0"/>
              <w:rPr>
                <w:sz w:val="20"/>
                <w:szCs w:val="20"/>
                <w:color w:val="auto"/>
              </w:rPr>
            </w:pPr>
            <w:r>
              <w:rPr>
                <w:rFonts w:ascii="Arial" w:cs="Arial" w:eastAsia="Arial" w:hAnsi="Arial"/>
                <w:sz w:val="18"/>
                <w:szCs w:val="18"/>
                <w:color w:val="auto"/>
                <w:w w:val="92"/>
              </w:rPr>
              <w:t>Form of Option Agreement between the Company and non-employee directors of the Company (included as Exhibit 10.2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Quarterly Report on Form 10-Q filed on September 8,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10.11</w:t>
            </w:r>
          </w:p>
        </w:tc>
        <w:tc>
          <w:tcPr>
            <w:tcW w:w="10920" w:type="dxa"/>
            <w:vAlign w:val="bottom"/>
          </w:tcPr>
          <w:p>
            <w:pPr>
              <w:ind w:left="660"/>
              <w:spacing w:after="0"/>
              <w:rPr>
                <w:sz w:val="20"/>
                <w:szCs w:val="20"/>
                <w:color w:val="auto"/>
              </w:rPr>
            </w:pPr>
            <w:r>
              <w:rPr>
                <w:rFonts w:ascii="Arial" w:cs="Arial" w:eastAsia="Arial" w:hAnsi="Arial"/>
                <w:sz w:val="18"/>
                <w:szCs w:val="18"/>
                <w:color w:val="auto"/>
                <w:w w:val="91"/>
              </w:rPr>
              <w:t>Consulting Agreement dated as of October 28, 1999 between the Company and Jewelcor Management, Inc. (included as Exhibit 10.20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Company’s Annual Report on Form 10-K filed on April 28, 2000,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10.12</w:t>
            </w:r>
          </w:p>
        </w:tc>
        <w:tc>
          <w:tcPr>
            <w:tcW w:w="10920" w:type="dxa"/>
            <w:vAlign w:val="bottom"/>
          </w:tcPr>
          <w:p>
            <w:pPr>
              <w:ind w:left="660"/>
              <w:spacing w:after="0"/>
              <w:rPr>
                <w:sz w:val="20"/>
                <w:szCs w:val="20"/>
                <w:color w:val="auto"/>
              </w:rPr>
            </w:pPr>
            <w:r>
              <w:rPr>
                <w:rFonts w:ascii="Arial" w:cs="Arial" w:eastAsia="Arial" w:hAnsi="Arial"/>
                <w:sz w:val="18"/>
                <w:szCs w:val="18"/>
                <w:color w:val="auto"/>
                <w:w w:val="92"/>
              </w:rPr>
              <w:t>Extension to Consulting Agreement, dated as of April 28, 2001,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10.15 to the Company’s Quarterly Report on Form 10-Q filed on September 18, 2001,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10.13</w:t>
            </w:r>
          </w:p>
        </w:tc>
        <w:tc>
          <w:tcPr>
            <w:tcW w:w="10920" w:type="dxa"/>
            <w:vAlign w:val="bottom"/>
          </w:tcPr>
          <w:p>
            <w:pPr>
              <w:ind w:left="660"/>
              <w:spacing w:after="0"/>
              <w:rPr>
                <w:sz w:val="20"/>
                <w:szCs w:val="20"/>
                <w:color w:val="auto"/>
              </w:rPr>
            </w:pPr>
            <w:r>
              <w:rPr>
                <w:rFonts w:ascii="Arial" w:cs="Arial" w:eastAsia="Arial" w:hAnsi="Arial"/>
                <w:sz w:val="18"/>
                <w:szCs w:val="18"/>
                <w:color w:val="auto"/>
                <w:w w:val="92"/>
              </w:rPr>
              <w:t>Extension to Consulting Agreement, dated as of April 28, 2002,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10.30 to the Company’s Quarterly Report on Form 10-Q filed on June 18,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10.14</w:t>
            </w:r>
          </w:p>
        </w:tc>
        <w:tc>
          <w:tcPr>
            <w:tcW w:w="10920" w:type="dxa"/>
            <w:vAlign w:val="bottom"/>
          </w:tcPr>
          <w:p>
            <w:pPr>
              <w:ind w:left="660"/>
              <w:spacing w:after="0"/>
              <w:rPr>
                <w:sz w:val="20"/>
                <w:szCs w:val="20"/>
                <w:color w:val="auto"/>
              </w:rPr>
            </w:pPr>
            <w:r>
              <w:rPr>
                <w:rFonts w:ascii="Arial" w:cs="Arial" w:eastAsia="Arial" w:hAnsi="Arial"/>
                <w:sz w:val="18"/>
                <w:szCs w:val="18"/>
                <w:color w:val="auto"/>
                <w:w w:val="89"/>
              </w:rPr>
              <w:t>Extension to Consulting Agreement, dated as of April 29, 2003, between the Company and Jewelcor Management, Inc. (included as Exhibit 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10.15</w:t>
            </w:r>
          </w:p>
        </w:tc>
        <w:tc>
          <w:tcPr>
            <w:tcW w:w="10920" w:type="dxa"/>
            <w:vAlign w:val="bottom"/>
          </w:tcPr>
          <w:p>
            <w:pPr>
              <w:ind w:left="660"/>
              <w:spacing w:after="0"/>
              <w:rPr>
                <w:sz w:val="20"/>
                <w:szCs w:val="20"/>
                <w:color w:val="auto"/>
              </w:rPr>
            </w:pPr>
            <w:r>
              <w:rPr>
                <w:rFonts w:ascii="Arial" w:cs="Arial" w:eastAsia="Arial" w:hAnsi="Arial"/>
                <w:sz w:val="18"/>
                <w:szCs w:val="18"/>
                <w:color w:val="auto"/>
                <w:w w:val="90"/>
              </w:rPr>
              <w:t>Amendment to Consulting Agreement, effective as of May 1, 2003,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10.16</w:t>
            </w:r>
          </w:p>
        </w:tc>
        <w:tc>
          <w:tcPr>
            <w:tcW w:w="10920" w:type="dxa"/>
            <w:vAlign w:val="bottom"/>
          </w:tcPr>
          <w:p>
            <w:pPr>
              <w:ind w:left="660"/>
              <w:spacing w:after="0"/>
              <w:rPr>
                <w:sz w:val="20"/>
                <w:szCs w:val="20"/>
                <w:color w:val="auto"/>
              </w:rPr>
            </w:pPr>
            <w:r>
              <w:rPr>
                <w:rFonts w:ascii="Arial" w:cs="Arial" w:eastAsia="Arial" w:hAnsi="Arial"/>
                <w:sz w:val="18"/>
                <w:szCs w:val="18"/>
                <w:color w:val="auto"/>
                <w:w w:val="89"/>
              </w:rPr>
              <w:t>Amendment to Consulting Agreement, dated as of August 26, 2004,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10.17</w:t>
            </w:r>
          </w:p>
        </w:tc>
        <w:tc>
          <w:tcPr>
            <w:tcW w:w="10920" w:type="dxa"/>
            <w:vAlign w:val="bottom"/>
          </w:tcPr>
          <w:p>
            <w:pPr>
              <w:ind w:left="660"/>
              <w:spacing w:after="0"/>
              <w:rPr>
                <w:sz w:val="20"/>
                <w:szCs w:val="20"/>
                <w:color w:val="auto"/>
              </w:rPr>
            </w:pPr>
            <w:r>
              <w:rPr>
                <w:rFonts w:ascii="Arial" w:cs="Arial" w:eastAsia="Arial" w:hAnsi="Arial"/>
                <w:sz w:val="18"/>
                <w:szCs w:val="18"/>
                <w:color w:val="auto"/>
                <w:w w:val="88"/>
              </w:rPr>
              <w:t>Amendment to Consulting Agreement, effective May 9, 2005, between the Company and Jewelcor Management, Inc. (included as Exhibit 10.1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the Company’s Current Report on Form 8-K filed June 20,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10.18</w:t>
            </w:r>
          </w:p>
        </w:tc>
        <w:tc>
          <w:tcPr>
            <w:tcW w:w="10920" w:type="dxa"/>
            <w:vAlign w:val="bottom"/>
          </w:tcPr>
          <w:p>
            <w:pPr>
              <w:ind w:left="660"/>
              <w:spacing w:after="0"/>
              <w:rPr>
                <w:sz w:val="20"/>
                <w:szCs w:val="20"/>
                <w:color w:val="auto"/>
              </w:rPr>
            </w:pPr>
            <w:r>
              <w:rPr>
                <w:rFonts w:ascii="Arial" w:cs="Arial" w:eastAsia="Arial" w:hAnsi="Arial"/>
                <w:sz w:val="18"/>
                <w:szCs w:val="18"/>
                <w:color w:val="auto"/>
                <w:w w:val="91"/>
              </w:rPr>
              <w:t>Employment Agreement dated as of March 31, 2000 between the Company and David A. Levin (included as Exhibit 10.27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Annual Report on Form 10-K filed on April 28, 2000,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10.19</w:t>
            </w:r>
          </w:p>
        </w:tc>
        <w:tc>
          <w:tcPr>
            <w:tcW w:w="10920" w:type="dxa"/>
            <w:vAlign w:val="bottom"/>
          </w:tcPr>
          <w:p>
            <w:pPr>
              <w:ind w:left="660"/>
              <w:spacing w:after="0"/>
              <w:rPr>
                <w:sz w:val="20"/>
                <w:szCs w:val="20"/>
                <w:color w:val="auto"/>
              </w:rPr>
            </w:pPr>
            <w:r>
              <w:rPr>
                <w:rFonts w:ascii="Arial" w:cs="Arial" w:eastAsia="Arial" w:hAnsi="Arial"/>
                <w:sz w:val="18"/>
                <w:szCs w:val="18"/>
                <w:color w:val="auto"/>
                <w:w w:val="91"/>
              </w:rPr>
              <w:t>First Amendment to Employment Agreement dated April 10, 2001 between the Company and David A. Levin (included as Exhibit 10.19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June 19, 2001,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tcPr>
          <w:p>
            <w:pPr>
              <w:ind w:left="5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Exhibits</w:t>
            </w:r>
          </w:p>
        </w:tc>
        <w:tc>
          <w:tcPr>
            <w:tcW w:w="10880" w:type="dxa"/>
            <w:vAlign w:val="bottom"/>
            <w:vMerge w:val="restart"/>
          </w:tcPr>
          <w:p>
            <w:pPr>
              <w:ind w:left="660"/>
              <w:spacing w:after="0"/>
              <w:rPr>
                <w:sz w:val="20"/>
                <w:szCs w:val="20"/>
                <w:color w:val="auto"/>
              </w:rPr>
            </w:pPr>
            <w:r>
              <w:rPr>
                <w:rFonts w:ascii="Arial" w:cs="Arial" w:eastAsia="Arial" w:hAnsi="Arial"/>
                <w:sz w:val="18"/>
                <w:szCs w:val="18"/>
                <w:color w:val="auto"/>
                <w:w w:val="90"/>
              </w:rPr>
              <w:t>Second Amendment to Employment Agreement dated as of January 10, 2003 between the Company and David A. Levin (included as Exhibit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10.20</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10.10 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David A. Levin (included as Exhibit 10.2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Fourth Amendment to Employment Agreement dated as of June 29, 2004 between the Company and David A. Levin (included as Exhibit 10.17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to 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10.23</w:t>
            </w:r>
          </w:p>
        </w:tc>
        <w:tc>
          <w:tcPr>
            <w:tcW w:w="10880" w:type="dxa"/>
            <w:vAlign w:val="bottom"/>
          </w:tcPr>
          <w:p>
            <w:pPr>
              <w:ind w:left="660"/>
              <w:spacing w:after="0"/>
              <w:rPr>
                <w:sz w:val="20"/>
                <w:szCs w:val="20"/>
                <w:color w:val="auto"/>
              </w:rPr>
            </w:pPr>
            <w:r>
              <w:rPr>
                <w:rFonts w:ascii="Arial" w:cs="Arial" w:eastAsia="Arial" w:hAnsi="Arial"/>
                <w:sz w:val="18"/>
                <w:szCs w:val="18"/>
                <w:color w:val="auto"/>
                <w:w w:val="95"/>
              </w:rPr>
              <w:t>Employment Agreement dated as of August 14, 2000 between the Company and Dennis R. Hernreich (included as Exhibit 10.30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September 12, 2000,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10.24</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First Amendment to Employment Agreement dated April 25, 2001 between the Company and Dennis R. Hernreich (included as Exhibit 10.23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on June 19, 2001,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Second Amendment to Employment Agreement dated as of January 10, 2003 between the Company and Dennis R. Hernreich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Exhibit 10.15 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Third Amendment to Employment Agreement, dated as of July 9, 2003, between the Company and Dennis R. Hernreich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10.3 to 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Fourth Amendment to Employment Agreement, dated as of June 29, 2004, between the Company and Dennis R. Hernreich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10.22 to 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Employment Agreement dated as of July 9, 2003 between the Company and Linda Carlo (included as Exhibit 10.5 to the Company’s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First Amendment to Employment Agreement, dated as of June 29, 2004, between the Company and Linda B. Carlo (included as Exhibit 10.24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10.30</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Severance Compensation Agreement dated as of May 7, 2002 by and between Casual Male Corp. and Joseph H. Cornely, III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10.6 to 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10.31</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Employment Agreement dated October 29, 2004 between the Company and Robert L. Sockolov (included as Exhibit 99.1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Current Report on Form 8-K filed on November 4, 2004,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10.32</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Employment Agreement dated March 9, 2005 between the Company and Ronald Ramseyer (included as Exhibit 10.27 to the Company’s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10.33</w:t>
            </w:r>
          </w:p>
        </w:tc>
        <w:tc>
          <w:tcPr>
            <w:tcW w:w="10880" w:type="dxa"/>
            <w:vAlign w:val="bottom"/>
          </w:tcPr>
          <w:p>
            <w:pPr>
              <w:ind w:left="660"/>
              <w:spacing w:after="0"/>
              <w:rPr>
                <w:sz w:val="20"/>
                <w:szCs w:val="20"/>
                <w:color w:val="auto"/>
              </w:rPr>
            </w:pPr>
            <w:r>
              <w:rPr>
                <w:rFonts w:ascii="Arial" w:cs="Arial" w:eastAsia="Arial" w:hAnsi="Arial"/>
                <w:sz w:val="18"/>
                <w:szCs w:val="18"/>
                <w:color w:val="auto"/>
                <w:w w:val="87"/>
              </w:rPr>
              <w:t>Asset Purchase Agreement entered into as of May 2, 2002, by and among the Company and Casual Male Corp. and certain subsidiaries (included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80" w:type="dxa"/>
            <w:vAlign w:val="bottom"/>
          </w:tcPr>
          <w:p>
            <w:pPr>
              <w:ind w:left="5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Exhibits</w:t>
            </w:r>
          </w:p>
        </w:tc>
        <w:tc>
          <w:tcPr>
            <w:tcW w:w="10840" w:type="dxa"/>
            <w:vAlign w:val="bottom"/>
            <w:vMerge w:val="restart"/>
          </w:tcPr>
          <w:p>
            <w:pPr>
              <w:ind w:left="660"/>
              <w:spacing w:after="0"/>
              <w:rPr>
                <w:sz w:val="20"/>
                <w:szCs w:val="20"/>
                <w:color w:val="auto"/>
              </w:rPr>
            </w:pPr>
            <w:r>
              <w:rPr>
                <w:rFonts w:ascii="Arial" w:cs="Arial" w:eastAsia="Arial" w:hAnsi="Arial"/>
                <w:sz w:val="18"/>
                <w:szCs w:val="18"/>
                <w:color w:val="auto"/>
                <w:w w:val="87"/>
              </w:rPr>
              <w:t>Amended and Restated Note Agreement, dated as of April 26, 2002, and amended and restated as of May 14, 2002, among the Company, certain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10.34</w:t>
            </w:r>
          </w:p>
        </w:tc>
        <w:tc>
          <w:tcPr>
            <w:tcW w:w="10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10.35</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Form of Warrant to Purchase Shares of Common Stock (aggregating 787,500 shares) (included as Exhibit 10.5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10.36</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Form of Warrant to Purchase Shares of Common Stock (aggregating 927,500 shares) (included as Exhibit 10.6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10.37</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Form of Warrant to Purchase Shares of Common Stock (aggregating 1,176,471 shares) (included as Exhibit 10.7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10.38</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Registration Rights Agreement entered into as of April 26, 2002, by and between the Company and the persons identified therein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10.39</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Purchase Agreement dated November 12, 2003 by and between the Company and Thomas Weisel Partners LLC (included as Exhibit 10.3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10.40</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November 18, 2003 by and between the Company And Thomas Weisel Partners LLC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10.41</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Form of Warrant to Purchase Shares of Common Stock (aggregating 500,000 shares) (included as Exhibit 10.31 to the Company’s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Report on Form 10-Q filed on September 17, 2002,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10.42</w:t>
            </w: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Asset Purchase Agreement by and among the Company and Rochester Big &amp; Tall Clothing, Inc., dated as of August 18, 2004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8"/>
              </w:rPr>
              <w:t>Exhibit 10.3 to the Company’s Quarterly Report on Form 10-Q filed on December 9, 2004,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10.43</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Asset Purchase Agreement by and among the Company, Designs JV, LLC, Designs Apparel, Inc. and Hub Holding Corp., dated as of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24, 2004 (included as Exhibit 10.4 to the Company’s Quarterly Report on Form 10-Q filed on December 9, 2004,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10.44</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Contribution Agreement dated January 30, 2006 by and among the Company, Spirit SPE Canton, LLC and Spirit Finance Acquisitions,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(included as Exhibit 10.1 to the Company’s 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10.45</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Membership Interest Purchase Agreement dated January 30, 2006 by and between the Company and Spirit Finance Acquisitions, LLC (included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9"/>
              </w:rPr>
              <w:t>as Exhibit 10.2 to the Company’s 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10.46</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Lease Agreement dated February 1, 2006 by and between the Company and Spirit SPE Canton, LLC (included as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Current Report on Form 8-K filed on February 3, 2006, and incorporated herein by reference).*</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10.47</w:t>
            </w:r>
          </w:p>
        </w:tc>
        <w:tc>
          <w:tcPr>
            <w:tcW w:w="10840" w:type="dxa"/>
            <w:vAlign w:val="bottom"/>
          </w:tcPr>
          <w:p>
            <w:pPr>
              <w:ind w:left="660"/>
              <w:spacing w:after="0"/>
              <w:rPr>
                <w:sz w:val="20"/>
                <w:szCs w:val="20"/>
                <w:color w:val="auto"/>
              </w:rPr>
            </w:pPr>
            <w:r>
              <w:rPr>
                <w:rFonts w:ascii="Arial" w:cs="Arial" w:eastAsia="Arial" w:hAnsi="Arial"/>
                <w:sz w:val="18"/>
                <w:szCs w:val="18"/>
                <w:color w:val="auto"/>
              </w:rPr>
              <w:t>Buying Agency Agreement effective November 16, 2005 by and between Designs Apparel, Inc. and Li &amp; Fung</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40" w:type="dxa"/>
            <w:vAlign w:val="bottom"/>
          </w:tcPr>
          <w:p>
            <w:pPr>
              <w:ind w:left="5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Exhibits</w:t>
            </w:r>
          </w:p>
        </w:tc>
        <w:tc>
          <w:tcPr>
            <w:tcW w:w="10760" w:type="dxa"/>
            <w:vAlign w:val="bottom"/>
            <w:vMerge w:val="restart"/>
          </w:tcPr>
          <w:p>
            <w:pPr>
              <w:ind w:left="7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21.1</w:t>
            </w:r>
          </w:p>
        </w:tc>
        <w:tc>
          <w:tcPr>
            <w:tcW w:w="10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0" w:type="dxa"/>
            <w:vAlign w:val="bottom"/>
            <w:gridSpan w:val="2"/>
          </w:tcPr>
          <w:p>
            <w:pPr>
              <w:spacing w:after="0"/>
              <w:rPr>
                <w:sz w:val="20"/>
                <w:szCs w:val="20"/>
                <w:color w:val="auto"/>
              </w:rPr>
            </w:pPr>
            <w:r>
              <w:rPr>
                <w:rFonts w:ascii="Arial" w:cs="Arial" w:eastAsia="Arial" w:hAnsi="Arial"/>
                <w:sz w:val="18"/>
                <w:szCs w:val="18"/>
                <w:color w:val="auto"/>
              </w:rPr>
              <w:t>23.1</w:t>
            </w:r>
          </w:p>
        </w:tc>
        <w:tc>
          <w:tcPr>
            <w:tcW w:w="10760" w:type="dxa"/>
            <w:vAlign w:val="bottom"/>
          </w:tcPr>
          <w:p>
            <w:pPr>
              <w:ind w:left="7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31.1</w:t>
            </w:r>
          </w:p>
        </w:tc>
        <w:tc>
          <w:tcPr>
            <w:tcW w:w="10760" w:type="dxa"/>
            <w:vAlign w:val="bottom"/>
          </w:tcPr>
          <w:p>
            <w:pPr>
              <w:ind w:left="780"/>
              <w:spacing w:after="0"/>
              <w:rPr>
                <w:sz w:val="20"/>
                <w:szCs w:val="20"/>
                <w:color w:val="auto"/>
              </w:rPr>
            </w:pPr>
            <w:r>
              <w:rPr>
                <w:rFonts w:ascii="Arial" w:cs="Arial" w:eastAsia="Arial" w:hAnsi="Arial"/>
                <w:sz w:val="18"/>
                <w:szCs w:val="18"/>
                <w:color w:val="auto"/>
                <w:w w:val="98"/>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31.2</w:t>
            </w:r>
          </w:p>
        </w:tc>
        <w:tc>
          <w:tcPr>
            <w:tcW w:w="10760" w:type="dxa"/>
            <w:vAlign w:val="bottom"/>
          </w:tcPr>
          <w:p>
            <w:pPr>
              <w:ind w:left="780"/>
              <w:spacing w:after="0"/>
              <w:rPr>
                <w:sz w:val="20"/>
                <w:szCs w:val="20"/>
                <w:color w:val="auto"/>
              </w:rPr>
            </w:pPr>
            <w:r>
              <w:rPr>
                <w:rFonts w:ascii="Arial" w:cs="Arial" w:eastAsia="Arial" w:hAnsi="Arial"/>
                <w:sz w:val="18"/>
                <w:szCs w:val="18"/>
                <w:color w:val="auto"/>
                <w:w w:val="99"/>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32.1</w:t>
            </w:r>
          </w:p>
        </w:tc>
        <w:tc>
          <w:tcPr>
            <w:tcW w:w="10760" w:type="dxa"/>
            <w:vAlign w:val="bottom"/>
          </w:tcPr>
          <w:p>
            <w:pPr>
              <w:ind w:left="78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tcPr>
          <w:p>
            <w:pPr>
              <w:ind w:left="7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32.2</w:t>
            </w:r>
          </w:p>
        </w:tc>
        <w:tc>
          <w:tcPr>
            <w:tcW w:w="10760" w:type="dxa"/>
            <w:vAlign w:val="bottom"/>
          </w:tcPr>
          <w:p>
            <w:pPr>
              <w:ind w:left="7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tcPr>
          <w:p>
            <w:pPr>
              <w:ind w:left="7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60"/>
          </w:cols>
          <w:pgMar w:left="240" w:top="459"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2006</w:t>
      </w:r>
    </w:p>
    <w:p>
      <w:pPr>
        <w:spacing w:after="0" w:line="219" w:lineRule="exact"/>
        <w:rPr>
          <w:sz w:val="20"/>
          <w:szCs w:val="20"/>
          <w:color w:val="auto"/>
        </w:rPr>
      </w:pPr>
    </w:p>
    <w:p>
      <w:pPr>
        <w:ind w:left="6080"/>
        <w:spacing w:after="0"/>
        <w:tabs>
          <w:tab w:leader="none" w:pos="8000" w:val="left"/>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March 31, 2006.</w:t>
      </w:r>
    </w:p>
    <w:p>
      <w:pPr>
        <w:spacing w:after="0" w:line="236"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6963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1120" w:type="dxa"/>
            <w:vAlign w:val="bottom"/>
            <w:tcBorders>
              <w:bottom w:val="single" w:sz="8" w:color="auto"/>
            </w:tcBorders>
          </w:tcPr>
          <w:p>
            <w:pPr>
              <w:spacing w:after="0"/>
              <w:rPr>
                <w:sz w:val="19"/>
                <w:szCs w:val="19"/>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w w:val="90"/>
              </w:rPr>
              <w:t>President and Chief Executive Officer (Principal Accounting Officer)</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91"/>
              </w:rPr>
              <w:t>David A. Levin</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8"/>
        </w:trPr>
        <w:tc>
          <w:tcPr>
            <w:tcW w:w="20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Borders>
              <w:bottom w:val="single" w:sz="8" w:color="auto"/>
            </w:tcBorders>
            <w:gridSpan w:val="2"/>
          </w:tcPr>
          <w:p>
            <w:pPr>
              <w:jc w:val="center"/>
              <w:ind w:right="786"/>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w w:val="93"/>
              </w:rPr>
              <w:t>Executive Vice President, Chief Operating Officer, Chief Financial</w:t>
            </w:r>
          </w:p>
        </w:tc>
      </w:tr>
      <w:tr>
        <w:trPr>
          <w:trHeight w:val="190"/>
        </w:trPr>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Dennis R. Hernreich</w:t>
            </w:r>
          </w:p>
        </w:tc>
        <w:tc>
          <w:tcPr>
            <w:tcW w:w="1120" w:type="dxa"/>
            <w:vAlign w:val="bottom"/>
          </w:tcPr>
          <w:p>
            <w:pPr>
              <w:spacing w:after="0"/>
              <w:rPr>
                <w:sz w:val="16"/>
                <w:szCs w:val="16"/>
                <w:color w:val="auto"/>
              </w:rPr>
            </w:pPr>
          </w:p>
        </w:tc>
        <w:tc>
          <w:tcPr>
            <w:tcW w:w="5480" w:type="dxa"/>
            <w:vAlign w:val="bottom"/>
          </w:tcPr>
          <w:p>
            <w:pPr>
              <w:ind w:left="800"/>
              <w:spacing w:after="0" w:line="190" w:lineRule="exact"/>
              <w:rPr>
                <w:sz w:val="20"/>
                <w:szCs w:val="20"/>
                <w:color w:val="auto"/>
              </w:rPr>
            </w:pPr>
            <w:r>
              <w:rPr>
                <w:rFonts w:ascii="Arial" w:cs="Arial" w:eastAsia="Arial" w:hAnsi="Arial"/>
                <w:sz w:val="18"/>
                <w:szCs w:val="18"/>
                <w:color w:val="auto"/>
                <w:w w:val="94"/>
              </w:rPr>
              <w:t>Officer and Treasurer (Principal Financial Officer and Principal</w:t>
            </w:r>
          </w:p>
        </w:tc>
      </w:tr>
      <w:tr>
        <w:trPr>
          <w:trHeight w:val="222"/>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80" w:type="dxa"/>
            <w:vAlign w:val="bottom"/>
          </w:tcPr>
          <w:p>
            <w:pPr>
              <w:ind w:left="800"/>
              <w:spacing w:after="0"/>
              <w:rPr>
                <w:sz w:val="20"/>
                <w:szCs w:val="20"/>
                <w:color w:val="auto"/>
              </w:rPr>
            </w:pPr>
            <w:r>
              <w:rPr>
                <w:rFonts w:ascii="Arial" w:cs="Arial" w:eastAsia="Arial" w:hAnsi="Arial"/>
                <w:sz w:val="18"/>
                <w:szCs w:val="18"/>
                <w:color w:val="auto"/>
              </w:rPr>
              <w:t>Accounting Officer)</w:t>
            </w:r>
          </w:p>
        </w:tc>
      </w:tr>
      <w:tr>
        <w:trPr>
          <w:trHeight w:val="433"/>
        </w:trPr>
        <w:tc>
          <w:tcPr>
            <w:tcW w:w="20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Borders>
              <w:bottom w:val="single" w:sz="8" w:color="auto"/>
            </w:tcBorders>
            <w:gridSpan w:val="2"/>
          </w:tcPr>
          <w:p>
            <w:pPr>
              <w:jc w:val="center"/>
              <w:ind w:right="786"/>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rPr>
              <w:t>Chairman of the Board of Directors</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Seymour Holtzman</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9"/>
        </w:trPr>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7"/>
              </w:rPr>
              <w:t>Alan S. Bernikow</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9"/>
        </w:trPr>
        <w:tc>
          <w:tcPr>
            <w:tcW w:w="2200" w:type="dxa"/>
            <w:vAlign w:val="bottom"/>
            <w:tcBorders>
              <w:bottom w:val="single" w:sz="8" w:color="auto"/>
            </w:tcBorders>
            <w:gridSpan w:val="2"/>
          </w:tcPr>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3"/>
              </w:rPr>
              <w:t>Jesse H. Choper</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9"/>
        </w:trPr>
        <w:tc>
          <w:tcPr>
            <w:tcW w:w="2200" w:type="dxa"/>
            <w:vAlign w:val="bottom"/>
            <w:tcBorders>
              <w:bottom w:val="single" w:sz="8" w:color="auto"/>
            </w:tcBorders>
            <w:gridSpan w:val="2"/>
          </w:tcPr>
          <w:p>
            <w:pPr>
              <w:ind w:left="1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tcPr>
          <w:p>
            <w:pPr>
              <w:jc w:val="center"/>
              <w:ind w:right="1046"/>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P. F</w:t>
            </w:r>
            <w:r>
              <w:rPr>
                <w:rFonts w:ascii="Arial" w:cs="Arial" w:eastAsia="Arial" w:hAnsi="Arial"/>
                <w:sz w:val="14"/>
                <w:szCs w:val="14"/>
                <w:color w:val="auto"/>
                <w:w w:val="94"/>
              </w:rPr>
              <w:t>RAIN</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4"/>
              </w:rPr>
              <w:t>James P. Frain</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9"/>
        </w:trPr>
        <w:tc>
          <w:tcPr>
            <w:tcW w:w="20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Borders>
              <w:bottom w:val="single" w:sz="8" w:color="auto"/>
            </w:tcBorders>
            <w:gridSpan w:val="2"/>
          </w:tcPr>
          <w:p>
            <w:pPr>
              <w:jc w:val="center"/>
              <w:ind w:right="846"/>
              <w:spacing w:after="0"/>
              <w:rPr>
                <w:sz w:val="20"/>
                <w:szCs w:val="20"/>
                <w:color w:val="auto"/>
              </w:rPr>
            </w:pPr>
            <w:r>
              <w:rPr>
                <w:rFonts w:ascii="Arial" w:cs="Arial" w:eastAsia="Arial" w:hAnsi="Arial"/>
                <w:sz w:val="18"/>
                <w:szCs w:val="18"/>
                <w:color w:val="auto"/>
                <w:w w:val="92"/>
              </w:rPr>
              <w:t>G</w:t>
            </w:r>
            <w:r>
              <w:rPr>
                <w:rFonts w:ascii="Arial" w:cs="Arial" w:eastAsia="Arial" w:hAnsi="Arial"/>
                <w:sz w:val="14"/>
                <w:szCs w:val="14"/>
                <w:color w:val="auto"/>
                <w:w w:val="92"/>
              </w:rPr>
              <w:t>EORGE</w:t>
            </w:r>
            <w:r>
              <w:rPr>
                <w:rFonts w:ascii="Arial" w:cs="Arial" w:eastAsia="Arial" w:hAnsi="Arial"/>
                <w:sz w:val="18"/>
                <w:szCs w:val="18"/>
                <w:color w:val="auto"/>
                <w:w w:val="92"/>
              </w:rPr>
              <w:t xml:space="preserve"> T. P</w:t>
            </w:r>
            <w:r>
              <w:rPr>
                <w:rFonts w:ascii="Arial" w:cs="Arial" w:eastAsia="Arial" w:hAnsi="Arial"/>
                <w:sz w:val="14"/>
                <w:szCs w:val="14"/>
                <w:color w:val="auto"/>
                <w:w w:val="92"/>
              </w:rPr>
              <w:t>ORTER</w:t>
            </w:r>
            <w:r>
              <w:rPr>
                <w:rFonts w:ascii="Arial" w:cs="Arial" w:eastAsia="Arial" w:hAnsi="Arial"/>
                <w:sz w:val="18"/>
                <w:szCs w:val="18"/>
                <w:color w:val="auto"/>
                <w:w w:val="92"/>
              </w:rPr>
              <w:t>, J</w:t>
            </w:r>
            <w:r>
              <w:rPr>
                <w:rFonts w:ascii="Arial" w:cs="Arial" w:eastAsia="Arial" w:hAnsi="Arial"/>
                <w:sz w:val="14"/>
                <w:szCs w:val="14"/>
                <w:color w:val="auto"/>
                <w:w w:val="92"/>
              </w:rPr>
              <w:t>R</w:t>
            </w:r>
            <w:r>
              <w:rPr>
                <w:rFonts w:ascii="Arial" w:cs="Arial" w:eastAsia="Arial" w:hAnsi="Arial"/>
                <w:sz w:val="18"/>
                <w:szCs w:val="18"/>
                <w:color w:val="auto"/>
                <w:w w:val="92"/>
              </w:rPr>
              <w:t>.</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1006"/>
              <w:spacing w:after="0"/>
              <w:rPr>
                <w:sz w:val="20"/>
                <w:szCs w:val="20"/>
                <w:color w:val="auto"/>
              </w:rPr>
            </w:pPr>
            <w:r>
              <w:rPr>
                <w:rFonts w:ascii="Arial" w:cs="Arial" w:eastAsia="Arial" w:hAnsi="Arial"/>
                <w:sz w:val="14"/>
                <w:szCs w:val="14"/>
                <w:b w:val="1"/>
                <w:bCs w:val="1"/>
                <w:color w:val="auto"/>
                <w:w w:val="87"/>
              </w:rPr>
              <w:t>George T. Porter, Jr.</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419"/>
        </w:trPr>
        <w:tc>
          <w:tcPr>
            <w:tcW w:w="20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40" w:type="dxa"/>
            <w:vAlign w:val="bottom"/>
            <w:tcBorders>
              <w:bottom w:val="single" w:sz="8" w:color="auto"/>
            </w:tcBorders>
            <w:gridSpan w:val="2"/>
          </w:tcPr>
          <w:p>
            <w:pPr>
              <w:jc w:val="center"/>
              <w:ind w:right="76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L. S</w:t>
            </w:r>
            <w:r>
              <w:rPr>
                <w:rFonts w:ascii="Arial" w:cs="Arial" w:eastAsia="Arial" w:hAnsi="Arial"/>
                <w:sz w:val="14"/>
                <w:szCs w:val="14"/>
                <w:color w:val="auto"/>
                <w:w w:val="97"/>
              </w:rPr>
              <w:t>OCKOLOV</w:t>
            </w:r>
          </w:p>
        </w:tc>
        <w:tc>
          <w:tcPr>
            <w:tcW w:w="1120" w:type="dxa"/>
            <w:vAlign w:val="bottom"/>
            <w:tcBorders>
              <w:bottom w:val="single" w:sz="8" w:color="auto"/>
            </w:tcBorders>
          </w:tcPr>
          <w:p>
            <w:pPr>
              <w:spacing w:after="0"/>
              <w:rPr>
                <w:sz w:val="24"/>
                <w:szCs w:val="24"/>
                <w:color w:val="auto"/>
              </w:rPr>
            </w:pPr>
          </w:p>
        </w:tc>
        <w:tc>
          <w:tcPr>
            <w:tcW w:w="5480" w:type="dxa"/>
            <w:vAlign w:val="bottom"/>
          </w:tcPr>
          <w:p>
            <w:pPr>
              <w:ind w:left="580"/>
              <w:spacing w:after="0"/>
              <w:rPr>
                <w:sz w:val="20"/>
                <w:szCs w:val="20"/>
                <w:color w:val="auto"/>
              </w:rPr>
            </w:pPr>
            <w:r>
              <w:rPr>
                <w:rFonts w:ascii="Arial" w:cs="Arial" w:eastAsia="Arial" w:hAnsi="Arial"/>
                <w:sz w:val="18"/>
                <w:szCs w:val="18"/>
                <w:color w:val="auto"/>
              </w:rPr>
              <w:t>Director and Chief Executive Officer of Rochester Division</w:t>
            </w:r>
          </w:p>
        </w:tc>
      </w:tr>
      <w:tr>
        <w:trPr>
          <w:trHeight w:val="169"/>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7"/>
              </w:rPr>
              <w:t>Robert L. Sockolov</w:t>
            </w:r>
          </w:p>
        </w:tc>
        <w:tc>
          <w:tcPr>
            <w:tcW w:w="1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350"/>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548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10.47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BUYING AGENCY AGREEMENT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THIS BUYING AGENCY AGREEMENT </w:t>
      </w:r>
      <w:r>
        <w:rPr>
          <w:rFonts w:ascii="Arial" w:cs="Arial" w:eastAsia="Arial" w:hAnsi="Arial"/>
          <w:sz w:val="18"/>
          <w:szCs w:val="18"/>
          <w:color w:val="auto"/>
        </w:rPr>
        <w:t>(this “Agreement”) is entered into and made effective this 16th day of November, 2005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by and between DESIGNS APPAREL, INC., a Delaware corporation, located at 555 Turnpike Street, Canton, MA 02021, a (hereinafter referred to as “Principal” or “Party”, which terms shall include any and all affiliates and subsidiaries), and LI &amp; FUNG (TRADING) LIMITED, a company incorporated in Hong Kong with limited liability, located at 9th Flr. LiFung Tower, 888 Cheung Sha Wan Road, Kowloon, Hong Kong (hereinafter referred to as “Agent” or “Party”) (Collectively, the “Parties”).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left="460" w:right="1540"/>
        <w:spacing w:after="0" w:line="4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Principal is engaged in the business of merchandising of apparel and accessories throughout the World;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Principal wishes to purchase certain non-U.S. produced merchandise (hereinafter referred to as the “Merchandise”); and</w:t>
      </w:r>
    </w:p>
    <w:p>
      <w:pPr>
        <w:ind w:right="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Agent is in the business of providing buying services (hereinafter referred to as the “Services” which term shall include, but not limited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services described in Section 4, below);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Principal wishes to appoint Agent as its non-exclusive buying agent throughout the World (the “Territory”),</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set forth herein and other good and valuable consideration, the receipt and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Principal and Agent agree as follows:</w:t>
      </w:r>
    </w:p>
    <w:p>
      <w:pPr>
        <w:spacing w:after="0" w:line="39" w:lineRule="exact"/>
        <w:rPr>
          <w:sz w:val="20"/>
          <w:szCs w:val="20"/>
          <w:color w:val="auto"/>
        </w:rPr>
      </w:pPr>
    </w:p>
    <w:p>
      <w:pPr>
        <w:ind w:right="120" w:firstLine="464"/>
        <w:spacing w:after="0" w:line="310" w:lineRule="auto"/>
        <w:tabs>
          <w:tab w:leader="none" w:pos="63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w:t>
      </w:r>
      <w:r>
        <w:rPr>
          <w:rFonts w:ascii="Arial" w:cs="Arial" w:eastAsia="Arial" w:hAnsi="Arial"/>
          <w:sz w:val="16"/>
          <w:szCs w:val="16"/>
          <w:color w:val="auto"/>
        </w:rPr>
        <w:t>. Principal hereby appoints Agent as a non-exclusive buying agent to render Services in the Territory in connection with the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of Merchandise by Principal. Agent hereby accepts such appointment on the terms and conditions contained herein. Principal may at any time and from time to time, without notice, appoint other buying agents and Agent may accept other appointments from any other Principal to perform services.</w:t>
      </w:r>
    </w:p>
    <w:p>
      <w:pPr>
        <w:spacing w:after="0" w:line="97" w:lineRule="exact"/>
        <w:rPr>
          <w:rFonts w:ascii="Arial" w:cs="Arial" w:eastAsia="Arial" w:hAnsi="Arial"/>
          <w:sz w:val="16"/>
          <w:szCs w:val="16"/>
          <w:b w:val="1"/>
          <w:bCs w:val="1"/>
          <w:color w:val="auto"/>
        </w:rPr>
      </w:pPr>
    </w:p>
    <w:p>
      <w:pPr>
        <w:ind w:left="640" w:hanging="176"/>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OF THE PARTIES</w:t>
      </w:r>
      <w:r>
        <w:rPr>
          <w:rFonts w:ascii="Arial" w:cs="Arial" w:eastAsia="Arial" w:hAnsi="Arial"/>
          <w:sz w:val="18"/>
          <w:szCs w:val="18"/>
          <w:color w:val="auto"/>
        </w:rPr>
        <w:t>.</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2.1 Each Party to this Agreement will be and agrees to act as an independent contractor and not as a partner of, or joint venturer with, the other Party for any purpose related to this Agreement or the transactions contemplated by this Agreement, and neither Party will by virtue of this Agreement have any right, power or authority to act or create any obligation, expressed or implied, on behalf of the other Party except as provided in Section 4(L)(i) below, or to act on his own account. Except as expressly provided herein, Principal shall bear all risk of loss for damaged, lost, defective or non-conforming merchandise purchased by Principal under this Agreement.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2.2 Principal acknowledges and agrees that Agent may engage sub-agents to perform some or all Agent’s services hereunder, provided, however, that in no event shall the relationship between the Agent and sub-agent result in either Party becoming a Principal or seller of Merchandise from the other. Agent shall advise Principal in writing of the appointment of any sub-agents who may perform services under this Agreement. Further, Agent shall be solely responsible to ensure that its sub-agents strictly adhere to the terms and conditions of this Agreement and to pay all remuneration payable to its sub-agents.</w:t>
      </w:r>
    </w:p>
    <w:p>
      <w:pPr>
        <w:sectPr>
          <w:pgSz w:w="11900" w:h="16838" w:orient="portrait"/>
          <w:cols w:equalWidth="0" w:num="1">
            <w:col w:w="11420"/>
          </w:cols>
          <w:pgMar w:left="240" w:top="125"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TERM AND TERMINATION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3.1 TERM. The term of this Agreement shall commence on the Effective Date and, unless sooner terminated as provided herein, shall continue in full force and effect for an initial term of one (1) year (the “Initial Term”), and thereafter shall remain in force until terminated in writing by either Party upon sixty</w:t>
      </w:r>
    </w:p>
    <w:p>
      <w:pPr>
        <w:ind w:right="240" w:firstLine="8"/>
        <w:spacing w:after="0" w:line="323" w:lineRule="auto"/>
        <w:tabs>
          <w:tab w:leader="none" w:pos="3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days prior written notice to the other, provided, however, that, in any event, the confidentiality provisions of this Agreement shall remain in full force and effect in perpetuity as to any Confidential Information disclosed hereunder prior to the date of expiration or termination of this Agreement.</w:t>
      </w:r>
    </w:p>
    <w:p>
      <w:pPr>
        <w:spacing w:after="0" w:line="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3.2 CONDITIONS FOR TERMINATION BASED ON CAUSE; NON-PERFORMANCE. Either Party may suspend its performance or terminate this Agreement in the event either Party fails to perform any material term or condition of this Agreement and the defaulting Party does not cure such failure within thirty (30) days after written demand by the other, five (5) days for an Agent delay in meeting a delivery schedule default; or immediately upon written notice at any time upon occurrence of any of the following events: (a) the other Party (i) becomes insolvent; (ii) enters into or files a petition, arrangement or proceeding seeking an order for relief under bankruptcy laws of the United States; (iii) enters into a receivership for any of its assets; or (iv) enters into a composition with or assignment for the benefit of its creditors. If such default remains uncured after thirty (30) days (or five days, as the case may be), the aggrieved Party may terminate this Agreement by sending further notice to such effect, effective immediately. Any failure by Agent in the performance of its duties and obligations under this Agreement, which is not the result of an excusable delay as provided in Section 15 herein, shall be deemed a failure by Agent to perform a material term or condition of this Agreement. In the event of termination upon default of the Agent, in addition to any and all other remedies permitted by law, Principal shall be entitled to enjoy all Services rendered by Agent through the date of termination.</w:t>
      </w:r>
    </w:p>
    <w:p>
      <w:pPr>
        <w:spacing w:after="0" w:line="12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3.3 EFFECT OF TERMINATION IN GENERAL. Upon any termination of this Agreement, each Party will be released from all obligations and liabilities to the other occurring or arising after the date of such termination, except that the obligations of the Parties under this Agreement, which, by their nature, would continue beyond termination or expiration of this Agreement, including but not limited to performance of the Parties respective obligations with respect to any purchase order placed by Agent for Principal pursuant to this Agreement, which shall remain until the Merchandise has been delivered to Principal or such order is canceled, as the case may be, shall survive termination of this Agreement. While termination will not relieve the Parties from liability arising from any breach of this Agreement, neither Party will be liable to the other for damages or any sort solely as a result of terminating this Agreement in accordance with its terms. Termination of this Agreement will be without prejudice to any other right or remedy of either Party.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AGENT’S DUTIES AND RESPONSIBILITIES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Agent shall, on behalf of and pursuant to Principal’s directions, perform the following Services for Principal:</w:t>
      </w:r>
    </w:p>
    <w:p>
      <w:pPr>
        <w:spacing w:after="0" w:line="90" w:lineRule="exact"/>
        <w:rPr>
          <w:sz w:val="20"/>
          <w:szCs w:val="20"/>
          <w:color w:val="auto"/>
        </w:rPr>
      </w:pPr>
    </w:p>
    <w:p>
      <w:pPr>
        <w:ind w:left="1480" w:right="74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Advise Principal of Merchandise of the types described by Principal, of current styles and fashions, current prices, trends, material availability, shipping conditions and availability of production;</w:t>
      </w:r>
    </w:p>
    <w:p>
      <w:pPr>
        <w:spacing w:after="0" w:line="50" w:lineRule="exact"/>
        <w:rPr>
          <w:rFonts w:ascii="Arial" w:cs="Arial" w:eastAsia="Arial" w:hAnsi="Arial"/>
          <w:sz w:val="18"/>
          <w:szCs w:val="18"/>
          <w:color w:val="auto"/>
        </w:rPr>
      </w:pPr>
    </w:p>
    <w:p>
      <w:pPr>
        <w:ind w:left="1480" w:hanging="567"/>
        <w:spacing w:after="0" w:line="255"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Assist Principal in the location of </w:t>
      </w:r>
      <w:r>
        <w:rPr>
          <w:rFonts w:ascii="Arial" w:cs="Arial" w:eastAsia="Arial" w:hAnsi="Arial"/>
          <w:sz w:val="18"/>
          <w:szCs w:val="18"/>
          <w:i w:val="1"/>
          <w:iCs w:val="1"/>
          <w:color w:val="auto"/>
        </w:rPr>
        <w:t>qualified</w:t>
      </w:r>
      <w:r>
        <w:rPr>
          <w:rFonts w:ascii="Arial" w:cs="Arial" w:eastAsia="Arial" w:hAnsi="Arial"/>
          <w:sz w:val="18"/>
          <w:szCs w:val="18"/>
          <w:color w:val="auto"/>
        </w:rPr>
        <w:t xml:space="preserve"> suppliers (the “Suppliers”) and the arrangement of the manufacture of the Merchandise which Principal wishes to purchase in the Territory. Prior to engagement, Agent shall provide Principal with a vendor profile and factory evaluation for each Supplier. For the avoidance of doubt, the term “</w:t>
      </w:r>
      <w:r>
        <w:rPr>
          <w:rFonts w:ascii="Arial" w:cs="Arial" w:eastAsia="Arial" w:hAnsi="Arial"/>
          <w:sz w:val="18"/>
          <w:szCs w:val="18"/>
          <w:i w:val="1"/>
          <w:iCs w:val="1"/>
          <w:color w:val="auto"/>
        </w:rPr>
        <w:t>qualified</w:t>
      </w:r>
      <w:r>
        <w:rPr>
          <w:rFonts w:ascii="Arial" w:cs="Arial" w:eastAsia="Arial" w:hAnsi="Arial"/>
          <w:sz w:val="18"/>
          <w:szCs w:val="18"/>
          <w:color w:val="auto"/>
        </w:rPr>
        <w:t>” as used in this Section 4(A)(ii) shall mean Suppliers that are reputable, have acceptable credit ratings and have the financial and other means to be able to meet the requirements set forth in Principal’s written purchase order(s), where or when available.</w:t>
      </w:r>
    </w:p>
    <w:p>
      <w:pPr>
        <w:spacing w:after="0" w:line="61" w:lineRule="exact"/>
        <w:rPr>
          <w:rFonts w:ascii="Arial" w:cs="Arial" w:eastAsia="Arial" w:hAnsi="Arial"/>
          <w:sz w:val="18"/>
          <w:szCs w:val="18"/>
          <w:color w:val="auto"/>
        </w:rPr>
      </w:pPr>
    </w:p>
    <w:p>
      <w:pPr>
        <w:ind w:left="1480" w:right="28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 orders for specified Merchandise on Principal’s behalf with Suppliers designated by Principal by written instructions to Agent, and negotiate the lowest possible price for such Merchandise for the benefit of Principal;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93" w:name="page94"/>
    <w:bookmarkEnd w:id="93"/>
    <w:p>
      <w:pPr>
        <w:ind w:left="1460" w:right="280" w:hanging="567"/>
        <w:spacing w:after="0" w:line="255"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delivery of the Merchandise is made to Principal or its designee, Agent shall communicate with Suppliers and monitor Supplier’s performance to ensure that production of the Merchandise is running according to the delivery schedule set by the Principal for each item and inform Principal as to production status of all such orders. Further, Agent shall use its best reasonable efforts to assure that the Merchandise being produced by Supplier conforms substantially, and in all material respects, to the production specification and samples approved by Principal;</w:t>
      </w:r>
    </w:p>
    <w:p>
      <w:pPr>
        <w:spacing w:after="0" w:line="61" w:lineRule="exact"/>
        <w:rPr>
          <w:rFonts w:ascii="Arial" w:cs="Arial" w:eastAsia="Arial" w:hAnsi="Arial"/>
          <w:sz w:val="18"/>
          <w:szCs w:val="18"/>
          <w:color w:val="auto"/>
        </w:rPr>
      </w:pPr>
    </w:p>
    <w:p>
      <w:pPr>
        <w:ind w:left="1460" w:right="100" w:hanging="567"/>
        <w:spacing w:after="0" w:line="268"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Arrange for the shipment of the Merchandise including preparation of all relevant export documentation in accordance with the terms of the relevant purchase order;</w:t>
      </w:r>
    </w:p>
    <w:p>
      <w:pPr>
        <w:spacing w:after="0" w:line="50" w:lineRule="exact"/>
        <w:rPr>
          <w:rFonts w:ascii="Arial" w:cs="Arial" w:eastAsia="Arial" w:hAnsi="Arial"/>
          <w:sz w:val="18"/>
          <w:szCs w:val="18"/>
          <w:color w:val="auto"/>
        </w:rPr>
      </w:pPr>
    </w:p>
    <w:p>
      <w:pPr>
        <w:ind w:left="1460" w:right="60" w:hanging="567"/>
        <w:spacing w:after="0" w:line="268"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Use its best efforts to monitor the transfer of Merchandise to Principal, or its designee, assuring that said transfer of Merchandise meets U.S. tariff classification requirements, and is delivered in the proper quantities and in a timely manner;</w:t>
      </w:r>
    </w:p>
    <w:p>
      <w:pPr>
        <w:spacing w:after="0" w:line="50" w:lineRule="exact"/>
        <w:rPr>
          <w:rFonts w:ascii="Arial" w:cs="Arial" w:eastAsia="Arial" w:hAnsi="Arial"/>
          <w:sz w:val="18"/>
          <w:szCs w:val="18"/>
          <w:color w:val="auto"/>
        </w:rPr>
      </w:pPr>
    </w:p>
    <w:p>
      <w:pPr>
        <w:ind w:left="1460" w:right="240" w:hanging="567"/>
        <w:spacing w:after="0" w:line="256"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Should Principal fail, for any reason, to accept delivery of the Merchandise, Agent shall use its best reasonable efforts to prevent Supplier from disposing of the Merchandise without first removing the labels, brand names or markings (logos) affixed to the Merchandise which relate to Principal. Principal agrees that Agent shall have no liability to Principal for acts or omissions of Supplier that are not within its control.</w:t>
      </w:r>
    </w:p>
    <w:p>
      <w:pPr>
        <w:spacing w:after="0" w:line="62" w:lineRule="exact"/>
        <w:rPr>
          <w:rFonts w:ascii="Arial" w:cs="Arial" w:eastAsia="Arial" w:hAnsi="Arial"/>
          <w:sz w:val="18"/>
          <w:szCs w:val="18"/>
          <w:color w:val="auto"/>
        </w:rPr>
      </w:pPr>
    </w:p>
    <w:p>
      <w:pPr>
        <w:ind w:left="1460" w:hanging="567"/>
        <w:spacing w:after="0"/>
        <w:tabs>
          <w:tab w:leader="none" w:pos="14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Conduct INTRO, DUPRO and FRI statistical audits on each shipment of Principal as described in Principal’s Quality Assurance Manual.</w:t>
      </w:r>
    </w:p>
    <w:p>
      <w:pPr>
        <w:spacing w:after="0" w:line="194" w:lineRule="exact"/>
        <w:rPr>
          <w:rFonts w:ascii="Arial" w:cs="Arial" w:eastAsia="Arial" w:hAnsi="Arial"/>
          <w:sz w:val="16"/>
          <w:szCs w:val="16"/>
          <w:color w:val="auto"/>
        </w:rPr>
      </w:pPr>
    </w:p>
    <w:p>
      <w:pPr>
        <w:ind w:left="640" w:hanging="19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Agent shall provide an inspection certificate to Principal for each shipment stating that:</w:t>
      </w:r>
    </w:p>
    <w:p>
      <w:pPr>
        <w:spacing w:after="0" w:line="90" w:lineRule="exact"/>
        <w:rPr>
          <w:rFonts w:ascii="Arial" w:cs="Arial" w:eastAsia="Arial" w:hAnsi="Arial"/>
          <w:sz w:val="18"/>
          <w:szCs w:val="18"/>
          <w:color w:val="auto"/>
        </w:rPr>
      </w:pPr>
    </w:p>
    <w:p>
      <w:pPr>
        <w:ind w:left="1460" w:right="160" w:hanging="567"/>
        <w:spacing w:after="0" w:line="332" w:lineRule="auto"/>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quality of materials, workmanship and styling of the Merchandise meets the relevant quality requirements of the written specifications of the samples upon which Principal’s purchase was based and passed a Final Random Inspection (FRI);</w:t>
      </w:r>
    </w:p>
    <w:p>
      <w:pPr>
        <w:spacing w:after="0" w:line="4" w:lineRule="exact"/>
        <w:rPr>
          <w:rFonts w:ascii="Arial" w:cs="Arial" w:eastAsia="Arial" w:hAnsi="Arial"/>
          <w:sz w:val="16"/>
          <w:szCs w:val="16"/>
          <w:color w:val="auto"/>
        </w:rPr>
      </w:pPr>
    </w:p>
    <w:p>
      <w:pPr>
        <w:ind w:left="1460" w:right="140" w:hanging="567"/>
        <w:spacing w:after="0" w:line="332" w:lineRule="auto"/>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the Flammable Fabric Act applies to the Merchandise, reasonable and representative tests were conducted in accordance with said Act to demonstrate that the Merchandise conforms in all material respects with the flammability standards issued thereunder;</w:t>
      </w:r>
    </w:p>
    <w:p>
      <w:pPr>
        <w:spacing w:after="0" w:line="4" w:lineRule="exact"/>
        <w:rPr>
          <w:rFonts w:ascii="Arial" w:cs="Arial" w:eastAsia="Arial" w:hAnsi="Arial"/>
          <w:sz w:val="16"/>
          <w:szCs w:val="16"/>
          <w:color w:val="auto"/>
        </w:rPr>
      </w:pPr>
    </w:p>
    <w:p>
      <w:pPr>
        <w:ind w:left="1460" w:hanging="56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Merchandise complies with all requirements provided, in writing, by Principal;</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color of the Merchandise matches the laboratory dips upon which Principal’s purchase was based;</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Merchandise, if knit, meets the weight specifications that may have been provided by Principal; and.</w:t>
      </w:r>
    </w:p>
    <w:p>
      <w:pPr>
        <w:spacing w:after="0" w:line="90" w:lineRule="exact"/>
        <w:rPr>
          <w:rFonts w:ascii="Arial" w:cs="Arial" w:eastAsia="Arial" w:hAnsi="Arial"/>
          <w:sz w:val="18"/>
          <w:szCs w:val="18"/>
          <w:color w:val="auto"/>
        </w:rPr>
      </w:pPr>
    </w:p>
    <w:p>
      <w:pPr>
        <w:ind w:left="1460" w:right="320" w:hanging="567"/>
        <w:spacing w:after="0" w:line="268"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Merchandise is packed in a manner specified and approved by Principal which will insure its safe transport to Principal’s designated destination.</w:t>
      </w:r>
    </w:p>
    <w:p>
      <w:pPr>
        <w:spacing w:after="0" w:line="131" w:lineRule="exact"/>
        <w:rPr>
          <w:rFonts w:ascii="Arial" w:cs="Arial" w:eastAsia="Arial" w:hAnsi="Arial"/>
          <w:sz w:val="18"/>
          <w:szCs w:val="18"/>
          <w:color w:val="auto"/>
        </w:rPr>
      </w:pPr>
    </w:p>
    <w:p>
      <w:pPr>
        <w:ind w:left="-20" w:firstLine="464"/>
        <w:spacing w:after="0" w:line="256" w:lineRule="auto"/>
        <w:tabs>
          <w:tab w:leader="none" w:pos="6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Agent shall assure to the best of its ability that all invoices, affidavits, letters, papers or other statements, written or verbal, pertaining to the Merchandise are complete and contain no material omissions or fraudulent or false statements in contravention of the U.S. Tariff Act of 1930, as amended, or any other applicable law, and shall supply Principal with the originals or copies of all such written documents promptly upon Principal’s request. Agent shall abide by the terms of the Foreign Corrupt Practices Act.</w:t>
      </w:r>
    </w:p>
    <w:p>
      <w:pPr>
        <w:spacing w:after="0" w:line="143" w:lineRule="exact"/>
        <w:rPr>
          <w:rFonts w:ascii="Arial" w:cs="Arial" w:eastAsia="Arial" w:hAnsi="Arial"/>
          <w:sz w:val="18"/>
          <w:szCs w:val="18"/>
          <w:color w:val="auto"/>
        </w:rPr>
      </w:pPr>
    </w:p>
    <w:p>
      <w:pPr>
        <w:ind w:left="640" w:hanging="19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Agent shall verify that the quota category (if any) for the Merchandise shipped is open at the time of shipment.</w:t>
      </w:r>
    </w:p>
    <w:p>
      <w:pPr>
        <w:spacing w:after="0" w:line="171" w:lineRule="exact"/>
        <w:rPr>
          <w:rFonts w:ascii="Arial" w:cs="Arial" w:eastAsia="Arial" w:hAnsi="Arial"/>
          <w:sz w:val="18"/>
          <w:szCs w:val="18"/>
          <w:color w:val="auto"/>
        </w:rPr>
      </w:pPr>
    </w:p>
    <w:p>
      <w:pPr>
        <w:ind w:left="-20" w:right="52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Agent, only at Principal’s specific written direction, shall purchase quota on Principal’s behalf. Principal shall fund all such purchases. Any quota benefits, whether temporary or permanent, resulting from such purchase shall inure to the sole benefit of Principal.</w:t>
      </w:r>
    </w:p>
    <w:p>
      <w:pPr>
        <w:spacing w:after="0" w:line="85" w:lineRule="exact"/>
        <w:rPr>
          <w:rFonts w:ascii="Arial" w:cs="Arial" w:eastAsia="Arial" w:hAnsi="Arial"/>
          <w:sz w:val="16"/>
          <w:szCs w:val="16"/>
          <w:color w:val="auto"/>
        </w:rPr>
      </w:pPr>
    </w:p>
    <w:p>
      <w:pPr>
        <w:ind w:left="-20" w:right="640" w:firstLine="464"/>
        <w:spacing w:after="0" w:line="268" w:lineRule="auto"/>
        <w:tabs>
          <w:tab w:leader="none" w:pos="6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Agent will ensure that copies of invoices, bills of lading, packing lists, properly authenticated visas (when required), certificates of origin (when required), assemblers’ declarations (when required), plus other related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94" w:name="page95"/>
    <w:bookmarkEnd w:id="9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necessary documents, as well as shipping and other export documents covering all Merchandise purchases by Principal, are forwarded to Principal not later than fifteen (15) days after shipment.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Agent represents and warrants that it is knowledgeable and familiar with Property Rights in the apparel and accessories industry.</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H. Agent will verify, in writing, that Suppliers are reputable, have acceptable credit ratings and have the financial and other means to be able to meet the requirements set forth in Principal’s written purchase orders. Where or when available, Agent shall obtain credit reports and/or other information regarding Suppliers or potential Suppliers and forward such reports to Principal, upon request.</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 Undertake its best efforts to ensure that goods ordered by Principal will not be transshipped, or their country of origin otherwise misrepresented, including the careful selection of each factory and ensuring that each factory selected possesses the necessary capacity in plant, machinery, and personnel to produce the merchandise to be ordered.</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J. Ensure that upon request by Principal, Agent will obtain, and forward to Principal, within fifteen (15) days of receipt of the request, the following production/country of origin verification documents for any and all shipments of Merchandise, including, but not limited to, cutting records, packing lists, production records, employee time clock and other records, bills of lading, necessary to verify the country of origin of the Merchandise, or for any other purpose.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 Ensure that Principal and/or its broker or representative, will be given access to Supplier’s facilities: (i) at times designated by Principal so that it may perform its own in-factory quality insurance inspection, and (ii) at all reasonable times, and from time to time, and without notice, to inspect the facilities of any Supplier introduced to Principal by Agent, or any sub-agents (as the case may be), under this Agreement in order that Principal may be satisfied that the Merchandise being produced pursuant to its written purchase order(s) is being manufactured by Supplier in accordance with all laws and legal requirements of the country in which the Merchandise, or any portion of the Merchandise, is manufactured, including all laws relating to the minimum age, hours, wages, health and safety.</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L. Agent, at Principal’s written request and direction, agrees to use its best reasonable efforts to negotiate any and all disputes and claims arising with any Supplier of Merchandise, and upon Principal’s written request, consistent with Principal’s reasonable instructions, and on Principal’s behalf, to settle any and all such disputes and claims to the satisfaction of Principal.</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 Agent will, at all times during the term of this Agreement, use its best reasonable efforts to monitor and ensure that all Merchandise, or any portion thereof, manufactured by any Supplier introduced to Principal by Agent is produced in accordance with the written purchase order of Principal and in strict compliance with all applicable governmental laws, ordinances, codes, rules, regulations, programs, plans and orders of the United States and of the country in which such Merchandise, or any such portion thereof, is produced, including without limitation the Occupational Safety and Health Act, the Fair Labor Standards Act of 1938, Title VII of the Civil Rights Act, the Age Discrimination in Employment Act, Executive Order 11246, as amended by Executive Order 11375, along with the implementing rules and regulations of the Office of Federal Contracts Compliance (</w:t>
      </w:r>
      <w:r>
        <w:rPr>
          <w:rFonts w:ascii="Arial" w:cs="Arial" w:eastAsia="Arial" w:hAnsi="Arial"/>
          <w:sz w:val="16"/>
          <w:szCs w:val="16"/>
          <w:i w:val="1"/>
          <w:iCs w:val="1"/>
          <w:color w:val="auto"/>
        </w:rPr>
        <w:t>MINIMUM AGE, HOURS, WAGES HEALTH AND SAFETY)</w:t>
      </w:r>
      <w:r>
        <w:rPr>
          <w:rFonts w:ascii="Arial" w:cs="Arial" w:eastAsia="Arial" w:hAnsi="Arial"/>
          <w:sz w:val="16"/>
          <w:szCs w:val="16"/>
          <w:color w:val="auto"/>
        </w:rPr>
        <w:t>, and § 307 of the U.S. Tariff Act of 1930, as amended (19 U.S.C. §1307), prohibiting the importation of goods, or any portion thereof, manufactured by use of convict, forced or indentured labor of any kind (including convict, forced or indentured child labor) destined for United States markets, and Agent will notify Principal immediately upon becoming aware of any violation thereof. Further, Agent will ensure that all Suppliers are, at all times during the term of this Agreement, complaint with Principal’s written “Standards for Suppliers”.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5" w:name="page96"/>
    <w:bookmarkEnd w:id="95"/>
    <w:p>
      <w:pPr>
        <w:ind w:right="4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 Agent will monitor all requirements of the United States Customs Service regarding global security, as described in the Customs-Trade Partnership Against Terrorism (C-TPAT) Program, and will notify Principal immediately upon becoming aware of any violation thereof.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In all transactions connected with this Agreement, Agent shall:</w:t>
      </w:r>
    </w:p>
    <w:p>
      <w:pPr>
        <w:spacing w:after="0" w:line="90" w:lineRule="exact"/>
        <w:rPr>
          <w:sz w:val="20"/>
          <w:szCs w:val="20"/>
          <w:color w:val="auto"/>
        </w:rPr>
      </w:pPr>
    </w:p>
    <w:p>
      <w:pPr>
        <w:ind w:left="1480" w:right="560" w:hanging="567"/>
        <w:spacing w:after="0" w:line="268"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no authority to bind Principal except upon Principal’s written purchase order or other written instructions as finally approved by Principal; and</w:t>
      </w:r>
    </w:p>
    <w:p>
      <w:pPr>
        <w:spacing w:after="0" w:line="50" w:lineRule="exact"/>
        <w:rPr>
          <w:rFonts w:ascii="Arial" w:cs="Arial" w:eastAsia="Arial" w:hAnsi="Arial"/>
          <w:sz w:val="18"/>
          <w:szCs w:val="18"/>
          <w:color w:val="auto"/>
        </w:rPr>
      </w:pPr>
    </w:p>
    <w:p>
      <w:pPr>
        <w:ind w:left="1480" w:right="80" w:hanging="567"/>
        <w:spacing w:after="0" w:line="298" w:lineRule="auto"/>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clearly indicate that Agent is at all times only acting as a buying agent, and that Principal is at all times the principal solely responsible for purchasing, accepting delivery, and paying for the Merchandise. Agent has no authority, express or implied, to purchase the Merchandise on its own account, take delivery or title to said Merchandise, hold such Merchandise in inventory, pay, commit to pay, or arrange for the payment for such Merchandise from its own funds, such functions being the sole responsibility of Principal.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 Agent warrants that under no circumstances shall Agent:</w:t>
      </w:r>
    </w:p>
    <w:p>
      <w:pPr>
        <w:spacing w:after="0" w:line="90" w:lineRule="exact"/>
        <w:rPr>
          <w:sz w:val="20"/>
          <w:szCs w:val="20"/>
          <w:color w:val="auto"/>
        </w:rPr>
      </w:pPr>
    </w:p>
    <w:p>
      <w:pPr>
        <w:ind w:left="1480" w:right="280" w:hanging="567"/>
        <w:spacing w:after="0" w:line="332" w:lineRule="auto"/>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receive, directly or indirectly, any compensation or other monetary or non-monetary remuneration from any Party other than Principal, in connection with Agent’s activities or the performance of its duties under this Agreement, unless and with the exception that:</w:t>
      </w:r>
    </w:p>
    <w:p>
      <w:pPr>
        <w:spacing w:after="0" w:line="4" w:lineRule="exact"/>
        <w:rPr>
          <w:rFonts w:ascii="Arial" w:cs="Arial" w:eastAsia="Arial" w:hAnsi="Arial"/>
          <w:sz w:val="16"/>
          <w:szCs w:val="16"/>
          <w:color w:val="auto"/>
        </w:rPr>
      </w:pPr>
    </w:p>
    <w:p>
      <w:pPr>
        <w:ind w:left="1920" w:hanging="440"/>
        <w:spacing w:after="0" w:line="306" w:lineRule="auto"/>
        <w:tabs>
          <w:tab w:leader="none" w:pos="19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Principal expressly authorizes Agent, in writing, to provide financial assistance that may be requested by the Supplier in question at a cost to be borne by that Supplier, in order that raw materials can be secured and production can proceed to meet the specified shipment date of Principal. Such financial assistance shall primarily consist of Agent’s opening a letter of credit to that Supplier; and</w:t>
      </w:r>
    </w:p>
    <w:p>
      <w:pPr>
        <w:spacing w:after="0" w:line="25" w:lineRule="exact"/>
        <w:rPr>
          <w:rFonts w:ascii="Arial" w:cs="Arial" w:eastAsia="Arial" w:hAnsi="Arial"/>
          <w:sz w:val="16"/>
          <w:szCs w:val="16"/>
          <w:color w:val="auto"/>
        </w:rPr>
      </w:pPr>
    </w:p>
    <w:p>
      <w:pPr>
        <w:ind w:left="1920" w:right="260" w:hanging="440"/>
        <w:spacing w:after="0" w:line="268"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Agent may receive reimbursement by Suppliers for product liability insurance coverage purchased by Agent on behalf of Suppliers against Merchandise shipped to Principal.</w:t>
      </w:r>
    </w:p>
    <w:p>
      <w:pPr>
        <w:spacing w:after="0" w:line="51"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directly or indirectly, any of its commission with any Supplier;</w:t>
      </w:r>
    </w:p>
    <w:p>
      <w:pPr>
        <w:spacing w:after="0" w:line="90" w:lineRule="exact"/>
        <w:rPr>
          <w:sz w:val="20"/>
          <w:szCs w:val="20"/>
          <w:color w:val="auto"/>
        </w:rPr>
      </w:pPr>
    </w:p>
    <w:p>
      <w:pPr>
        <w:ind w:left="1480" w:right="280" w:hanging="567"/>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sell, exchange, transfer or provide any materials used in or, tools, patterns, molds, dies used for, the production of Merchandise that is the subject of this Agreement.</w:t>
      </w:r>
    </w:p>
    <w:p>
      <w:pPr>
        <w:spacing w:after="0" w:line="125" w:lineRule="exact"/>
        <w:rPr>
          <w:rFonts w:ascii="Arial" w:cs="Arial" w:eastAsia="Arial" w:hAnsi="Arial"/>
          <w:sz w:val="18"/>
          <w:szCs w:val="18"/>
          <w:color w:val="auto"/>
        </w:rPr>
      </w:pPr>
    </w:p>
    <w:p>
      <w:pPr>
        <w:ind w:right="40" w:firstLine="464"/>
        <w:spacing w:after="0" w:line="291" w:lineRule="auto"/>
        <w:tabs>
          <w:tab w:leader="none" w:pos="63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PURCHASING TERMS. </w:t>
      </w:r>
      <w:r>
        <w:rPr>
          <w:rFonts w:ascii="Arial" w:cs="Arial" w:eastAsia="Arial" w:hAnsi="Arial"/>
          <w:sz w:val="16"/>
          <w:szCs w:val="16"/>
          <w:color w:val="auto"/>
        </w:rPr>
        <w:t>All purchases made by Agent for Principal’s benefit pursuant to this Agreement and the written purchase order of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F.O.B. port of loading in the country of origin (in the case of China, it can also be F.O.B. HK) unless otherwise agreed to in writing by the Parties hereto. Commercial invoices will be prepared by the Supplier on the basis of the actual F.O.B. price (the “F.O.B. Country of Origin Price”) paid by Principal, exclusive of Agent’s commission. Unless otherwise specifically agreed to by the Parties, payment for all purchases of the merchandise by Principal, or by customers of the Principal, shall be by transferable irrevocable confirmed bankers’ letter of credit at a sight to be established in favor of Agent with the condition that the related Merchandise shall be consigned to the bank by which said letter of credit is drawn. All such letters of credit shall be in a form approved by Agent and shall be net of Agent’s commission.</w:t>
      </w:r>
    </w:p>
    <w:p>
      <w:pPr>
        <w:spacing w:after="0" w:line="113" w:lineRule="exact"/>
        <w:rPr>
          <w:rFonts w:ascii="Arial" w:cs="Arial" w:eastAsia="Arial" w:hAnsi="Arial"/>
          <w:sz w:val="16"/>
          <w:szCs w:val="16"/>
          <w:b w:val="1"/>
          <w:bCs w:val="1"/>
          <w:color w:val="auto"/>
        </w:rPr>
      </w:pPr>
    </w:p>
    <w:p>
      <w:pPr>
        <w:ind w:left="640" w:hanging="176"/>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PRINCIPAL’S DUTIES AND RESPONSIBILITIES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Principal will pay Agent for providing the service required of Agent under this Agreement and in the manner hereinafter provided, a buying commission based upon Five Percent (5%) of the F.O.B. Country of Origin Price, which commission will be indicated on Principal’s written purchase order. This commission will be further evidenced by a statement substantially in the following form, to be affixed to the commercial invoice prepared by the Supplier:</w:t>
      </w:r>
    </w:p>
    <w:p>
      <w:pPr>
        <w:spacing w:after="0" w:line="26" w:lineRule="exact"/>
        <w:rPr>
          <w:sz w:val="20"/>
          <w:szCs w:val="20"/>
          <w:color w:val="auto"/>
        </w:rPr>
      </w:pPr>
    </w:p>
    <w:p>
      <w:pPr>
        <w:ind w:left="460" w:right="720" w:firstLine="438"/>
        <w:spacing w:after="0" w:line="268" w:lineRule="auto"/>
        <w:rPr>
          <w:sz w:val="20"/>
          <w:szCs w:val="20"/>
          <w:color w:val="auto"/>
        </w:rPr>
      </w:pPr>
      <w:r>
        <w:rPr>
          <w:rFonts w:ascii="Arial" w:cs="Arial" w:eastAsia="Arial" w:hAnsi="Arial"/>
          <w:sz w:val="18"/>
          <w:szCs w:val="18"/>
          <w:i w:val="1"/>
          <w:iCs w:val="1"/>
          <w:color w:val="auto"/>
        </w:rPr>
        <w:t>“Li &amp; Fung (Trading) Limited has acted as Buying Agent for the Principal, Designs Apparel, Inc., in this transaction and a Buying Agency Commission of Five Percent (5 %) of the F.O.B. Country of Origin price has been paid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6" w:name="page97"/>
    <w:bookmarkEnd w:id="96"/>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provisions set forth below, Agent’s commission shall not be deemed earned, due and payable until each of the following events shall have been satisfied: (1) Principal’s broker or representative has had an opportunity to inspect and approve the following documents, and (2) Principal is in receipt of the following documents:</w:t>
      </w:r>
    </w:p>
    <w:p>
      <w:pPr>
        <w:spacing w:after="0" w:line="59"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Agent’s invoice for the commission;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Commercial Invoice (in duplicate);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Packing List for the Commercial Invoice with Supplier’s complete name and address;</w:t>
      </w:r>
    </w:p>
    <w:p>
      <w:pPr>
        <w:spacing w:after="0" w:line="9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Certificate of Inspection issued by Agent representing that the invoiced Merchandise are in full accordance with Principal’s purchase order and have been inspected and approved for shipment;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Completed and Signed Textile Export Visa/License Document, if applicable;</w:t>
      </w:r>
    </w:p>
    <w:p>
      <w:pPr>
        <w:spacing w:after="0" w:line="90" w:lineRule="exact"/>
        <w:rPr>
          <w:rFonts w:ascii="Arial" w:cs="Arial" w:eastAsia="Arial" w:hAnsi="Arial"/>
          <w:sz w:val="18"/>
          <w:szCs w:val="18"/>
          <w:color w:val="auto"/>
        </w:rPr>
      </w:pPr>
    </w:p>
    <w:p>
      <w:pPr>
        <w:ind w:left="1480" w:right="60" w:hanging="567"/>
        <w:spacing w:after="0" w:line="294" w:lineRule="auto"/>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Completed and Signed Beneficiary’s Statement listing relevant purchase orders and certifying that: (i) all Merchandise is manufactured in accordance with all laws and legal requirements of the country in which the Merchandise, or any portion of the Merchandise, is manufactured, including all laws relating to the minimum age, hours, wages, health and safety; and (ii) no laborer under the age of fourteen (14) may be used to manufacture the Merchandise or any portion thereof; and (iii) pursuant to 19 U.S.C. Section 1307, no involuntary labor of any kind, including convict labor and/or forced labor may be used to manufacture the Merchandise or any portion thereof;</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Certificate of Origin;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Textile Country of Declaration, if applicable;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(1) Original/Negotiable clean on Board Ocean Bill of Lading;</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(1) Original Forwarder’s Cargo Receipt issued by Principal’s consolidator;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Waterproof or water-resistant lab test (when Merchandise is represented as such).</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Principal shall pay Agent its commission, via wire transfer funds to a deposit account established at a financial institution designated by Agent, within seven (7) days after it is earned, due and payable as specified above. In addition to any other remedies available to Principal, Principal shall have the right to withhold or offset (consistent with Section 8(d) below) any funds due Agent if Agent fails to perform any of its obligations under this Agreement. Payment by Principal for any shipment shall not, of itself, constitute acceptance.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 Principal will pay all costs of insurance, shipping, forwarding, handling and other incidental charges and disbursements against shipments incurred by Principal.</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 No provision of this Agreement shall be construed to limit or qualify the responsibilities that Principal, as importer of record of the Merchandise, has under the laws administered by the United States Customs Service, or under applicable common law, state or federal statutes and regulations, or the policies of any governmental authority.</w:t>
      </w:r>
    </w:p>
    <w:p>
      <w:pPr>
        <w:spacing w:after="0" w:line="134" w:lineRule="exact"/>
        <w:rPr>
          <w:sz w:val="20"/>
          <w:szCs w:val="20"/>
          <w:color w:val="auto"/>
        </w:rPr>
      </w:pPr>
    </w:p>
    <w:p>
      <w:pPr>
        <w:ind w:firstLine="464"/>
        <w:spacing w:after="0" w:line="255" w:lineRule="auto"/>
        <w:tabs>
          <w:tab w:leader="none" w:pos="63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 Except for any claims against Agent arising out of Agent’s alleged gross negligence, willful misconduct or fraud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Agent’s failure to fully perform its obligations under this Agreement, Principal acknowledges that all claims arising out of or relating to the purchase of Merchandise through Agent shall be made against the Seller of such Merchandise and not against Agent; provided, however that to the extent that Agent furnishes any designs for any Merchandise purchased by Principal from a Seller, Agent shall defend and indemnify Principal from and against all liabilities, costs and claims arising in connection with such designs, including but not limited to any claims that such designs infringe any patent, trademark, trade dress, copyright, right of privacy or other property right.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97" w:name="page98"/>
    <w:bookmarkEnd w:id="97"/>
    <w:p>
      <w:pPr>
        <w:ind w:right="480" w:firstLine="464"/>
        <w:spacing w:after="0" w:line="275" w:lineRule="auto"/>
        <w:tabs>
          <w:tab w:leader="none" w:pos="63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AND REMEDIES</w:t>
      </w:r>
      <w:r>
        <w:rPr>
          <w:rFonts w:ascii="Arial" w:cs="Arial" w:eastAsia="Arial" w:hAnsi="Arial"/>
          <w:sz w:val="18"/>
          <w:szCs w:val="18"/>
          <w:color w:val="auto"/>
        </w:rPr>
        <w:t>. Agent’s failure to comply with any of the terms and conditions of this Agreement shall be grounds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by Principal of any one or more of the following remedies:</w:t>
      </w:r>
    </w:p>
    <w:p>
      <w:pPr>
        <w:spacing w:after="0" w:line="4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Cancellation of this Agreement;</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Cancellation of all or any part of any undelivered purchase order without notice, including but not limited to the balance of any remaining installments on a multiple-shipment purchase order;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Termination of all current and future business relationships;</w:t>
      </w:r>
    </w:p>
    <w:p>
      <w:pPr>
        <w:spacing w:after="0" w:line="90" w:lineRule="exact"/>
        <w:rPr>
          <w:rFonts w:ascii="Arial" w:cs="Arial" w:eastAsia="Arial" w:hAnsi="Arial"/>
          <w:sz w:val="18"/>
          <w:szCs w:val="18"/>
          <w:color w:val="auto"/>
        </w:rPr>
      </w:pPr>
    </w:p>
    <w:p>
      <w:pPr>
        <w:ind w:left="1480" w:right="420" w:hanging="567"/>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Recovery from Agent of any damages sustained by Principal as a result of Agent’s breach or default, which amount may be withheld or offset against funds owed by Principal to Agent;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Principal’s remedies under the Uniform Commercial Code and such other remedies as are provided under applicable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remedies are not exclusive and are in addition to all other remedies available to Principal at law or in equity.</w:t>
      </w:r>
    </w:p>
    <w:p>
      <w:pPr>
        <w:spacing w:after="0" w:line="165" w:lineRule="exact"/>
        <w:rPr>
          <w:sz w:val="20"/>
          <w:szCs w:val="20"/>
          <w:color w:val="auto"/>
        </w:rPr>
      </w:pPr>
    </w:p>
    <w:p>
      <w:pPr>
        <w:ind w:firstLine="464"/>
        <w:spacing w:after="0" w:line="287" w:lineRule="auto"/>
        <w:tabs>
          <w:tab w:leader="none" w:pos="63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Agent agrees to indemnify and save harmless Principal, its subsidiaries and affiliates, and each of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employees from any and all liabilities, causes of action, lawsuits, penalties, claims or demands (including the costs, expenses and reasonable attorneys’ fees on account thereof), arising or alleged to have arisen in whole or in part from the negligent or willful acts or omissions of Agent or from the breach by Agent of any of its obligations hereunder, or from the failure of Agent to comply with any federal, state or local statute, regulation, order or requirement, or with any international law or legal requirement, or otherwise arising out of or in connection with the Services provided by Agent hereunder, including, without limitation, any loss arising out of dishonest or fraudulent acts or any claim, demand, proceeding or action brought against Principal, its subsidiaries, affiliates and each of its or their respective directors, officers and employees, or by reason of any alleged or actual negligence, bad faith or willful misconduct on the part of Agent, including but not limited to any such claim or proceeding arising out of or in connection with: (1) the importation, entry or sale of the Merchandise into the commerce of the United States, or (2) the defense or prosecution of any Property Right resulting from the importation, entry or sale of the Merchandise in the United States. Principal agrees to notify Agent promptly of any written claims or demands against Principal for which Agent is responsible hereunder. Agent’s financial responsibility shall be limited to, but shall not exceed, the commission due for the Merchandise, except in cases alleging willful misconduct, gross negligence or fraud as provided in Section 7, above.</w:t>
      </w:r>
    </w:p>
    <w:p>
      <w:pPr>
        <w:spacing w:after="0" w:line="114" w:lineRule="exact"/>
        <w:rPr>
          <w:rFonts w:ascii="Arial" w:cs="Arial" w:eastAsia="Arial" w:hAnsi="Arial"/>
          <w:sz w:val="16"/>
          <w:szCs w:val="16"/>
          <w:b w:val="1"/>
          <w:bCs w:val="1"/>
          <w:color w:val="auto"/>
        </w:rPr>
      </w:pPr>
    </w:p>
    <w:p>
      <w:pPr>
        <w:ind w:left="720" w:hanging="256"/>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DISPUTES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 Any dispute, controversy or claim arising out of or relating or pertaining to this Agreement (including both tort and contractual claims), or the breach, termination or validity of it which cannot be directly settled by Principal and Agent involving an amount of $50,000 or less will be submitted to and settled by arbitration in accordance with the rules of the I.C.D.R. (International Center for Dispute Resolution) applying the substantive law of the state of New York without regard to any conflict of laws provisions, consistent with the provisions of Section 10(c), below. The arbitration shall have State of New York as venue and the proceeding is to be conducted in the English language. The arbitral panel shall consist of one arbitrator to be agreed to by both parties. In the absence of any such agreement, the I.C.D.R. shall appoint a neutral arbitrator versed in the New York law and admitted to practice in the State of New York. Any settlement payment required by the findings of the I.C.D.R. shall be made to the appropriate Party within fifteen (15) days following notification of such findings. An arbitral award shall issue within thirty (30) days of the date on which the final hearing is concluded.</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 Any disputed controversy which cannot be directly settled by Principal and Agent involving an amount greater than $50,000 may be taken by either Party to any court having jurisdiction over the matter, consistent with the provisions of Section 10(c),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8" w:name="page99"/>
    <w:bookmarkEnd w:id="98"/>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Principal and Agent hereby consent to the personal and subject matter jurisdiction and venue of the courts of the State of New York and the United States District Court for the District of New York for all purposes in connection with this Agreement. New York substantive law shall apply and the parties do not waive their rights to a trial by jury of all facts so triable as a matter or right. All objections to such jurisdiction and venue are hereby waived.</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Principal and Agent further consent that any process or notice of motion in connection therewith may be served in accordance with the provisions of Section 14 of this Agreement, within or without the State of New York, provided a reasonable time for appearance is allowed.</w:t>
      </w:r>
    </w:p>
    <w:p>
      <w:pPr>
        <w:spacing w:after="0" w:line="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 This Agreement shall be construed and enforced in accordance with the laws of the State of New York as if it were an agreement made and to be performed entirely within such state. This Agreement shall not be governed by the provisions of the United Nations Convention on Contracts for the International Sale of Goods.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CONFIDENTIALITY AND NON-DISCLOSURE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11.1 OBLIGATION OF CONFIDENTIALITY. Each Party hereto acknowledges that it has been informed of the confidential and proprietary nature of the others Confidential Information and agrees that the Party receiving the Confidential Information (the “Recipient”) (including, without limitation, any such information furnished prior to the date of this Agreement) from the Party disclosing the Confidential Information (the “Disclosing Party”), shall, at all times, take all reasonable steps to ensure that Confidential Information of the Disclosing Party is not disclosed to third-parties; provided, however, that such information may be disclosed to those directors, officers, employees, brokers and representatives (including financial advisors, attorneys and accountants) of the Recipient (each, a “Representative,” and collectively, the “Representatives”) who have a substantial “need-to-know” such information , or as may otherwise be expressly permitted, in writing, by the Disclosing Party The Recipient shall inform each such Representative of the confidential nature of such information and of the confidentiality undertakings of the Recipient contained herein. The Recipient shall be responsible for ensuring that its Representatives comply with the terms and conditions of this Agreement. As used herein, “reasonable steps” means the steps that the Recipient takes to protect its own, similarly confidential or proprietary information, which shall not be less than a reasonable standard of care.</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11.2 DEFINITION OF CONFIDENTIAL INFORMATION. As used herein, “Confidential Information” means any of the Disclosing Party’s proprietary or confidential information, technical data, trade secrets or know-how, whether existing or contemplated, that is disclosed, directly or indirectly, to the Recipient or one of its Representatives by or on behalf of the Disclosing Party, in writing, orally or by drawings or inspection of documents or other tangible property. However, “Confidential Information” shall not include any of the foregoing items which:</w:t>
      </w:r>
    </w:p>
    <w:p>
      <w:pPr>
        <w:spacing w:after="0" w:line="62"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disclosure, is in the public domain;</w:t>
      </w:r>
    </w:p>
    <w:p>
      <w:pPr>
        <w:spacing w:after="0" w:line="90"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after disclosure, becomes known to the public through no act or omission of the Recipient or any of its Representatives;</w:t>
      </w:r>
    </w:p>
    <w:p>
      <w:pPr>
        <w:spacing w:after="0" w:line="90" w:lineRule="exact"/>
        <w:rPr>
          <w:rFonts w:ascii="Arial" w:cs="Arial" w:eastAsia="Arial" w:hAnsi="Arial"/>
          <w:sz w:val="18"/>
          <w:szCs w:val="18"/>
          <w:color w:val="auto"/>
        </w:rPr>
      </w:pPr>
    </w:p>
    <w:p>
      <w:pPr>
        <w:ind w:left="1480" w:right="20" w:hanging="567"/>
        <w:spacing w:after="0" w:line="306" w:lineRule="auto"/>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is required to be disclosed pursuant to applicable law, rule, regulation, or court or administrative order; provided, however, that the Recipient shall take reasonable steps to obtain confidential treatment for such items and shall promptly advise the Disclosing Party of its notice of any such requirement in order to permit the Disclosing Party to obtain such confidential treatment on its own behalf.</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11.3 RETURN OF CONFIDENTIAL INFORMATION. Upon termination of this Agreement, and upon written request by the Disclosing Party at anytime prior to termination of this Agreement, the Recipient shall promptly deliver to the Disclosing Party all original Confidential Information of the Disclosing Party in its possession, in whatever medium, and shall cause all copies, summaries, synopses or derivations thereof to be destroyed.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9" w:name="page100"/>
    <w:bookmarkEnd w:id="99"/>
    <w:p>
      <w:pPr>
        <w:jc w:val="both"/>
        <w:ind w:firstLine="464"/>
        <w:spacing w:after="0" w:line="262" w:lineRule="auto"/>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INJUNCTIVE RELIEF</w:t>
      </w:r>
      <w:r>
        <w:rPr>
          <w:rFonts w:ascii="Arial" w:cs="Arial" w:eastAsia="Arial" w:hAnsi="Arial"/>
          <w:sz w:val="18"/>
          <w:szCs w:val="18"/>
          <w:color w:val="auto"/>
        </w:rPr>
        <w:t>. Agent understands that a breach of the provisions in Section 11 of this Agreement concerning Confidential Information could</w:t>
      </w:r>
      <w:r>
        <w:rPr>
          <w:rFonts w:ascii="Arial" w:cs="Arial" w:eastAsia="Arial" w:hAnsi="Arial"/>
          <w:sz w:val="18"/>
          <w:szCs w:val="18"/>
          <w:b w:val="1"/>
          <w:bCs w:val="1"/>
          <w:color w:val="auto"/>
        </w:rPr>
        <w:t xml:space="preserve"> </w:t>
      </w:r>
      <w:r>
        <w:rPr>
          <w:rFonts w:ascii="Arial" w:cs="Arial" w:eastAsia="Arial" w:hAnsi="Arial"/>
          <w:sz w:val="18"/>
          <w:szCs w:val="18"/>
          <w:color w:val="auto"/>
        </w:rPr>
        <w:t>cause Principal irreparable injury inadequately compensable through monetary damages and, accordingly, agrees that Principal shall be entitled to injunctive relief against any such breach or threatened breach in addition to any other available remedies.</w:t>
      </w:r>
    </w:p>
    <w:p>
      <w:pPr>
        <w:spacing w:after="0" w:line="132" w:lineRule="exact"/>
        <w:rPr>
          <w:rFonts w:ascii="Arial" w:cs="Arial" w:eastAsia="Arial" w:hAnsi="Arial"/>
          <w:sz w:val="18"/>
          <w:szCs w:val="18"/>
          <w:b w:val="1"/>
          <w:bCs w:val="1"/>
          <w:color w:val="auto"/>
        </w:rPr>
      </w:pPr>
    </w:p>
    <w:p>
      <w:pPr>
        <w:ind w:left="720" w:hanging="256"/>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AND WARRANTIES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13.1 NO CONFLICTS. Agent represents and warrants to Principal that it has no obligations to any third-party, which will in any way limit or restrict its ability to provide Services to Principal hereunder.</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13.2 NO VIOLATION OF LAW OR CONTRACT. Agent represents and warrants to Principal that its performance of Service under this Agreement does not and shall not violate any applicable law, rule or regulation or any contracts with third-parties.</w:t>
      </w:r>
    </w:p>
    <w:p>
      <w:pPr>
        <w:spacing w:after="0" w:line="13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13.3 CAPACITY. Agent represents and warrants to Principal that: (i) it has all requisite legal and corporate power and authority to execute and deliver this Agreement and to carry out and perform all of its obligations under this Agreement; (ii) the execution, delivery and performance by it of this Agreement does not violate its Certificate of Incorporation or by-laws, or otherwise violate any applicable law, rule, regulation, judgment, injunction, order or decree; and (iii) it holds and is in compliance with any applicable permits, licenses and other approvals required to carry out its obligations under this Agreement.</w:t>
      </w:r>
    </w:p>
    <w:p>
      <w:pPr>
        <w:spacing w:after="0" w:line="113" w:lineRule="exact"/>
        <w:rPr>
          <w:sz w:val="20"/>
          <w:szCs w:val="20"/>
          <w:color w:val="auto"/>
        </w:rPr>
      </w:pPr>
    </w:p>
    <w:p>
      <w:pPr>
        <w:ind w:firstLine="464"/>
        <w:spacing w:after="0" w:line="259"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NOTICES. All notices, requests, demands, claims and other communications hereunder shall be in writing and shall be given, made or communicated either by personal delivery, facsimile or telecopy transmission, reliable overnight courier (e.g. UPS, FedEx) or by registered or certified mail, postage prepaid, and addressed to the intended recipient as follows:</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Agent, by mail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Li &amp; Fung (Trading) Limited</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9th Floor, Li Fung Tower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888 Cheung Sha Wan Road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Kowloon, Hong Kong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Danny Lau</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or by facsimile to: (011) 852 2300 3230</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Principal, by mail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Designs Apparel, Inc.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Casual Male Retail Group,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Import Department</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or by facsimile to: (781) 821-7651</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or to such other address or to such other person as the intended recipient of such notices shall notify the other Party of in accordance with the foregoing. Any notice shall deemed to have been given, made, received or communicated as the case may be on the date personal delivery was effected if personally served, on the date shown on the sender’s receipt of its facsimile transmission if by facsimile, on the date shown as the date of delivery on the overnight courier’s copy if by overnight courier, or on the date of delivery (or attempted delivery) as shown on the return receipt if delivered by registered or certified mail.</w:t>
      </w:r>
    </w:p>
    <w:p>
      <w:pPr>
        <w:spacing w:after="0" w:line="107" w:lineRule="exact"/>
        <w:rPr>
          <w:sz w:val="20"/>
          <w:szCs w:val="20"/>
          <w:color w:val="auto"/>
        </w:rPr>
      </w:pPr>
    </w:p>
    <w:p>
      <w:pPr>
        <w:ind w:right="560" w:firstLine="464"/>
        <w:spacing w:after="0" w:line="275" w:lineRule="auto"/>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EXCUSABLE DELAYS; FORCE MAJEURE. </w:t>
      </w:r>
      <w:r>
        <w:rPr>
          <w:rFonts w:ascii="Arial" w:cs="Arial" w:eastAsia="Arial" w:hAnsi="Arial"/>
          <w:sz w:val="18"/>
          <w:szCs w:val="18"/>
          <w:color w:val="auto"/>
        </w:rPr>
        <w:t>Neither Party to this Agreement will be considered to be in default of this Agreement, or have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whatsoever to the other, as a result of events beyond their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0" w:name="page101"/>
    <w:bookmarkEnd w:id="100"/>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control which could not have been avoided by the exercise of reasonable prudence, including delays caused by acts of God, acts or regulations of any governmental or supra-national authority, war or national emergency, accident, fire, riot, strike, lock-outs and industrial disputes. The Agent is required to use its best efforts to avoid recommending the use of factories with a history of labor troubles in regards to lock-outs and industrial disputes.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no event shall lack of finances be considered an event beyond the control of a Party. In the event of the occurrence of any force majeure event, the affected Party shall notify the other Party immediately in writing of its invocation of this Section 15, and each Party’s obligations hereunder (except for the payment of money) to the other shall be suspended for the duration of such force majeure event; provided however, that the affected Party shall be obligated to use its commercial reasonable efforts to restore performance hereunder as soon as reasonably practicable, and provided, further that if such event continued for more that thirty (30) days in the aggregate during the Initial Term or in any six (6) month period thereafter, the non-affected Party shall have the right to terminate this Agreement upon written notice to the other Party.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MISCELLANEOUS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16.1 COUNTERPARTS. This Agreement may be executed in any number of counterparts, each of which will be deemed an original, but all of which together will constitute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16.2 SECTION HEADINGS. The section headings used herein are for reference and convenience only and shall not enter into the interpretation hereof.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attachment referred to herein and attached hereto is incorporated herein to the same extent as if set forth herein.</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16.3 REQUIRED APPROVALS. Where agreement, approval, acceptance, or consent by either Party is required by any provision of this Agreement, such action shall not be unreasonably delayed or withheld.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16.4 FACSIMILE SIGNATURE. The Parties hereto agree that facsimile signatures shall be as effective as if originals.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16.5 RETENTION OF RECORDS. For a period of six (6) years following the completion of all Services under this Agreement, Agent shall keep and make available for inspection, examination and audit by Principal, its employees, agents, brokers, representatives and assigns, all records maintained by Agent in connection with the furnishing of the Services hereunder.</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16.6 ASSIGNMENT. Agent may not assign or otherwise transfer this Agreement or subcontract any of its obligations hereunder without the prior written consent of Principal, which consent may be withheld by Principal in its absolute and sole discretion. Principal may assign or otherwise transfer this Agreement to</w:t>
      </w:r>
    </w:p>
    <w:p>
      <w:pPr>
        <w:ind w:right="600" w:firstLine="8"/>
        <w:spacing w:after="0" w:line="261" w:lineRule="auto"/>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purchaser of all or substantially all of its assets, or (ii) an affiliate or subsidiary of Principal, or subcontract any of its obligations hereunder at its sole unfettered discretion.</w:t>
      </w:r>
    </w:p>
    <w:p>
      <w:pPr>
        <w:spacing w:after="0" w:line="13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16.7 NO WAIVER OF RIGHT. No consent to or waiver of any breach or default of any term or condition of this Agreement shall not be considered as a waiver of any subsequent breach of the same or any other term or condition hereof. Failure on the part of either Party or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16.8 SEVERABILITY. In the event any provision of this Agreement shall be held invalid, the same shall not invalidate or otherwise affect in any respect any other term or terms of this Agreement, which terms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16.9. SURVIVAL. All terms, conditions, obligations and provisions capable of surviving the termination of this Agreement shall so survive.</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16.10 GOVERNING LAW. This Agreement shall be governed by, and construed and enforced in accordance with the laws of the Commonwealth of Massachusetts applicable to contracts made and to be entirely performed therein, without regard to conflict of laws principles.</w:t>
      </w:r>
    </w:p>
    <w:p>
      <w:pPr>
        <w:spacing w:after="0" w:line="79" w:lineRule="exact"/>
        <w:rPr>
          <w:sz w:val="20"/>
          <w:szCs w:val="20"/>
          <w:color w:val="auto"/>
        </w:rPr>
      </w:pPr>
    </w:p>
    <w:p>
      <w:pPr>
        <w:ind w:right="360" w:firstLine="464"/>
        <w:spacing w:after="0" w:line="310" w:lineRule="auto"/>
        <w:tabs>
          <w:tab w:leader="none" w:pos="72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and the attachment annexed hereto constitute the entire agreement between the Parties and supersedes,</w:t>
      </w:r>
      <w:r>
        <w:rPr>
          <w:rFonts w:ascii="Arial" w:cs="Arial" w:eastAsia="Arial" w:hAnsi="Arial"/>
          <w:sz w:val="16"/>
          <w:szCs w:val="16"/>
          <w:b w:val="1"/>
          <w:bCs w:val="1"/>
          <w:color w:val="auto"/>
        </w:rPr>
        <w:t xml:space="preserve"> </w:t>
      </w:r>
      <w:r>
        <w:rPr>
          <w:rFonts w:ascii="Arial" w:cs="Arial" w:eastAsia="Arial" w:hAnsi="Arial"/>
          <w:sz w:val="16"/>
          <w:szCs w:val="16"/>
          <w:color w:val="auto"/>
        </w:rPr>
        <w:t>replaces and takes precedence over any prior understanding or oral or written agreement between the Parties with respect to the subject matter hereof. No supplement, modification or amendment to this Agreement shall be binding unless executed by both Parties hereunder.</w:t>
      </w:r>
    </w:p>
    <w:p>
      <w:pPr>
        <w:spacing w:after="0" w:line="9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signed and delivered by their duly authorized officers or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ESIGNS</w:t>
            </w:r>
            <w:r>
              <w:rPr>
                <w:rFonts w:ascii="Arial" w:cs="Arial" w:eastAsia="Arial" w:hAnsi="Arial"/>
                <w:sz w:val="18"/>
                <w:szCs w:val="18"/>
                <w:color w:val="auto"/>
              </w:rPr>
              <w:t xml:space="preserve"> A</w:t>
            </w:r>
            <w:r>
              <w:rPr>
                <w:rFonts w:ascii="Arial" w:cs="Arial" w:eastAsia="Arial" w:hAnsi="Arial"/>
                <w:sz w:val="14"/>
                <w:szCs w:val="14"/>
                <w:color w:val="auto"/>
              </w:rPr>
              <w:t>PPAREL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20" w:type="dxa"/>
            <w:vAlign w:val="bottom"/>
            <w:gridSpan w:val="3"/>
          </w:tcPr>
          <w:p>
            <w:pPr>
              <w:ind w:left="8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w:t>
            </w:r>
            <w:r>
              <w:rPr>
                <w:rFonts w:ascii="Arial" w:cs="Arial" w:eastAsia="Arial" w:hAnsi="Arial"/>
                <w:sz w:val="18"/>
                <w:szCs w:val="18"/>
                <w:color w:val="auto"/>
              </w:rPr>
              <w:t xml:space="preserve"> &amp; F</w:t>
            </w:r>
            <w:r>
              <w:rPr>
                <w:rFonts w:ascii="Arial" w:cs="Arial" w:eastAsia="Arial" w:hAnsi="Arial"/>
                <w:sz w:val="14"/>
                <w:szCs w:val="14"/>
                <w:color w:val="auto"/>
              </w:rPr>
              <w:t>UNG</w:t>
            </w:r>
            <w:r>
              <w:rPr>
                <w:rFonts w:ascii="Arial" w:cs="Arial" w:eastAsia="Arial" w:hAnsi="Arial"/>
                <w:sz w:val="18"/>
                <w:szCs w:val="18"/>
                <w:color w:val="auto"/>
              </w:rPr>
              <w:t xml:space="preserve"> (T</w:t>
            </w:r>
            <w:r>
              <w:rPr>
                <w:rFonts w:ascii="Arial" w:cs="Arial" w:eastAsia="Arial" w:hAnsi="Arial"/>
                <w:sz w:val="14"/>
                <w:szCs w:val="14"/>
                <w:color w:val="auto"/>
              </w:rPr>
              <w:t>RADING</w:t>
            </w:r>
            <w:r>
              <w:rPr>
                <w:rFonts w:ascii="Arial" w:cs="Arial" w:eastAsia="Arial" w:hAnsi="Arial"/>
                <w:sz w:val="18"/>
                <w:szCs w:val="18"/>
                <w:color w:val="auto"/>
              </w:rPr>
              <w:t>) L</w:t>
            </w:r>
            <w:r>
              <w:rPr>
                <w:rFonts w:ascii="Arial" w:cs="Arial" w:eastAsia="Arial" w:hAnsi="Arial"/>
                <w:sz w:val="14"/>
                <w:szCs w:val="14"/>
                <w:color w:val="auto"/>
              </w:rPr>
              <w:t>IMITED</w:t>
            </w:r>
          </w:p>
        </w:tc>
        <w:tc>
          <w:tcPr>
            <w:tcW w:w="3020" w:type="dxa"/>
            <w:vAlign w:val="bottom"/>
          </w:tcPr>
          <w:p>
            <w:pPr>
              <w:spacing w:after="0"/>
              <w:rPr>
                <w:sz w:val="18"/>
                <w:szCs w:val="18"/>
                <w:color w:val="auto"/>
              </w:rPr>
            </w:pPr>
          </w:p>
        </w:tc>
      </w:tr>
      <w:tr>
        <w:trPr>
          <w:trHeight w:val="222"/>
        </w:trPr>
        <w:tc>
          <w:tcPr>
            <w:tcW w:w="120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4080" w:type="dxa"/>
            <w:vAlign w:val="bottom"/>
          </w:tcPr>
          <w:p>
            <w:pPr>
              <w:spacing w:after="0"/>
              <w:rPr>
                <w:sz w:val="19"/>
                <w:szCs w:val="19"/>
                <w:color w:val="auto"/>
              </w:rPr>
            </w:pPr>
          </w:p>
        </w:tc>
        <w:tc>
          <w:tcPr>
            <w:tcW w:w="2100" w:type="dxa"/>
            <w:vAlign w:val="bottom"/>
            <w:gridSpan w:val="2"/>
          </w:tcPr>
          <w:p>
            <w:pPr>
              <w:ind w:left="8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GENT</w:t>
            </w: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7"/>
        </w:trPr>
        <w:tc>
          <w:tcPr>
            <w:tcW w:w="120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jc w:val="center"/>
              <w:ind w:right="94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2100" w:type="dxa"/>
            <w:vAlign w:val="bottom"/>
            <w:gridSpan w:val="2"/>
          </w:tcPr>
          <w:p>
            <w:pPr>
              <w:ind w:left="800"/>
              <w:spacing w:after="0"/>
              <w:rPr>
                <w:sz w:val="20"/>
                <w:szCs w:val="20"/>
                <w:color w:val="auto"/>
              </w:rPr>
            </w:pPr>
            <w:r>
              <w:rPr>
                <w:rFonts w:ascii="Arial" w:cs="Arial" w:eastAsia="Arial" w:hAnsi="Arial"/>
                <w:sz w:val="18"/>
                <w:szCs w:val="18"/>
                <w:color w:val="auto"/>
              </w:rPr>
              <w:t>By:</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Pr>
          <w:p>
            <w:pPr>
              <w:jc w:val="center"/>
              <w:ind w:right="1744"/>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ANNY</w:t>
            </w:r>
            <w:r>
              <w:rPr>
                <w:rFonts w:ascii="Arial" w:cs="Arial" w:eastAsia="Arial" w:hAnsi="Arial"/>
                <w:sz w:val="18"/>
                <w:szCs w:val="18"/>
                <w:color w:val="auto"/>
              </w:rPr>
              <w:t xml:space="preserve"> L</w:t>
            </w:r>
            <w:r>
              <w:rPr>
                <w:rFonts w:ascii="Arial" w:cs="Arial" w:eastAsia="Arial" w:hAnsi="Arial"/>
                <w:sz w:val="14"/>
                <w:szCs w:val="14"/>
                <w:color w:val="auto"/>
              </w:rPr>
              <w:t>AU</w:t>
            </w:r>
          </w:p>
        </w:tc>
      </w:tr>
      <w:tr>
        <w:trPr>
          <w:trHeight w:val="130"/>
        </w:trPr>
        <w:tc>
          <w:tcPr>
            <w:tcW w:w="3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80" w:type="dxa"/>
            <w:vAlign w:val="bottom"/>
            <w:tcBorders>
              <w:top w:val="single" w:sz="8" w:color="auto"/>
            </w:tcBorders>
          </w:tcPr>
          <w:p>
            <w:pPr>
              <w:jc w:val="center"/>
              <w:ind w:right="646"/>
              <w:spacing w:after="0" w:line="131" w:lineRule="exact"/>
              <w:rPr>
                <w:sz w:val="20"/>
                <w:szCs w:val="20"/>
                <w:color w:val="auto"/>
              </w:rPr>
            </w:pPr>
            <w:r>
              <w:rPr>
                <w:rFonts w:ascii="Arial" w:cs="Arial" w:eastAsia="Arial" w:hAnsi="Arial"/>
                <w:sz w:val="14"/>
                <w:szCs w:val="14"/>
                <w:b w:val="1"/>
                <w:bCs w:val="1"/>
                <w:color w:val="auto"/>
                <w:w w:val="91"/>
              </w:rPr>
              <w:t>David A. Levin</w:t>
            </w:r>
          </w:p>
        </w:tc>
        <w:tc>
          <w:tcPr>
            <w:tcW w:w="1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jc w:val="center"/>
              <w:ind w:right="1804"/>
              <w:spacing w:after="0" w:line="131" w:lineRule="exact"/>
              <w:rPr>
                <w:sz w:val="20"/>
                <w:szCs w:val="20"/>
                <w:color w:val="auto"/>
              </w:rPr>
            </w:pPr>
            <w:r>
              <w:rPr>
                <w:rFonts w:ascii="Arial" w:cs="Arial" w:eastAsia="Arial" w:hAnsi="Arial"/>
                <w:sz w:val="14"/>
                <w:szCs w:val="14"/>
                <w:b w:val="1"/>
                <w:bCs w:val="1"/>
                <w:color w:val="auto"/>
                <w:w w:val="92"/>
              </w:rPr>
              <w:t>Danny Lau</w:t>
            </w:r>
          </w:p>
        </w:tc>
      </w:tr>
      <w:tr>
        <w:trPr>
          <w:trHeight w:val="174"/>
        </w:trPr>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80" w:type="dxa"/>
            <w:vAlign w:val="bottom"/>
          </w:tcPr>
          <w:p>
            <w:pPr>
              <w:jc w:val="center"/>
              <w:ind w:right="666"/>
              <w:spacing w:after="0"/>
              <w:rPr>
                <w:sz w:val="20"/>
                <w:szCs w:val="20"/>
                <w:color w:val="auto"/>
              </w:rPr>
            </w:pPr>
            <w:r>
              <w:rPr>
                <w:rFonts w:ascii="Arial" w:cs="Arial" w:eastAsia="Arial" w:hAnsi="Arial"/>
                <w:sz w:val="14"/>
                <w:szCs w:val="14"/>
                <w:b w:val="1"/>
                <w:bCs w:val="1"/>
                <w:color w:val="auto"/>
                <w:w w:val="91"/>
              </w:rPr>
              <w:t>President &amp; CEO</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tcPr>
          <w:p>
            <w:pPr>
              <w:jc w:val="center"/>
              <w:ind w:right="1824"/>
              <w:spacing w:after="0"/>
              <w:rPr>
                <w:sz w:val="20"/>
                <w:szCs w:val="20"/>
                <w:color w:val="auto"/>
              </w:rPr>
            </w:pPr>
            <w:r>
              <w:rPr>
                <w:rFonts w:ascii="Arial" w:cs="Arial" w:eastAsia="Arial" w:hAnsi="Arial"/>
                <w:sz w:val="14"/>
                <w:szCs w:val="14"/>
                <w:b w:val="1"/>
                <w:bCs w:val="1"/>
                <w:color w:val="auto"/>
                <w:w w:val="87"/>
              </w:rPr>
              <w:t>Executive Director</w:t>
            </w:r>
          </w:p>
        </w:tc>
      </w:tr>
      <w:tr>
        <w:trPr>
          <w:trHeight w:val="634"/>
        </w:trPr>
        <w:tc>
          <w:tcPr>
            <w:tcW w:w="120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jc w:val="center"/>
              <w:ind w:right="94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c>
          <w:tcPr>
            <w:tcW w:w="2100" w:type="dxa"/>
            <w:vAlign w:val="bottom"/>
            <w:gridSpan w:val="2"/>
          </w:tcPr>
          <w:p>
            <w:pPr>
              <w:ind w:left="800"/>
              <w:spacing w:after="0"/>
              <w:rPr>
                <w:sz w:val="20"/>
                <w:szCs w:val="20"/>
                <w:color w:val="auto"/>
              </w:rPr>
            </w:pPr>
            <w:r>
              <w:rPr>
                <w:rFonts w:ascii="Arial" w:cs="Arial" w:eastAsia="Arial" w:hAnsi="Arial"/>
                <w:sz w:val="18"/>
                <w:szCs w:val="18"/>
                <w:color w:val="auto"/>
              </w:rPr>
              <w:t>By:</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Pr>
          <w:p>
            <w:pPr>
              <w:jc w:val="center"/>
              <w:ind w:right="1744"/>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F</w:t>
            </w:r>
            <w:r>
              <w:rPr>
                <w:rFonts w:ascii="Arial" w:cs="Arial" w:eastAsia="Arial" w:hAnsi="Arial"/>
                <w:sz w:val="14"/>
                <w:szCs w:val="14"/>
                <w:color w:val="auto"/>
              </w:rPr>
              <w:t>ROMKIN</w:t>
            </w:r>
          </w:p>
        </w:tc>
      </w:tr>
      <w:tr>
        <w:trPr>
          <w:trHeight w:val="130"/>
        </w:trPr>
        <w:tc>
          <w:tcPr>
            <w:tcW w:w="3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80" w:type="dxa"/>
            <w:vAlign w:val="bottom"/>
            <w:tcBorders>
              <w:top w:val="single" w:sz="8" w:color="auto"/>
            </w:tcBorders>
          </w:tcPr>
          <w:p>
            <w:pPr>
              <w:jc w:val="center"/>
              <w:ind w:right="646"/>
              <w:spacing w:after="0" w:line="131" w:lineRule="exact"/>
              <w:rPr>
                <w:sz w:val="20"/>
                <w:szCs w:val="20"/>
                <w:color w:val="auto"/>
              </w:rPr>
            </w:pPr>
            <w:r>
              <w:rPr>
                <w:rFonts w:ascii="Arial" w:cs="Arial" w:eastAsia="Arial" w:hAnsi="Arial"/>
                <w:sz w:val="14"/>
                <w:szCs w:val="14"/>
                <w:b w:val="1"/>
                <w:bCs w:val="1"/>
                <w:color w:val="auto"/>
                <w:w w:val="89"/>
              </w:rPr>
              <w:t>Dennis R. Hernreich</w:t>
            </w:r>
          </w:p>
        </w:tc>
        <w:tc>
          <w:tcPr>
            <w:tcW w:w="1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jc w:val="center"/>
              <w:ind w:right="1804"/>
              <w:spacing w:after="0" w:line="131" w:lineRule="exact"/>
              <w:rPr>
                <w:sz w:val="20"/>
                <w:szCs w:val="20"/>
                <w:color w:val="auto"/>
              </w:rPr>
            </w:pPr>
            <w:r>
              <w:rPr>
                <w:rFonts w:ascii="Arial" w:cs="Arial" w:eastAsia="Arial" w:hAnsi="Arial"/>
                <w:sz w:val="14"/>
                <w:szCs w:val="14"/>
                <w:b w:val="1"/>
                <w:bCs w:val="1"/>
                <w:color w:val="auto"/>
                <w:w w:val="91"/>
              </w:rPr>
              <w:t>Alan Fromkin</w:t>
            </w:r>
          </w:p>
        </w:tc>
      </w:tr>
      <w:tr>
        <w:trPr>
          <w:trHeight w:val="174"/>
        </w:trPr>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80" w:type="dxa"/>
            <w:vAlign w:val="bottom"/>
          </w:tcPr>
          <w:p>
            <w:pPr>
              <w:jc w:val="center"/>
              <w:ind w:right="666"/>
              <w:spacing w:after="0"/>
              <w:rPr>
                <w:sz w:val="20"/>
                <w:szCs w:val="20"/>
                <w:color w:val="auto"/>
              </w:rPr>
            </w:pPr>
            <w:r>
              <w:rPr>
                <w:rFonts w:ascii="Arial" w:cs="Arial" w:eastAsia="Arial" w:hAnsi="Arial"/>
                <w:sz w:val="14"/>
                <w:szCs w:val="14"/>
                <w:b w:val="1"/>
                <w:bCs w:val="1"/>
                <w:color w:val="auto"/>
                <w:w w:val="89"/>
              </w:rPr>
              <w:t>EVP, COO, CFO, Treasurer and Secretary</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40" w:type="dxa"/>
            <w:vAlign w:val="bottom"/>
            <w:gridSpan w:val="2"/>
          </w:tcPr>
          <w:p>
            <w:pPr>
              <w:jc w:val="center"/>
              <w:ind w:right="804"/>
              <w:spacing w:after="0"/>
              <w:rPr>
                <w:sz w:val="20"/>
                <w:szCs w:val="20"/>
                <w:color w:val="auto"/>
              </w:rPr>
            </w:pPr>
            <w:r>
              <w:rPr>
                <w:rFonts w:ascii="Arial" w:cs="Arial" w:eastAsia="Arial" w:hAnsi="Arial"/>
                <w:sz w:val="14"/>
                <w:szCs w:val="14"/>
                <w:b w:val="1"/>
                <w:bCs w:val="1"/>
                <w:color w:val="auto"/>
                <w:w w:val="86"/>
              </w:rPr>
              <w:t>Senior Vice President</w:t>
            </w:r>
          </w:p>
        </w:tc>
      </w:tr>
      <w:tr>
        <w:trPr>
          <w:trHeight w:val="363"/>
        </w:trPr>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3"/>
          </w:tcPr>
          <w:p>
            <w:pPr>
              <w:ind w:left="3380"/>
              <w:spacing w:after="0"/>
              <w:rPr>
                <w:sz w:val="20"/>
                <w:szCs w:val="20"/>
                <w:color w:val="auto"/>
              </w:rPr>
            </w:pPr>
            <w:r>
              <w:rPr>
                <w:rFonts w:ascii="Arial" w:cs="Arial" w:eastAsia="Arial" w:hAnsi="Arial"/>
                <w:sz w:val="18"/>
                <w:szCs w:val="18"/>
                <w:b w:val="1"/>
                <w:bCs w:val="1"/>
                <w:color w:val="auto"/>
              </w:rPr>
              <w:t>SUBSIDIARIES OF CASUAL MALE RETAIL GROUP, INC.</w:t>
            </w:r>
          </w:p>
        </w:tc>
      </w:tr>
      <w:tr>
        <w:trPr>
          <w:trHeight w:val="228"/>
        </w:trPr>
        <w:tc>
          <w:tcPr>
            <w:tcW w:w="11420" w:type="dxa"/>
            <w:vAlign w:val="bottom"/>
            <w:gridSpan w:val="3"/>
          </w:tcPr>
          <w:p>
            <w:pPr>
              <w:ind w:left="4160"/>
              <w:spacing w:after="0"/>
              <w:rPr>
                <w:sz w:val="20"/>
                <w:szCs w:val="20"/>
                <w:color w:val="auto"/>
              </w:rPr>
            </w:pPr>
            <w:r>
              <w:rPr>
                <w:rFonts w:ascii="Arial" w:cs="Arial" w:eastAsia="Arial" w:hAnsi="Arial"/>
                <w:sz w:val="18"/>
                <w:szCs w:val="18"/>
                <w:b w:val="1"/>
                <w:bCs w:val="1"/>
                <w:color w:val="auto"/>
              </w:rPr>
              <w:t>Wholly-owned unless otherwise indicated</w:t>
            </w:r>
          </w:p>
        </w:tc>
      </w:tr>
      <w:tr>
        <w:trPr>
          <w:trHeight w:val="353"/>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of Incorporation:</w:t>
            </w: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Designs Apparel, Inc.</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Casual Male Store, LLC (f/k/a Designs CMAL Store Inc.)</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Capture, LLC (a)</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Casual Male Retail Store, LLC (f/k/a Designs CMAL Retail Store Inc.)</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Casual Male Direct, LLC (f/k/a Designs CMAL TBD Inc.)</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LP Innovations, Inc. (b)</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Securex LLC (c)</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Casual Male RBT, LLC</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Casual Male RBT (U.K.), LLC (d)</w:t>
            </w: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Casual Male Canada Inc.</w:t>
            </w: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Ontario, Canada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Casual Male Retail Group, Inc.)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85% owned by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owed by LP Innovations,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S-3 Nos. 333-118966, 333-112598, 333-90742, and 33-53358 and Form S-8 Nos. 333-112561, 333-112218, and 33-52892) of our reports dated March 29, 2006, with respect to the consolidated financial statements and schedule of Casual Male Retail Group, Inc., Casual Male Retail Group, Inc.’s management’s assessment of the effectiveness of internal control over financial reporting, and the effectiveness of internal control over financial reporting of Casual Male Retail Group, Inc., included in this Annual Report (Form 10-K) for the year ended January 28, 2006.</w:t>
      </w:r>
    </w:p>
    <w:p>
      <w:pPr>
        <w:spacing w:after="0" w:line="224"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2006</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31, 2006</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sz w:val="20"/>
          <w:szCs w:val="20"/>
          <w:color w:val="auto"/>
        </w:rPr>
      </w:pPr>
    </w:p>
    <w:p>
      <w:pPr>
        <w:ind w:left="900" w:right="100" w:hanging="446"/>
        <w:spacing w:after="0" w:line="33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31, 2006</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28, 2006,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7" w:lineRule="exact"/>
        <w:rPr>
          <w:sz w:val="20"/>
          <w:szCs w:val="20"/>
          <w:color w:val="auto"/>
        </w:rPr>
      </w:pPr>
    </w:p>
    <w:p>
      <w:pPr>
        <w:spacing w:after="0"/>
        <w:tabs>
          <w:tab w:leader="none" w:pos="9000" w:val="left"/>
          <w:tab w:leader="none" w:pos="9360" w:val="left"/>
        </w:tabs>
        <w:rPr>
          <w:sz w:val="20"/>
          <w:szCs w:val="20"/>
          <w:color w:val="auto"/>
        </w:rPr>
      </w:pPr>
      <w:r>
        <w:rPr>
          <w:rFonts w:ascii="Arial" w:cs="Arial" w:eastAsia="Arial" w:hAnsi="Arial"/>
          <w:sz w:val="18"/>
          <w:szCs w:val="18"/>
          <w:color w:val="auto"/>
        </w:rPr>
        <w:t>Dated: March 31,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w:t>
      </w:r>
      <w:r>
        <w:rPr>
          <w:rFonts w:ascii="Arial" w:cs="Arial" w:eastAsia="Arial" w:hAnsi="Arial"/>
          <w:sz w:val="23"/>
          <w:szCs w:val="23"/>
          <w:color w:val="auto"/>
          <w:vertAlign w:val="superscript"/>
        </w:rPr>
        <w:t>AVID</w:t>
      </w:r>
      <w:r>
        <w:rPr>
          <w:rFonts w:ascii="Arial" w:cs="Arial" w:eastAsia="Arial" w:hAnsi="Arial"/>
          <w:sz w:val="15"/>
          <w:szCs w:val="15"/>
          <w:color w:val="auto"/>
        </w:rPr>
        <w:t xml:space="preserve"> A. L</w:t>
      </w:r>
      <w:r>
        <w:rPr>
          <w:rFonts w:ascii="Arial" w:cs="Arial" w:eastAsia="Arial" w:hAnsi="Arial"/>
          <w:sz w:val="23"/>
          <w:szCs w:val="23"/>
          <w:color w:val="auto"/>
          <w:vertAlign w:val="superscript"/>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-11430</wp:posOffset>
            </wp:positionV>
            <wp:extent cx="1517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8"/>
          <w:szCs w:val="18"/>
          <w:color w:val="auto"/>
        </w:rPr>
        <w:t>David A. Levin</w:t>
      </w:r>
    </w:p>
    <w:p>
      <w:pPr>
        <w:spacing w:after="0" w:line="1"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28, 2006,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250" w:lineRule="exact"/>
        <w:rPr>
          <w:sz w:val="20"/>
          <w:szCs w:val="20"/>
          <w:color w:val="auto"/>
        </w:rPr>
      </w:pPr>
    </w:p>
    <w:p>
      <w:pPr>
        <w:spacing w:after="0"/>
        <w:tabs>
          <w:tab w:leader="none" w:pos="5940" w:val="left"/>
          <w:tab w:leader="none" w:pos="7740" w:val="left"/>
          <w:tab w:leader="none" w:pos="8100" w:val="left"/>
        </w:tabs>
        <w:rPr>
          <w:sz w:val="20"/>
          <w:szCs w:val="20"/>
          <w:color w:val="auto"/>
        </w:rPr>
      </w:pPr>
      <w:r>
        <w:rPr>
          <w:rFonts w:ascii="Arial" w:cs="Arial" w:eastAsia="Arial" w:hAnsi="Arial"/>
          <w:sz w:val="18"/>
          <w:szCs w:val="18"/>
          <w:color w:val="auto"/>
        </w:rPr>
        <w:t>Dated: March 31,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upperLetter"/>
      <w:start w:val="5"/>
    </w:lvl>
  </w:abstractNum>
  <w:abstractNum w:abstractNumId="8">
    <w:nsid w:val="4516DDE9"/>
    <w:multiLevelType w:val="hybridMultilevel"/>
    <w:lvl w:ilvl="0">
      <w:lvlJc w:val="left"/>
      <w:lvlText w:val="%1."/>
      <w:numFmt w:val="upperLetter"/>
      <w:start w:val="5"/>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4"/>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lowerRoman"/>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lowerRoman"/>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5"/>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lowerRoman"/>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60"/>
    </w:lvl>
  </w:abstractNum>
  <w:abstractNum w:abstractNumId="31">
    <w:nsid w:val="2CD89A32"/>
    <w:multiLevelType w:val="hybridMultilevel"/>
    <w:lvl w:ilvl="0">
      <w:lvlJc w:val="left"/>
      <w:lvlText w:val="%1."/>
      <w:numFmt w:val="lowerRoman"/>
      <w:start w:val="1"/>
    </w:lvl>
  </w:abstractNum>
  <w:abstractNum w:abstractNumId="32">
    <w:nsid w:val="57E4CCAF"/>
    <w:multiLevelType w:val="hybridMultilevel"/>
    <w:lvl w:ilvl="0">
      <w:lvlJc w:val="left"/>
      <w:lvlText w:val="%1"/>
      <w:numFmt w:val="upperLetter"/>
      <w:start w:val="1"/>
    </w:lvl>
    <w:lvl w:ilvl="1">
      <w:lvlJc w:val="left"/>
      <w:lvlText w:val="%2."/>
      <w:numFmt w:val="lowerRoman"/>
      <w:start w:val="4"/>
    </w:lvl>
  </w:abstractNum>
  <w:abstractNum w:abstractNumId="33">
    <w:nsid w:val="7A6D8D3C"/>
    <w:multiLevelType w:val="hybridMultilevel"/>
    <w:lvl w:ilvl="0">
      <w:lvlJc w:val="left"/>
      <w:lvlText w:val="%1."/>
      <w:numFmt w:val="upperLetter"/>
      <w:start w:val="2"/>
    </w:lvl>
    <w:lvl w:ilvl="1">
      <w:lvlJc w:val="left"/>
      <w:lvlText w:val="%2."/>
      <w:numFmt w:val="lowerRoman"/>
      <w:start w:val="1"/>
    </w:lvl>
  </w:abstractNum>
  <w:abstractNum w:abstractNumId="34">
    <w:nsid w:val="4B588F54"/>
    <w:multiLevelType w:val="hybridMultilevel"/>
    <w:lvl w:ilvl="0">
      <w:lvlJc w:val="left"/>
      <w:lvlText w:val="%1."/>
      <w:numFmt w:val="lowerRoman"/>
      <w:start w:val="1"/>
    </w:lvl>
  </w:abstractNum>
  <w:abstractNum w:abstractNumId="35">
    <w:nsid w:val="542289EC"/>
    <w:multiLevelType w:val="hybridMultilevel"/>
    <w:lvl w:ilvl="0">
      <w:lvlJc w:val="left"/>
      <w:lvlText w:val="i"/>
      <w:numFmt w:val="bullet"/>
      <w:start w:val="1"/>
    </w:lvl>
    <w:lvl w:ilvl="1">
      <w:lvlJc w:val="left"/>
      <w:lvlText w:val="(%2)"/>
      <w:numFmt w:val="lowerLetter"/>
      <w:start w:val="1"/>
    </w:lvl>
  </w:abstractNum>
  <w:abstractNum w:abstractNumId="36">
    <w:nsid w:val="6DE91B18"/>
    <w:multiLevelType w:val="hybridMultilevel"/>
    <w:lvl w:ilvl="0">
      <w:lvlJc w:val="left"/>
      <w:lvlText w:val="%1."/>
      <w:numFmt w:val="lowerRoman"/>
      <w:start w:val="2"/>
    </w:lvl>
  </w:abstractNum>
  <w:abstractNum w:abstractNumId="37">
    <w:nsid w:val="38437FDB"/>
    <w:multiLevelType w:val="hybridMultilevel"/>
    <w:lvl w:ilvl="0">
      <w:lvlJc w:val="left"/>
      <w:lvlText w:val="%1"/>
      <w:numFmt w:val="decimal"/>
      <w:start w:val="1"/>
    </w:lvl>
    <w:lvl w:ilvl="1">
      <w:lvlJc w:val="left"/>
      <w:lvlText w:val="%2"/>
      <w:numFmt w:val="lowerRoman"/>
      <w:start w:val="3"/>
    </w:lvl>
  </w:abstractNum>
  <w:abstractNum w:abstractNumId="38">
    <w:nsid w:val="7644A45C"/>
    <w:multiLevelType w:val="hybridMultilevel"/>
    <w:lvl w:ilvl="0">
      <w:lvlJc w:val="left"/>
      <w:lvlText w:val="%1."/>
      <w:numFmt w:val="decimal"/>
      <w:start w:val="5"/>
    </w:lvl>
    <w:lvl w:ilvl="1">
      <w:lvlJc w:val="left"/>
      <w:lvlText w:val="%2"/>
      <w:numFmt w:val="lowerRoman"/>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decimal"/>
      <w:start w:val="7"/>
    </w:lvl>
  </w:abstractNum>
  <w:abstractNum w:abstractNumId="41">
    <w:nsid w:val="579478FE"/>
    <w:multiLevelType w:val="hybridMultilevel"/>
    <w:lvl w:ilvl="0">
      <w:lvlJc w:val="left"/>
      <w:lvlText w:val="%1."/>
      <w:numFmt w:val="decimal"/>
      <w:start w:val="8"/>
    </w:lvl>
    <w:lvl w:ilvl="1">
      <w:lvlJc w:val="left"/>
      <w:lvlText w:val="%2."/>
      <w:numFmt w:val="lowerLetter"/>
      <w:start w:val="1"/>
    </w:lvl>
  </w:abstractNum>
  <w:abstractNum w:abstractNumId="42">
    <w:nsid w:val="749ABB43"/>
    <w:multiLevelType w:val="hybridMultilevel"/>
    <w:lvl w:ilvl="0">
      <w:lvlJc w:val="left"/>
      <w:lvlText w:val="%1."/>
      <w:numFmt w:val="decimal"/>
      <w:start w:val="9"/>
    </w:lvl>
  </w:abstractNum>
  <w:abstractNum w:abstractNumId="43">
    <w:nsid w:val="3DC240FB"/>
    <w:multiLevelType w:val="hybridMultilevel"/>
    <w:lvl w:ilvl="0">
      <w:lvlJc w:val="left"/>
      <w:lvlText w:val="i"/>
      <w:numFmt w:val="bullet"/>
      <w:start w:val="1"/>
    </w:lvl>
  </w:abstractNum>
  <w:abstractNum w:abstractNumId="44">
    <w:nsid w:val="1BA026FA"/>
    <w:multiLevelType w:val="hybridMultilevel"/>
    <w:lvl w:ilvl="0">
      <w:lvlJc w:val="left"/>
      <w:lvlText w:val="%1"/>
      <w:numFmt w:val="lowerRoman"/>
      <w:start w:val="2"/>
    </w:lvl>
  </w:abstractNum>
  <w:abstractNum w:abstractNumId="45">
    <w:nsid w:val="79A1DEAA"/>
    <w:multiLevelType w:val="hybridMultilevel"/>
    <w:lvl w:ilvl="0">
      <w:lvlJc w:val="left"/>
      <w:lvlText w:val="%1."/>
      <w:numFmt w:val="decimal"/>
      <w:start w:val="12"/>
    </w:lvl>
  </w:abstractNum>
  <w:abstractNum w:abstractNumId="46">
    <w:nsid w:val="75C6C33A"/>
    <w:multiLevelType w:val="hybridMultilevel"/>
    <w:lvl w:ilvl="0">
      <w:lvlJc w:val="left"/>
      <w:lvlText w:val="%1."/>
      <w:numFmt w:val="decimal"/>
      <w:start w:val="14"/>
    </w:lvl>
  </w:abstractNum>
  <w:abstractNum w:abstractNumId="47">
    <w:nsid w:val="12E685FB"/>
    <w:multiLevelType w:val="hybridMultilevel"/>
    <w:lvl w:ilvl="0">
      <w:lvlJc w:val="left"/>
      <w:lvlText w:val="%1."/>
      <w:numFmt w:val="decimal"/>
      <w:start w:val="15"/>
    </w:lvl>
  </w:abstractNum>
  <w:abstractNum w:abstractNumId="48">
    <w:nsid w:val="70C6A529"/>
    <w:multiLevelType w:val="hybridMultilevel"/>
    <w:lvl w:ilvl="0">
      <w:lvlJc w:val="left"/>
      <w:lvlText w:val="(%1)"/>
      <w:numFmt w:val="lowerRoman"/>
      <w:start w:val="1"/>
    </w:lvl>
  </w:abstractNum>
  <w:abstractNum w:abstractNumId="49">
    <w:nsid w:val="520EEDD1"/>
    <w:multiLevelType w:val="hybridMultilevel"/>
    <w:lvl w:ilvl="0">
      <w:lvlJc w:val="left"/>
      <w:lvlText w:val="%1."/>
      <w:numFmt w:val="decimal"/>
      <w:start w:val="17"/>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decimal"/>
      <w:start w:val="1"/>
    </w:lvl>
    <w:lvl w:ilvl="1">
      <w:lvlJc w:val="left"/>
      <w:lvlText w:val="%2)"/>
      <w:numFmt w:val="lowerLetter"/>
      <w:start w:val="3"/>
    </w:lvl>
  </w:abstractNum>
  <w:abstractNum w:abstractNumId="53">
    <w:nsid w:val="649BB77C"/>
    <w:multiLevelType w:val="hybridMultilevel"/>
    <w:lvl w:ilvl="0">
      <w:lvlJc w:val="left"/>
      <w:lvlText w:val="%1"/>
      <w:numFmt w:val="decimal"/>
      <w:start w:val="1"/>
    </w:lvl>
    <w:lvl w:ilvl="1">
      <w:lvlJc w:val="left"/>
      <w:lvlText w:val="%2)"/>
      <w:numFmt w:val="lowerLetter"/>
      <w:start w:val="3"/>
    </w:lvl>
  </w:abstractNum>
  <w:abstractNum w:abstractNumId="54">
    <w:nsid w:val="275AC794"/>
    <w:multiLevelType w:val="hybridMultilevel"/>
    <w:lvl w:ilvl="0">
      <w:lvlJc w:val="left"/>
      <w:lvlText w:val="%1."/>
      <w:numFmt w:val="decimal"/>
      <w:start w:val="5"/>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2019-12-20T17:43:57Z</dcterms:created>
  <dcterms:modified xsi:type="dcterms:W3CDTF">2019-12-20T17:43:57Z</dcterms:modified>
</cp:coreProperties>
</file>