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180340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172085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343535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747" w:right="359" w:bottom="1440" w:gutter="0" w:footer="0" w:header="0"/>
        </w:sectPr>
      </w:pPr>
    </w:p>
    <w:bookmarkStart w:id="1" w:name="page2"/>
    <w:bookmarkEnd w:id="1"/>
    <w:p>
      <w:pPr>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Compensatory Arrangements of Certain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of Certain Officers;</w:t>
      </w:r>
    </w:p>
    <w:p>
      <w:pPr>
        <w:spacing w:after="0" w:line="517" w:lineRule="exact"/>
        <w:rPr>
          <w:sz w:val="20"/>
          <w:szCs w:val="20"/>
          <w:color w:val="auto"/>
        </w:rPr>
      </w:pPr>
    </w:p>
    <w:p>
      <w:pPr>
        <w:sectPr>
          <w:pgSz w:w="11900" w:h="16838" w:orient="portrait"/>
          <w:cols w:equalWidth="0" w:num="2">
            <w:col w:w="8420" w:space="700"/>
            <w:col w:w="2300"/>
          </w:cols>
          <w:pgMar w:left="240" w:top="1246" w:right="239" w:bottom="1440" w:gutter="0" w:footer="0" w:header="0"/>
        </w:sectPr>
      </w:pPr>
    </w:p>
    <w:p>
      <w:pPr>
        <w:spacing w:after="0"/>
        <w:rPr>
          <w:sz w:val="20"/>
          <w:szCs w:val="20"/>
          <w:color w:val="auto"/>
        </w:rPr>
      </w:pPr>
      <w:r>
        <w:rPr>
          <w:rFonts w:ascii="Arial" w:cs="Arial" w:eastAsia="Arial" w:hAnsi="Arial"/>
          <w:sz w:val="22"/>
          <w:szCs w:val="22"/>
          <w:u w:val="single" w:color="auto"/>
          <w:color w:val="auto"/>
        </w:rPr>
        <w:t>Compensatory Arrangements of Certain Officers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On March 15, 2016, the Compensation Committee of Destination XL Group, Inc. (the “Company”) approved the Destination XL Group, Inc. Long-Term Incentive Plan (the “LTIP”), pursuant to which the Company’s executives (which includes its Named Executive Officers) and certain other members of management are eligible to participate. The new LTIP succeeds the Company’s current 2013-2016 Long-Term Incentive Plan (“2013-2016 LTIP”) and its 2016 Destination XL Group, Inc. Long-Term Incentive Wrap-Around Plan (“Wrap-Around Plan,” and together with the 2013-2016 LTIP the “Existing Plans”), both of which will expire at the end of fiscal 2016.</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Existing Plans were primarily established to help retain the Company’s management team during its initial transition to its DXL store format, while tying any reward earned to the achievement of this long-term objective. As the Company continues with the DXL concept beyond the initial implementation/roll-out phase, the Compensation Committee has adopted the new LTIP to continue to align the Company with the best practices of similar long-term incentive plans of its peers. The new LTIP will continue to support the Company’s ongoing efforts to attract, retain and develop exceptional talent and enable it to provide incentives directly linked to the Company’s short and long-term objectives as well as increased shareholder value.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Under the terms of the new LTIP, each year the Compensation Committee will establish performance targets which will cover a two-year period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Chief Executive Officer, 70% for its senior executives and 25% for other participants in the plan. Because of the overlapping two-year Performance Period, the Target Cash Value for any award is based on one year of annual salary, as opposed to two years to avoid overlapping awards in any given fiscal year.</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each participant, 50% of the Target Cash Value is subject to time-based vesting and 50% is subject to performance-based vesting. The time-vested portion of the award will vest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Any performance award granted will vest on August 31 following the end of the applicable Performance Period.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9"/>
          <w:szCs w:val="19"/>
          <w:color w:val="auto"/>
        </w:rPr>
        <w:t>The Compensation Committee also established two performance targets for the fiscal 2016-2017 Performance Period under the new</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LTIP, each weighted 50%:</w:t>
      </w:r>
    </w:p>
    <w:p>
      <w:pPr>
        <w:spacing w:after="0" w:line="188" w:lineRule="exact"/>
        <w:rPr>
          <w:sz w:val="20"/>
          <w:szCs w:val="20"/>
          <w:color w:val="auto"/>
        </w:rPr>
      </w:pPr>
    </w:p>
    <w:p>
      <w:pPr>
        <w:ind w:left="880" w:hanging="440"/>
        <w:spacing w:after="0" w:line="239"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EBITDA for fiscal 2017, defined as earnings before interest, taxes, depreciation and amortization. (minimum threshold 85% of target; maximum award 115% of target)</w:t>
      </w:r>
    </w:p>
    <w:p>
      <w:pPr>
        <w:jc w:val="both"/>
        <w:ind w:left="880" w:hanging="440"/>
        <w:spacing w:after="0" w:line="249" w:lineRule="auto"/>
        <w:tabs>
          <w:tab w:leader="none" w:pos="880" w:val="left"/>
        </w:tabs>
        <w:numPr>
          <w:ilvl w:val="0"/>
          <w:numId w:val="2"/>
        </w:numPr>
        <w:rPr>
          <w:rFonts w:ascii="Arial" w:cs="Arial" w:eastAsia="Arial" w:hAnsi="Arial"/>
          <w:sz w:val="21"/>
          <w:szCs w:val="21"/>
          <w:color w:val="auto"/>
        </w:rPr>
      </w:pPr>
      <w:r>
        <w:rPr>
          <w:rFonts w:ascii="Arial" w:cs="Arial" w:eastAsia="Arial" w:hAnsi="Arial"/>
          <w:sz w:val="21"/>
          <w:szCs w:val="21"/>
          <w:color w:val="auto"/>
        </w:rPr>
        <w:t>DXL Comparable Store Marginal Cash-Over-Cash Return, defined as the aggregate of each comparable DXL store’s four-wall cash flow for fiscal 2017 divided by the aggregate capital investment, net of any tenant allowance, for each comparable DXL store. (minimum threshold 92% of target; maximum award 108% of target)</w:t>
      </w:r>
    </w:p>
    <w:p>
      <w:pPr>
        <w:spacing w:after="0" w:line="203"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The foregoing description of the LTIP is qualified in its entirety by reference to the full text of the plan, which is filed herewith as Exhibit 10.1 and incorporated herein by this reference.</w:t>
      </w:r>
    </w:p>
    <w:p>
      <w:pPr>
        <w:spacing w:after="0" w:line="194"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 Exhibits</w:t>
      </w:r>
    </w:p>
    <w:tbl>
      <w:tblPr>
        <w:tblLayout w:type="fixed"/>
        <w:tblInd w:w="0" w:type="dxa"/>
        <w:tblCellMar>
          <w:top w:w="0" w:type="dxa"/>
          <w:left w:w="0" w:type="dxa"/>
          <w:bottom w:w="0" w:type="dxa"/>
          <w:right w:w="0" w:type="dxa"/>
        </w:tblCellMar>
      </w:tblPr>
      <w:tr>
        <w:trPr>
          <w:trHeight w:val="214"/>
        </w:trPr>
        <w:tc>
          <w:tcPr>
            <w:tcW w:w="1020" w:type="dxa"/>
            <w:vAlign w:val="bottom"/>
            <w:gridSpan w:val="2"/>
          </w:tcPr>
          <w:p>
            <w:pPr>
              <w:spacing w:after="0" w:line="214" w:lineRule="exact"/>
              <w:rPr>
                <w:sz w:val="20"/>
                <w:szCs w:val="20"/>
                <w:color w:val="auto"/>
              </w:rPr>
            </w:pPr>
            <w:r>
              <w:rPr>
                <w:rFonts w:ascii="Arial" w:cs="Arial" w:eastAsia="Arial" w:hAnsi="Arial"/>
                <w:sz w:val="22"/>
                <w:szCs w:val="22"/>
                <w:color w:val="auto"/>
                <w:w w:val="93"/>
              </w:rPr>
              <w:t>Exhibit No.</w:t>
            </w:r>
          </w:p>
        </w:tc>
        <w:tc>
          <w:tcPr>
            <w:tcW w:w="700" w:type="dxa"/>
            <w:vAlign w:val="bottom"/>
          </w:tcPr>
          <w:p>
            <w:pPr>
              <w:spacing w:after="0"/>
              <w:rPr>
                <w:sz w:val="18"/>
                <w:szCs w:val="18"/>
                <w:color w:val="auto"/>
              </w:rPr>
            </w:pPr>
          </w:p>
        </w:tc>
        <w:tc>
          <w:tcPr>
            <w:tcW w:w="4020" w:type="dxa"/>
            <w:vAlign w:val="bottom"/>
            <w:gridSpan w:val="2"/>
          </w:tcPr>
          <w:p>
            <w:pPr>
              <w:spacing w:after="0" w:line="214" w:lineRule="exact"/>
              <w:rPr>
                <w:sz w:val="20"/>
                <w:szCs w:val="20"/>
                <w:color w:val="auto"/>
              </w:rPr>
            </w:pPr>
            <w:r>
              <w:rPr>
                <w:rFonts w:ascii="Arial" w:cs="Arial" w:eastAsia="Arial" w:hAnsi="Arial"/>
                <w:sz w:val="22"/>
                <w:szCs w:val="22"/>
                <w:color w:val="auto"/>
              </w:rPr>
              <w:t>Description</w:t>
            </w:r>
          </w:p>
        </w:tc>
      </w:tr>
      <w:tr>
        <w:trPr>
          <w:trHeight w:val="20"/>
        </w:trPr>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10.1</w:t>
            </w:r>
          </w:p>
        </w:tc>
        <w:tc>
          <w:tcPr>
            <w:tcW w:w="60" w:type="dxa"/>
            <w:vAlign w:val="bottom"/>
          </w:tcPr>
          <w:p>
            <w:pPr>
              <w:spacing w:after="0"/>
              <w:rPr>
                <w:sz w:val="23"/>
                <w:szCs w:val="23"/>
                <w:color w:val="auto"/>
              </w:rPr>
            </w:pPr>
          </w:p>
        </w:tc>
        <w:tc>
          <w:tcPr>
            <w:tcW w:w="4720" w:type="dxa"/>
            <w:vAlign w:val="bottom"/>
            <w:gridSpan w:val="3"/>
          </w:tcPr>
          <w:p>
            <w:pPr>
              <w:ind w:left="20"/>
              <w:spacing w:after="0"/>
              <w:rPr>
                <w:sz w:val="20"/>
                <w:szCs w:val="20"/>
                <w:color w:val="auto"/>
              </w:rPr>
            </w:pPr>
            <w:r>
              <w:rPr>
                <w:rFonts w:ascii="Arial" w:cs="Arial" w:eastAsia="Arial" w:hAnsi="Arial"/>
                <w:sz w:val="22"/>
                <w:szCs w:val="22"/>
                <w:color w:val="auto"/>
                <w:w w:val="90"/>
              </w:rPr>
              <w:t>Destination XL Group, Inc. Long-Term Incentive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80" w:val="left"/>
          <w:tab w:leader="none" w:pos="588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21, 2016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112"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5"/>
              </w:rPr>
              <w:t>Exhibit List</w:t>
            </w:r>
          </w:p>
        </w:tc>
      </w:tr>
      <w:tr>
        <w:trPr>
          <w:trHeight w:val="466"/>
        </w:trPr>
        <w:tc>
          <w:tcPr>
            <w:tcW w:w="1020" w:type="dxa"/>
            <w:vAlign w:val="bottom"/>
            <w:gridSpan w:val="2"/>
          </w:tcPr>
          <w:p>
            <w:pPr>
              <w:spacing w:after="0"/>
              <w:rPr>
                <w:sz w:val="20"/>
                <w:szCs w:val="20"/>
                <w:color w:val="auto"/>
              </w:rPr>
            </w:pPr>
            <w:r>
              <w:rPr>
                <w:rFonts w:ascii="Arial" w:cs="Arial" w:eastAsia="Arial" w:hAnsi="Arial"/>
                <w:sz w:val="22"/>
                <w:szCs w:val="22"/>
                <w:color w:val="auto"/>
                <w:w w:val="93"/>
              </w:rPr>
              <w:t>Exhibit No.</w:t>
            </w:r>
          </w:p>
        </w:tc>
        <w:tc>
          <w:tcPr>
            <w:tcW w:w="700" w:type="dxa"/>
            <w:vAlign w:val="bottom"/>
          </w:tcPr>
          <w:p>
            <w:pPr>
              <w:spacing w:after="0"/>
              <w:rPr>
                <w:sz w:val="24"/>
                <w:szCs w:val="24"/>
                <w:color w:val="auto"/>
              </w:rPr>
            </w:pPr>
          </w:p>
        </w:tc>
        <w:tc>
          <w:tcPr>
            <w:tcW w:w="4500" w:type="dxa"/>
            <w:vAlign w:val="bottom"/>
            <w:gridSpan w:val="3"/>
          </w:tcPr>
          <w:p>
            <w:pPr>
              <w:spacing w:after="0"/>
              <w:rPr>
                <w:sz w:val="20"/>
                <w:szCs w:val="20"/>
                <w:color w:val="auto"/>
              </w:rPr>
            </w:pPr>
            <w:r>
              <w:rPr>
                <w:rFonts w:ascii="Arial" w:cs="Arial" w:eastAsia="Arial" w:hAnsi="Arial"/>
                <w:sz w:val="22"/>
                <w:szCs w:val="22"/>
                <w:color w:val="auto"/>
              </w:rPr>
              <w:t>Description</w:t>
            </w:r>
          </w:p>
        </w:tc>
      </w:tr>
      <w:tr>
        <w:trPr>
          <w:trHeight w:val="20"/>
        </w:trPr>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10.1</w:t>
            </w:r>
          </w:p>
        </w:tc>
        <w:tc>
          <w:tcPr>
            <w:tcW w:w="60" w:type="dxa"/>
            <w:vAlign w:val="bottom"/>
          </w:tcPr>
          <w:p>
            <w:pPr>
              <w:spacing w:after="0"/>
              <w:rPr>
                <w:sz w:val="23"/>
                <w:szCs w:val="23"/>
                <w:color w:val="auto"/>
              </w:rPr>
            </w:pPr>
          </w:p>
        </w:tc>
        <w:tc>
          <w:tcPr>
            <w:tcW w:w="5200" w:type="dxa"/>
            <w:vAlign w:val="bottom"/>
            <w:gridSpan w:val="4"/>
          </w:tcPr>
          <w:p>
            <w:pPr>
              <w:ind w:left="20"/>
              <w:spacing w:after="0"/>
              <w:rPr>
                <w:sz w:val="20"/>
                <w:szCs w:val="20"/>
                <w:color w:val="auto"/>
              </w:rPr>
            </w:pPr>
            <w:r>
              <w:rPr>
                <w:rFonts w:ascii="Arial" w:cs="Arial" w:eastAsia="Arial" w:hAnsi="Arial"/>
                <w:sz w:val="22"/>
                <w:szCs w:val="22"/>
                <w:color w:val="auto"/>
                <w:w w:val="99"/>
              </w:rPr>
              <w:t>Destination XL Group, Inc. Long-Term Incentive Plan</w:t>
            </w:r>
          </w:p>
        </w:tc>
      </w:tr>
      <w:tr>
        <w:trPr>
          <w:trHeight w:val="669"/>
        </w:trPr>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0" w:type="dxa"/>
            <w:vAlign w:val="bottom"/>
            <w:gridSpan w:val="4"/>
          </w:tcPr>
          <w:p>
            <w:pPr>
              <w:jc w:val="right"/>
              <w:ind w:right="352"/>
              <w:spacing w:after="0"/>
              <w:rPr>
                <w:sz w:val="20"/>
                <w:szCs w:val="20"/>
                <w:color w:val="auto"/>
              </w:rPr>
            </w:pPr>
            <w:r>
              <w:rPr>
                <w:rFonts w:ascii="Arial" w:cs="Arial" w:eastAsia="Arial" w:hAnsi="Arial"/>
                <w:sz w:val="20"/>
                <w:szCs w:val="20"/>
                <w:color w:val="auto"/>
              </w:rPr>
              <w:t>5</w:t>
            </w:r>
          </w:p>
        </w:tc>
      </w:tr>
    </w:tbl>
    <w:p>
      <w:pPr>
        <w:sectPr>
          <w:pgSz w:w="11900" w:h="16838" w:orient="portrait"/>
          <w:cols w:equalWidth="0" w:num="1">
            <w:col w:w="10219"/>
          </w:cols>
          <w:pgMar w:left="240" w:top="89"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Exhibit 10.1</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DXL GROUP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Destination XL Group, Inc.</w:t>
      </w:r>
    </w:p>
    <w:p>
      <w:pPr>
        <w:jc w:val="center"/>
        <w:spacing w:after="0"/>
        <w:rPr>
          <w:sz w:val="20"/>
          <w:szCs w:val="20"/>
          <w:color w:val="auto"/>
        </w:rPr>
      </w:pPr>
      <w:r>
        <w:rPr>
          <w:rFonts w:ascii="Arial" w:cs="Arial" w:eastAsia="Arial" w:hAnsi="Arial"/>
          <w:sz w:val="20"/>
          <w:szCs w:val="20"/>
          <w:b w:val="1"/>
          <w:bCs w:val="1"/>
          <w:color w:val="auto"/>
        </w:rPr>
        <w:t>Long-Term Incentive Plan</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Establishment and Purpose. Destination XL Group, Inc., f/k/a Casual Male Retail Group, Inc. (the “Company”) established a long-term incentive plan named the 2008 Casual Male Retail Group, Inc. Long-Term Incentive Plan. Effective May 3, 2010, the 2008 Casual Male Retail Group, Inc. Long-Term Incentive Plan was amended and restated in its entirety. The Casual Male Retail Group, Inc. Long-Term Incentive Plan was terminated (excluding payouts of awards which were already granted, but not yet vested) and was superseded by the 2013-2016 Destination XL Group, Inc. Long-Term Incentive Plan (the “2013-2016 Plan”), which was designed for the specific purpose of retaining and rewarding the efforts required to transition the Company to the Destination XL concept during that plan’s period. Thereafter, the Company adopted the </w:t>
      </w:r>
      <w:r>
        <w:rPr>
          <w:rFonts w:ascii="Arial" w:cs="Arial" w:eastAsia="Arial" w:hAnsi="Arial"/>
          <w:sz w:val="17"/>
          <w:szCs w:val="17"/>
          <w:color w:val="auto"/>
        </w:rPr>
        <w:t>2016 Destination XL</w:t>
      </w:r>
      <w:r>
        <w:rPr>
          <w:rFonts w:ascii="Arial" w:cs="Arial" w:eastAsia="Arial" w:hAnsi="Arial"/>
          <w:sz w:val="19"/>
          <w:szCs w:val="19"/>
          <w:color w:val="auto"/>
        </w:rPr>
        <w:t xml:space="preserve"> Group, Inc. Long-Term Incentive Wrap-Around Plan (the “Wrap-Around Plan”) after it was determined that the Board’s shift in strategy for DXL rollout was necessary to preserve liquidity. The Wrap-Around Plan is triggered only if the Company does not meet the Applicable Performance Target, as defined in the 2013-2016 Plan. This Destination XL Group, Inc. Long-Term Incentive Plan (the “Plan”) is hereby adopted for the purpose of supporting the Company’s ongoing efforts to attract, retain and develop exceptional talent and enable the Company to provide incentives directly linked to the Company’s short and long-term objectives and increases in shareholder value.</w:t>
      </w:r>
    </w:p>
    <w:p>
      <w:pPr>
        <w:spacing w:after="0" w:line="162" w:lineRule="exact"/>
        <w:rPr>
          <w:sz w:val="20"/>
          <w:szCs w:val="20"/>
          <w:color w:val="auto"/>
        </w:rPr>
      </w:pPr>
    </w:p>
    <w:p>
      <w:pPr>
        <w:jc w:val="both"/>
        <w:ind w:firstLine="8"/>
        <w:spacing w:after="0"/>
        <w:tabs>
          <w:tab w:leader="none" w:pos="810" w:val="left"/>
        </w:tabs>
        <w:numPr>
          <w:ilvl w:val="0"/>
          <w:numId w:val="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Definitions. </w:t>
      </w:r>
      <w:r>
        <w:rPr>
          <w:rFonts w:ascii="Arial" w:cs="Arial" w:eastAsia="Arial" w:hAnsi="Arial"/>
          <w:sz w:val="22"/>
          <w:szCs w:val="22"/>
          <w:color w:val="auto"/>
        </w:rPr>
        <w:t>When used herein, the following capitalized terms shall have the meanings assigned to them, unless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context clearly indicates otherwise. Capitalized terms used herein and not defined shall have the meanings assigned to them in the Incentive Compensation Plan, as defined below.</w:t>
      </w:r>
    </w:p>
    <w:p>
      <w:pPr>
        <w:spacing w:after="0" w:line="186"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b w:val="1"/>
          <w:bCs w:val="1"/>
          <w:i w:val="1"/>
          <w:iCs w:val="1"/>
          <w:u w:val="single" w:color="auto"/>
          <w:color w:val="auto"/>
        </w:rPr>
        <w:t>Affiliate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any entity that controls, is controlled by, or is under common control with,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88" w:lineRule="exact"/>
        <w:rPr>
          <w:sz w:val="20"/>
          <w:szCs w:val="20"/>
          <w:color w:val="auto"/>
        </w:rPr>
      </w:pPr>
    </w:p>
    <w:p>
      <w:pPr>
        <w:ind w:firstLine="914"/>
        <w:spacing w:after="0" w:line="251" w:lineRule="auto"/>
        <w:tabs>
          <w:tab w:leader="none" w:pos="2454" w:val="left"/>
        </w:tabs>
        <w:numPr>
          <w:ilvl w:val="0"/>
          <w:numId w:val="4"/>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Applicable Performance Target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Performance Target(s) selected by the Committee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Board to be met during a Performance Period pursuant to the Plan.</w:t>
      </w:r>
    </w:p>
    <w:p>
      <w:pPr>
        <w:spacing w:after="0" w:line="173" w:lineRule="exact"/>
        <w:rPr>
          <w:sz w:val="20"/>
          <w:szCs w:val="20"/>
          <w:color w:val="auto"/>
        </w:rPr>
      </w:pPr>
    </w:p>
    <w:p>
      <w:pPr>
        <w:jc w:val="both"/>
        <w:ind w:firstLine="914"/>
        <w:spacing w:after="0"/>
        <w:tabs>
          <w:tab w:leader="none" w:pos="2442" w:val="left"/>
        </w:tabs>
        <w:numPr>
          <w:ilvl w:val="0"/>
          <w:numId w:val="5"/>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Award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an award under the Plan that is payable in the form of Cash, Options, Restricted Stock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 form of Award available under the Company’s Incentive Compensation Plan, pursuant to the terms and conditions set forth in this Plan.</w:t>
      </w:r>
    </w:p>
    <w:p>
      <w:pPr>
        <w:spacing w:after="0" w:line="186" w:lineRule="exact"/>
        <w:rPr>
          <w:sz w:val="20"/>
          <w:szCs w:val="20"/>
          <w:color w:val="auto"/>
        </w:rPr>
      </w:pPr>
    </w:p>
    <w:p>
      <w:pPr>
        <w:jc w:val="both"/>
        <w:ind w:firstLine="914"/>
        <w:spacing w:after="0" w:line="258" w:lineRule="auto"/>
        <w:tabs>
          <w:tab w:leader="none" w:pos="2454" w:val="left"/>
        </w:tabs>
        <w:numPr>
          <w:ilvl w:val="0"/>
          <w:numId w:val="6"/>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Black-Scholes Value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value of an Option as of the date of the valuation calculated utilizing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same formula and assumptions as the Company utilized for the purpose of valuing outstanding options in its most recently (meaning at the time of the valuation) prepared audited annual financial statement.</w:t>
      </w:r>
    </w:p>
    <w:p>
      <w:pPr>
        <w:spacing w:after="0" w:line="167" w:lineRule="exact"/>
        <w:rPr>
          <w:sz w:val="20"/>
          <w:szCs w:val="20"/>
          <w:color w:val="auto"/>
        </w:rPr>
      </w:pPr>
    </w:p>
    <w:p>
      <w:pPr>
        <w:ind w:left="2460" w:hanging="1546"/>
        <w:spacing w:after="0"/>
        <w:tabs>
          <w:tab w:leader="none" w:pos="2460" w:val="left"/>
        </w:tabs>
        <w:numPr>
          <w:ilvl w:val="0"/>
          <w:numId w:val="7"/>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Board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Board of Directors of the Company.</w:t>
      </w:r>
    </w:p>
    <w:p>
      <w:pPr>
        <w:spacing w:after="0" w:line="206" w:lineRule="exact"/>
        <w:rPr>
          <w:sz w:val="20"/>
          <w:szCs w:val="20"/>
          <w:color w:val="auto"/>
        </w:rPr>
      </w:pPr>
    </w:p>
    <w:p>
      <w:pPr>
        <w:ind w:left="2420" w:hanging="1506"/>
        <w:spacing w:after="0"/>
        <w:tabs>
          <w:tab w:leader="none" w:pos="2420" w:val="left"/>
        </w:tabs>
        <w:numPr>
          <w:ilvl w:val="0"/>
          <w:numId w:val="8"/>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Cash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U.S. dollars.</w:t>
      </w:r>
    </w:p>
    <w:p>
      <w:pPr>
        <w:spacing w:after="0" w:line="206" w:lineRule="exact"/>
        <w:rPr>
          <w:sz w:val="20"/>
          <w:szCs w:val="20"/>
          <w:color w:val="auto"/>
        </w:rPr>
      </w:pPr>
    </w:p>
    <w:p>
      <w:pPr>
        <w:ind w:left="5580" w:right="3560" w:hanging="4666"/>
        <w:spacing w:after="0" w:line="456" w:lineRule="auto"/>
        <w:tabs>
          <w:tab w:leader="none" w:pos="2454" w:val="left"/>
        </w:tabs>
        <w:numPr>
          <w:ilvl w:val="0"/>
          <w:numId w:val="9"/>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Committee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Compensation Committee of the Board.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 w:name="page7"/>
    <w:bookmarkEnd w:id="6"/>
    <w:p>
      <w:pPr>
        <w:ind w:firstLine="914"/>
        <w:spacing w:after="0" w:line="251" w:lineRule="auto"/>
        <w:tabs>
          <w:tab w:leader="none" w:pos="2454" w:val="left"/>
        </w:tabs>
        <w:numPr>
          <w:ilvl w:val="0"/>
          <w:numId w:val="10"/>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Effective Date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date on which the metrics for a Performance Period have been finally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approved by the Committee, or such later date as shall be designated by the Committee.</w:t>
      </w:r>
    </w:p>
    <w:p>
      <w:pPr>
        <w:spacing w:after="0" w:line="173" w:lineRule="exact"/>
        <w:rPr>
          <w:sz w:val="20"/>
          <w:szCs w:val="20"/>
          <w:color w:val="auto"/>
        </w:rPr>
      </w:pPr>
    </w:p>
    <w:p>
      <w:pPr>
        <w:ind w:firstLine="914"/>
        <w:spacing w:after="0" w:line="251" w:lineRule="auto"/>
        <w:tabs>
          <w:tab w:leader="none" w:pos="2406" w:val="left"/>
        </w:tabs>
        <w:numPr>
          <w:ilvl w:val="0"/>
          <w:numId w:val="11"/>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Effective Date of Participation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date on which a Participant became a Participant in the Plan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respect to a Performance Period.</w:t>
      </w:r>
    </w:p>
    <w:p>
      <w:pPr>
        <w:spacing w:after="0" w:line="173" w:lineRule="exact"/>
        <w:rPr>
          <w:sz w:val="20"/>
          <w:szCs w:val="20"/>
          <w:color w:val="auto"/>
        </w:rPr>
      </w:pPr>
    </w:p>
    <w:p>
      <w:pPr>
        <w:ind w:left="2420" w:hanging="1506"/>
        <w:spacing w:after="0"/>
        <w:tabs>
          <w:tab w:leader="none" w:pos="2420" w:val="left"/>
        </w:tabs>
        <w:numPr>
          <w:ilvl w:val="0"/>
          <w:numId w:val="12"/>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Fiscal Quarter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each fiscal quarter that ends within a fiscal year of the Company.</w:t>
      </w:r>
    </w:p>
    <w:p>
      <w:pPr>
        <w:spacing w:after="0" w:line="206" w:lineRule="exact"/>
        <w:rPr>
          <w:sz w:val="20"/>
          <w:szCs w:val="20"/>
          <w:color w:val="auto"/>
        </w:rPr>
      </w:pPr>
    </w:p>
    <w:p>
      <w:pPr>
        <w:ind w:left="2460" w:hanging="1546"/>
        <w:spacing w:after="0"/>
        <w:tabs>
          <w:tab w:leader="none" w:pos="2460" w:val="left"/>
        </w:tabs>
        <w:numPr>
          <w:ilvl w:val="0"/>
          <w:numId w:val="13"/>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FYE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last day of each fiscal year of the Company.</w:t>
      </w:r>
    </w:p>
    <w:p>
      <w:pPr>
        <w:spacing w:after="0" w:line="206" w:lineRule="exact"/>
        <w:rPr>
          <w:sz w:val="20"/>
          <w:szCs w:val="20"/>
          <w:color w:val="auto"/>
        </w:rPr>
      </w:pPr>
    </w:p>
    <w:p>
      <w:pPr>
        <w:jc w:val="both"/>
        <w:ind w:firstLine="914"/>
        <w:spacing w:after="0" w:line="277" w:lineRule="auto"/>
        <w:tabs>
          <w:tab w:leader="none" w:pos="2406" w:val="left"/>
        </w:tabs>
        <w:numPr>
          <w:ilvl w:val="0"/>
          <w:numId w:val="14"/>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Gain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(i) to the extent that the Award was satisfied with a grant of Options, the amount by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Fair Market Value per share of the Shares underlying such Option as of the date on which the Participant exercised the Option exceeded the exercise price of the Option; (ii) to the extent that the Award was satisfied by the grant of Restricted Stock that became vested, the Fair Market Value of those vested Shares on the earlier of the date on which the Participant incurred a Termination of Employment or the date on which the Participant sold those Shares; (iii) to the extent that the Award was satisfied in Cash, the amount of Cash paid to satisfy the Award; or (iv) to the extent that the Award is satisfied in some other form, the value of the amount used to satisfy the Award (as determined by the Committee).</w:t>
      </w:r>
    </w:p>
    <w:p>
      <w:pPr>
        <w:spacing w:after="0" w:line="153" w:lineRule="exact"/>
        <w:rPr>
          <w:sz w:val="20"/>
          <w:szCs w:val="20"/>
          <w:color w:val="auto"/>
        </w:rPr>
      </w:pPr>
    </w:p>
    <w:p>
      <w:pPr>
        <w:jc w:val="both"/>
        <w:ind w:firstLine="914"/>
        <w:spacing w:after="0" w:line="270" w:lineRule="auto"/>
        <w:tabs>
          <w:tab w:leader="none" w:pos="2514" w:val="left"/>
        </w:tabs>
        <w:numPr>
          <w:ilvl w:val="0"/>
          <w:numId w:val="1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Good Reason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the same definition of Good Reason, or any substantially similar term,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pursuant to a Termination of Employment by a Participant for Good Reason would not be treated as a right to a payment or benefit pursuant to an involuntary separation from service for purposes of Section 409A (as defined in Section 16(a) of this Plan) if the definition of Good Reason, or any substantially similar term, in the Participant’s employment agreement at that time is applied to the Participant’s Termination of Employment,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Employment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 w:name="page8"/>
    <w:bookmarkEnd w:id="7"/>
    <w:p>
      <w:pPr>
        <w:ind w:firstLine="914"/>
        <w:spacing w:after="0" w:line="251" w:lineRule="auto"/>
        <w:tabs>
          <w:tab w:leader="none" w:pos="2454" w:val="left"/>
        </w:tabs>
        <w:numPr>
          <w:ilvl w:val="0"/>
          <w:numId w:val="16"/>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Grant Date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date on which an Award is granted to a Participant under the Plan, or such later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date as shall be determined by the Committee.</w:t>
      </w:r>
    </w:p>
    <w:p>
      <w:pPr>
        <w:spacing w:after="0" w:line="173" w:lineRule="exact"/>
        <w:rPr>
          <w:sz w:val="20"/>
          <w:szCs w:val="20"/>
          <w:color w:val="auto"/>
        </w:rPr>
      </w:pPr>
    </w:p>
    <w:p>
      <w:pPr>
        <w:jc w:val="both"/>
        <w:ind w:right="20" w:firstLine="914"/>
        <w:spacing w:after="0"/>
        <w:tabs>
          <w:tab w:leader="none" w:pos="2454" w:val="left"/>
        </w:tabs>
        <w:numPr>
          <w:ilvl w:val="0"/>
          <w:numId w:val="17"/>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Incentive Compensation Plan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Company’s 2006 Incentive Compensation Plan, as amended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restated effective August 1, 2013, or any shareholder-approved successor plan to the Company’s 2006 Incentive Compensation Plan.</w:t>
      </w:r>
    </w:p>
    <w:p>
      <w:pPr>
        <w:spacing w:after="0" w:line="186" w:lineRule="exact"/>
        <w:rPr>
          <w:sz w:val="20"/>
          <w:szCs w:val="20"/>
          <w:color w:val="auto"/>
        </w:rPr>
      </w:pPr>
    </w:p>
    <w:p>
      <w:pPr>
        <w:jc w:val="both"/>
        <w:ind w:firstLine="914"/>
        <w:spacing w:after="0" w:line="272" w:lineRule="auto"/>
        <w:tabs>
          <w:tab w:leader="none" w:pos="2454" w:val="left"/>
        </w:tabs>
        <w:numPr>
          <w:ilvl w:val="0"/>
          <w:numId w:val="18"/>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Justifiable Cause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the same definition as used in the Participant’s employment agreement, if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were prosecuted and convicted, a crime or offense involving money or property of the Company or its Subsidiaries or Affiliates, or a crime or offense constituting a felony in the jurisdiction involved, would have occurred; the Participant’s embezzlement of funds or assets of the Company or any of its Subsidiaries or Affiliates; the Participant’s conviction of, plea of guilty to, or plea of nolo contendere to any felony; the Participant’s unauthorized disclosure to any person, firm or corporation of any confidential information of the Company or any of its Subsidiaries or Affiliates; the Participant’s usurpation of a corporate opportunity of the Company or any of its Subsidiaries or Affiliates; or the Participant’s engaging in any business other than the business of the Company or its Subsidiaries or Affiliates which materially interferes with the performance of his or her duties.</w:t>
      </w:r>
    </w:p>
    <w:p>
      <w:pPr>
        <w:spacing w:after="0" w:line="200" w:lineRule="exact"/>
        <w:rPr>
          <w:sz w:val="20"/>
          <w:szCs w:val="20"/>
          <w:color w:val="auto"/>
        </w:rPr>
      </w:pPr>
    </w:p>
    <w:p>
      <w:pPr>
        <w:spacing w:after="0" w:line="205" w:lineRule="exact"/>
        <w:rPr>
          <w:sz w:val="20"/>
          <w:szCs w:val="20"/>
          <w:color w:val="auto"/>
        </w:rPr>
      </w:pPr>
    </w:p>
    <w:p>
      <w:pPr>
        <w:ind w:firstLine="914"/>
        <w:spacing w:after="0" w:line="251" w:lineRule="auto"/>
        <w:tabs>
          <w:tab w:leader="none" w:pos="2454" w:val="left"/>
        </w:tabs>
        <w:numPr>
          <w:ilvl w:val="0"/>
          <w:numId w:val="19"/>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Operating Margin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 any period means the Company’s operating income, as reported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Company’s consolidated financial statements for that period, divided by Sales for that period.</w:t>
      </w:r>
    </w:p>
    <w:p>
      <w:pPr>
        <w:spacing w:after="0" w:line="173" w:lineRule="exact"/>
        <w:rPr>
          <w:sz w:val="20"/>
          <w:szCs w:val="20"/>
          <w:color w:val="auto"/>
        </w:rPr>
      </w:pPr>
    </w:p>
    <w:p>
      <w:pPr>
        <w:ind w:left="2420" w:hanging="1506"/>
        <w:spacing w:after="0"/>
        <w:tabs>
          <w:tab w:leader="none" w:pos="2420" w:val="left"/>
        </w:tabs>
        <w:numPr>
          <w:ilvl w:val="0"/>
          <w:numId w:val="2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Performance-Vesting Benefit Amount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has the meaning given to that term in Section 7(b) hereof.</w:t>
      </w:r>
    </w:p>
    <w:p>
      <w:pPr>
        <w:spacing w:after="0" w:line="241" w:lineRule="exact"/>
        <w:rPr>
          <w:sz w:val="20"/>
          <w:szCs w:val="20"/>
          <w:color w:val="auto"/>
        </w:rPr>
      </w:pPr>
    </w:p>
    <w:p>
      <w:pPr>
        <w:jc w:val="both"/>
        <w:ind w:firstLine="914"/>
        <w:spacing w:after="0"/>
        <w:tabs>
          <w:tab w:leader="none" w:pos="2430" w:val="left"/>
        </w:tabs>
        <w:numPr>
          <w:ilvl w:val="0"/>
          <w:numId w:val="21"/>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Performance Period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each two-year fiscal period which begins on the first day of the fiscal year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which an Effective Date occurs and ends at FYE of the following fiscal year. For example, if the Effective Date is March 15, 2016, the Performance Period would be January 31, 2016 to February 3, 2018.</w:t>
      </w:r>
    </w:p>
    <w:p>
      <w:pPr>
        <w:spacing w:after="0" w:line="186" w:lineRule="exact"/>
        <w:rPr>
          <w:sz w:val="20"/>
          <w:szCs w:val="20"/>
          <w:color w:val="auto"/>
        </w:rPr>
      </w:pPr>
    </w:p>
    <w:p>
      <w:pPr>
        <w:jc w:val="both"/>
        <w:ind w:firstLine="914"/>
        <w:spacing w:after="0" w:line="245" w:lineRule="auto"/>
        <w:tabs>
          <w:tab w:leader="none" w:pos="2406" w:val="left"/>
        </w:tabs>
        <w:numPr>
          <w:ilvl w:val="0"/>
          <w:numId w:val="22"/>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Performance Target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any one or more of the following business criteria for the Company, on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Sales or margins; (3) cash flow; (4) Operating Margin; (5) return on net assets, investment, capital, or equity; (6) economic value added; (7) net income; pretax earnings; earnings before interest and taxes; earnings before interest, taxes, depreciation and amortization; earnings after interest expense and before extraordinary or special items; operating income; income before interest income or expense, unusual items and income taxes, local, state or federal and excluding budgeted and actual bonuses which might be paid under any ongoing bonus plans of the Company; (8) working capital; (9) management of fixed costs or variable costs; (10) identification or consummation of investment opportunities or completion of specified projects in accordance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 w:name="page9"/>
    <w:bookmarkEnd w:id="8"/>
    <w:p>
      <w:pPr>
        <w:jc w:val="both"/>
        <w:spacing w:after="0" w:line="274" w:lineRule="auto"/>
        <w:rPr>
          <w:sz w:val="20"/>
          <w:szCs w:val="20"/>
          <w:color w:val="auto"/>
        </w:rPr>
      </w:pPr>
      <w:r>
        <w:rPr>
          <w:rFonts w:ascii="Arial" w:cs="Arial" w:eastAsia="Arial" w:hAnsi="Arial"/>
          <w:sz w:val="19"/>
          <w:szCs w:val="19"/>
          <w:color w:val="auto"/>
        </w:rPr>
        <w:t>with corporate business plans, including, but not limited to, strategic mergers, acquisitions or divestitures; (11) total shareholder return; and (12) debt reduction.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As set forth in Section 3, the Committee may establish threshold, target and maximum goals for each Performance Target.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59" w:lineRule="exact"/>
        <w:rPr>
          <w:sz w:val="20"/>
          <w:szCs w:val="20"/>
          <w:color w:val="auto"/>
        </w:rPr>
      </w:pPr>
    </w:p>
    <w:p>
      <w:pPr>
        <w:ind w:left="2460" w:hanging="1546"/>
        <w:spacing w:after="0"/>
        <w:tabs>
          <w:tab w:leader="none" w:pos="2460" w:val="left"/>
        </w:tabs>
        <w:numPr>
          <w:ilvl w:val="0"/>
          <w:numId w:val="23"/>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Plan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this Destination XL Group, Inc. Long-Term Incentive Plan, as it may be amended from</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to time.</w:t>
      </w:r>
    </w:p>
    <w:p>
      <w:pPr>
        <w:spacing w:after="0" w:line="188" w:lineRule="exact"/>
        <w:rPr>
          <w:sz w:val="20"/>
          <w:szCs w:val="20"/>
          <w:color w:val="auto"/>
        </w:rPr>
      </w:pPr>
    </w:p>
    <w:p>
      <w:pPr>
        <w:ind w:left="2460" w:hanging="1546"/>
        <w:spacing w:after="0"/>
        <w:tabs>
          <w:tab w:leader="none" w:pos="2460" w:val="left"/>
        </w:tabs>
        <w:numPr>
          <w:ilvl w:val="0"/>
          <w:numId w:val="24"/>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Projected Benefit Amount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has the meaning given to that term in Section 5 hereof.</w:t>
      </w:r>
    </w:p>
    <w:p>
      <w:pPr>
        <w:spacing w:after="0" w:line="206" w:lineRule="exact"/>
        <w:rPr>
          <w:sz w:val="20"/>
          <w:szCs w:val="20"/>
          <w:color w:val="auto"/>
        </w:rPr>
      </w:pPr>
    </w:p>
    <w:p>
      <w:pPr>
        <w:jc w:val="both"/>
        <w:ind w:firstLine="914"/>
        <w:spacing w:after="0" w:line="279" w:lineRule="auto"/>
        <w:tabs>
          <w:tab w:leader="none" w:pos="2502" w:val="left"/>
        </w:tabs>
        <w:numPr>
          <w:ilvl w:val="0"/>
          <w:numId w:val="2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Pro-Rata Vesting Percentage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the percentage that (1) the number of days from the Participant’s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Effective Date of Participation until the date of the Participant’s Termination of Employment bears to (2) the number of days from the Participant’s Effective Date of Participation until the end of the Performance Period. If the Participant receives more than one Award pursuant to Section 6(c) hereof, then the Pro-Rata Percentage shall be determined separately with respect to each separate Award based upon the particular Grant Date (which is to be treated as the Participant’s Effective Date of Participation with respect to that Award) and Performance-Vesting Benefit Amount for each such Award.</w:t>
      </w:r>
    </w:p>
    <w:p>
      <w:pPr>
        <w:spacing w:after="0" w:line="151" w:lineRule="exact"/>
        <w:rPr>
          <w:sz w:val="20"/>
          <w:szCs w:val="20"/>
          <w:color w:val="auto"/>
        </w:rPr>
      </w:pPr>
    </w:p>
    <w:p>
      <w:pPr>
        <w:jc w:val="both"/>
        <w:ind w:firstLine="914"/>
        <w:spacing w:after="0" w:line="238" w:lineRule="auto"/>
        <w:tabs>
          <w:tab w:leader="none" w:pos="2454" w:val="left"/>
        </w:tabs>
        <w:numPr>
          <w:ilvl w:val="0"/>
          <w:numId w:val="26"/>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Retirement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Termination of Employment of the Participant, other than by reason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Participant’s death or Disability and other than by the Company for Justifiable Cause or by the Participant for Good Reason, after the Participant has attained age 65 and completed at least 5 years of employment with the Company and its Subsidiaries and Affiliates.</w:t>
      </w:r>
    </w:p>
    <w:p>
      <w:pPr>
        <w:spacing w:after="0" w:line="185" w:lineRule="exact"/>
        <w:rPr>
          <w:sz w:val="20"/>
          <w:szCs w:val="20"/>
          <w:color w:val="auto"/>
        </w:rPr>
      </w:pPr>
    </w:p>
    <w:p>
      <w:pPr>
        <w:ind w:firstLine="914"/>
        <w:spacing w:after="0" w:line="251" w:lineRule="auto"/>
        <w:tabs>
          <w:tab w:leader="none" w:pos="2454" w:val="left"/>
        </w:tabs>
        <w:numPr>
          <w:ilvl w:val="0"/>
          <w:numId w:val="27"/>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Sales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 any period mean the sales of the Company consistent with the calculation as reported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Company’s consolidated financial statements for that period.</w:t>
      </w:r>
    </w:p>
    <w:p>
      <w:pPr>
        <w:spacing w:after="0" w:line="173" w:lineRule="exact"/>
        <w:rPr>
          <w:sz w:val="20"/>
          <w:szCs w:val="20"/>
          <w:color w:val="auto"/>
        </w:rPr>
      </w:pPr>
    </w:p>
    <w:p>
      <w:pPr>
        <w:ind w:firstLine="914"/>
        <w:spacing w:after="0" w:line="251" w:lineRule="auto"/>
        <w:tabs>
          <w:tab w:leader="none" w:pos="2442" w:val="left"/>
        </w:tabs>
        <w:numPr>
          <w:ilvl w:val="0"/>
          <w:numId w:val="28"/>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Section 16 Officer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an officer of the Company who is subject to the requirements of Section 16</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Securities and Exchange Act of 1934.</w:t>
      </w:r>
    </w:p>
    <w:p>
      <w:pPr>
        <w:spacing w:after="0" w:line="173" w:lineRule="exact"/>
        <w:rPr>
          <w:sz w:val="20"/>
          <w:szCs w:val="20"/>
          <w:color w:val="auto"/>
        </w:rPr>
      </w:pPr>
    </w:p>
    <w:p>
      <w:pPr>
        <w:jc w:val="both"/>
        <w:ind w:firstLine="914"/>
        <w:spacing w:after="0" w:line="252" w:lineRule="auto"/>
        <w:tabs>
          <w:tab w:leader="none" w:pos="2538" w:val="left"/>
        </w:tabs>
        <w:numPr>
          <w:ilvl w:val="0"/>
          <w:numId w:val="29"/>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Subsidiary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any corporation or other entity in which the Company has a direct or indirect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74" w:lineRule="exact"/>
        <w:rPr>
          <w:sz w:val="20"/>
          <w:szCs w:val="20"/>
          <w:color w:val="auto"/>
        </w:rPr>
      </w:pPr>
    </w:p>
    <w:p>
      <w:pPr>
        <w:jc w:val="both"/>
        <w:ind w:firstLine="914"/>
        <w:spacing w:after="0" w:line="297" w:lineRule="auto"/>
        <w:tabs>
          <w:tab w:leader="none" w:pos="2562" w:val="left"/>
        </w:tabs>
        <w:numPr>
          <w:ilvl w:val="0"/>
          <w:numId w:val="3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Target Cash Value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the amount in U.S. dollars determined by: multiplying (i) the Participant’s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annual base salary in effect on the Participant’s Effective Date of Participation by (ii) the long-term incentive program percentage designated in the Participant’s executed employment agreement with the Company (or the percentage as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otherwise designated in the Company’s records) or such other amount as shall be determined by the Committee.</w:t>
      </w:r>
    </w:p>
    <w:p>
      <w:pPr>
        <w:spacing w:after="0" w:line="206" w:lineRule="exact"/>
        <w:rPr>
          <w:sz w:val="20"/>
          <w:szCs w:val="20"/>
          <w:color w:val="auto"/>
        </w:rPr>
      </w:pPr>
    </w:p>
    <w:p>
      <w:pPr>
        <w:ind w:right="20" w:firstLine="914"/>
        <w:spacing w:after="0" w:line="251" w:lineRule="auto"/>
        <w:tabs>
          <w:tab w:leader="none" w:pos="2538" w:val="left"/>
        </w:tabs>
        <w:numPr>
          <w:ilvl w:val="0"/>
          <w:numId w:val="31"/>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Termination of Employment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termination of the Participant’s employment with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and its Subsidiaries and Affiliates for any reason.</w:t>
      </w:r>
    </w:p>
    <w:p>
      <w:pPr>
        <w:spacing w:after="0" w:line="173" w:lineRule="exact"/>
        <w:rPr>
          <w:sz w:val="20"/>
          <w:szCs w:val="20"/>
          <w:color w:val="auto"/>
        </w:rPr>
      </w:pPr>
    </w:p>
    <w:p>
      <w:pPr>
        <w:ind w:left="2580" w:hanging="1666"/>
        <w:spacing w:after="0"/>
        <w:tabs>
          <w:tab w:leader="none" w:pos="2580" w:val="left"/>
        </w:tabs>
        <w:numPr>
          <w:ilvl w:val="1"/>
          <w:numId w:val="32"/>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Time-Vesting Benefit Amount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has the meaning given to that term in Section 7(a) hereof.</w:t>
      </w:r>
    </w:p>
    <w:p>
      <w:pPr>
        <w:spacing w:after="0" w:line="206" w:lineRule="exact"/>
        <w:rPr>
          <w:rFonts w:ascii="Arial" w:cs="Arial" w:eastAsia="Arial" w:hAnsi="Arial"/>
          <w:sz w:val="22"/>
          <w:szCs w:val="22"/>
          <w:color w:val="auto"/>
        </w:rPr>
      </w:pPr>
    </w:p>
    <w:p>
      <w:pPr>
        <w:jc w:val="both"/>
        <w:ind w:firstLine="8"/>
        <w:spacing w:after="0" w:line="235" w:lineRule="auto"/>
        <w:tabs>
          <w:tab w:leader="none" w:pos="810" w:val="left"/>
        </w:tabs>
        <w:numPr>
          <w:ilvl w:val="0"/>
          <w:numId w:val="3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Establishment of Fiscal Year Applicable Performance Target and Awards. </w:t>
      </w:r>
      <w:r>
        <w:rPr>
          <w:rFonts w:ascii="Arial" w:cs="Arial" w:eastAsia="Arial" w:hAnsi="Arial"/>
          <w:sz w:val="22"/>
          <w:szCs w:val="22"/>
          <w:color w:val="auto"/>
        </w:rPr>
        <w:t>Within 90 days after the start of each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Performance Period, the Committee will establish the Performance Target(s) (in the aggregate, the Applicable Performance Target). The Committee may establish threshold, target and maximum goals for each Performance Target and the weight of each Performance Target may vary and may be dependent on achievement of another Performance Target. At that time, the Committee will establish whether Awards will be granted in Cash, form of equity (for example, Restricted Stock and/or Options), or a combination thereof.</w:t>
      </w:r>
    </w:p>
    <w:p>
      <w:pPr>
        <w:spacing w:after="0" w:line="188" w:lineRule="exact"/>
        <w:rPr>
          <w:rFonts w:ascii="Arial" w:cs="Arial" w:eastAsia="Arial" w:hAnsi="Arial"/>
          <w:sz w:val="22"/>
          <w:szCs w:val="22"/>
          <w:color w:val="auto"/>
        </w:rPr>
      </w:pPr>
    </w:p>
    <w:p>
      <w:pPr>
        <w:jc w:val="both"/>
        <w:ind w:firstLine="8"/>
        <w:spacing w:after="0" w:line="248" w:lineRule="auto"/>
        <w:tabs>
          <w:tab w:leader="none" w:pos="810" w:val="left"/>
        </w:tabs>
        <w:numPr>
          <w:ilvl w:val="0"/>
          <w:numId w:val="33"/>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Eligibility. </w:t>
      </w:r>
      <w:r>
        <w:rPr>
          <w:rFonts w:ascii="Arial" w:cs="Arial" w:eastAsia="Arial" w:hAnsi="Arial"/>
          <w:sz w:val="21"/>
          <w:szCs w:val="21"/>
          <w:color w:val="auto"/>
        </w:rPr>
        <w:t>The Committee shall designate those employees of the Company and its Subsidiaries and Affiliates who shall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be eligible to become Participants in the Plan and the date during the Performance Period on which they shall become Participants. The initial Participants shall become Participants on the Effective Date for the Performance Period that begins January 31, 2016. Except as otherwise provided in Section 7(d) hereof, unless otherwise determined by the Committee, no portion of any Award shall become vested pursuant to Section 7 hereof, unless and until a Participant has completed at least 1 year of employment with the Company and its Subsidiaries and Affiliates.</w:t>
      </w:r>
    </w:p>
    <w:p>
      <w:pPr>
        <w:spacing w:after="0" w:line="177" w:lineRule="exact"/>
        <w:rPr>
          <w:rFonts w:ascii="Arial" w:cs="Arial" w:eastAsia="Arial" w:hAnsi="Arial"/>
          <w:sz w:val="21"/>
          <w:szCs w:val="21"/>
          <w:color w:val="auto"/>
        </w:rPr>
      </w:pPr>
    </w:p>
    <w:p>
      <w:pPr>
        <w:jc w:val="both"/>
        <w:ind w:firstLine="8"/>
        <w:spacing w:after="0" w:line="277" w:lineRule="auto"/>
        <w:tabs>
          <w:tab w:leader="none" w:pos="810" w:val="left"/>
        </w:tabs>
        <w:numPr>
          <w:ilvl w:val="0"/>
          <w:numId w:val="3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Amount of Benefit. </w:t>
      </w:r>
      <w:r>
        <w:rPr>
          <w:rFonts w:ascii="Arial" w:cs="Arial" w:eastAsia="Arial" w:hAnsi="Arial"/>
          <w:sz w:val="19"/>
          <w:szCs w:val="19"/>
          <w:color w:val="auto"/>
        </w:rPr>
        <w:t>The benefit payable to a Participant pursuant to an Award under this Plan shall be equal to the sum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vested portions, if any, of the Participant’s Time-Vesting Benefit Amount and Performance-Vesting Benefit Amount. Those amounts shall be determined in accordance with Section 7 of this Plan, based upon the Participant’s Target Cash Value for the Performance Period (or, in the case of an individual that becomes a Participant after the Effective Date of a Performance Period, an amount equal to the Target Cash Value for the Performance Period multiplied by a fraction, the numerator of which shall be the number of calendar days from the Participant’s Effective Date of Participation to the end of the Performance Period and the denominator of which shall be the total number of days in Performance Period) (the “Projected Benefit Amount”).</w:t>
      </w:r>
    </w:p>
    <w:p>
      <w:pPr>
        <w:spacing w:after="0" w:line="152" w:lineRule="exact"/>
        <w:rPr>
          <w:rFonts w:ascii="Arial" w:cs="Arial" w:eastAsia="Arial" w:hAnsi="Arial"/>
          <w:sz w:val="19"/>
          <w:szCs w:val="19"/>
          <w:color w:val="auto"/>
        </w:rPr>
      </w:pPr>
    </w:p>
    <w:p>
      <w:pPr>
        <w:ind w:left="820" w:hanging="812"/>
        <w:spacing w:after="0"/>
        <w:tabs>
          <w:tab w:leader="none" w:pos="820" w:val="left"/>
        </w:tabs>
        <w:numPr>
          <w:ilvl w:val="0"/>
          <w:numId w:val="33"/>
        </w:numPr>
        <w:rPr>
          <w:rFonts w:ascii="Arial" w:cs="Arial" w:eastAsia="Arial" w:hAnsi="Arial"/>
          <w:sz w:val="22"/>
          <w:szCs w:val="22"/>
          <w:color w:val="auto"/>
        </w:rPr>
      </w:pPr>
      <w:r>
        <w:rPr>
          <w:rFonts w:ascii="Arial" w:cs="Arial" w:eastAsia="Arial" w:hAnsi="Arial"/>
          <w:sz w:val="22"/>
          <w:szCs w:val="22"/>
          <w:b w:val="1"/>
          <w:bCs w:val="1"/>
          <w:i w:val="1"/>
          <w:iCs w:val="1"/>
          <w:color w:val="auto"/>
        </w:rPr>
        <w:t>Form of Payment.</w:t>
      </w:r>
    </w:p>
    <w:p>
      <w:pPr>
        <w:spacing w:after="0" w:line="206" w:lineRule="exact"/>
        <w:rPr>
          <w:sz w:val="20"/>
          <w:szCs w:val="20"/>
          <w:color w:val="auto"/>
        </w:rPr>
      </w:pPr>
    </w:p>
    <w:p>
      <w:pPr>
        <w:jc w:val="both"/>
        <w:ind w:firstLine="914"/>
        <w:spacing w:after="0" w:line="277" w:lineRule="auto"/>
        <w:tabs>
          <w:tab w:leader="none" w:pos="2442" w:val="left"/>
        </w:tabs>
        <w:numPr>
          <w:ilvl w:val="0"/>
          <w:numId w:val="3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Grant of Time-Based Awards. </w:t>
      </w:r>
      <w:r>
        <w:rPr>
          <w:rFonts w:ascii="Arial" w:cs="Arial" w:eastAsia="Arial" w:hAnsi="Arial"/>
          <w:sz w:val="19"/>
          <w:szCs w:val="19"/>
          <w:color w:val="auto"/>
        </w:rPr>
        <w:t>Upon a Participant’s Effective Date of Participation, the Committee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grant to the Participant the portion of the Award which will vest over time, without regard to performance (the “Time-Vesting Benefit Amount”). In the event all or a portion of the Award will be Restricted Stock, the number of shares to be granted will be determined by taking the dollar value of the Restricted Stock Award and dividing by the closing price of the Company’s common stock on Grant Date. In the event all or a portion of the Award will be Options, then the number of options to be granted will be determined by taking the dollar value of the Stock Option Award and dividing by the Black-Scholes Value on the Grant Date, each with an exercise price equal to the closing price of the Company’s common stock on the Grant Date.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 w:name="page11"/>
    <w:bookmarkEnd w:id="10"/>
    <w:p>
      <w:pPr>
        <w:jc w:val="both"/>
        <w:ind w:firstLine="914"/>
        <w:spacing w:after="0" w:line="274" w:lineRule="auto"/>
        <w:tabs>
          <w:tab w:leader="none" w:pos="2454" w:val="left"/>
        </w:tabs>
        <w:numPr>
          <w:ilvl w:val="0"/>
          <w:numId w:val="35"/>
        </w:numPr>
        <w:rPr>
          <w:rFonts w:ascii="Arial" w:cs="Arial" w:eastAsia="Arial" w:hAnsi="Arial"/>
          <w:sz w:val="19"/>
          <w:szCs w:val="19"/>
          <w:color w:val="auto"/>
        </w:rPr>
      </w:pPr>
      <w:r>
        <w:rPr>
          <w:rFonts w:ascii="Arial" w:cs="Arial" w:eastAsia="Arial" w:hAnsi="Arial"/>
          <w:sz w:val="19"/>
          <w:szCs w:val="19"/>
          <w:b w:val="1"/>
          <w:bCs w:val="1"/>
          <w:i w:val="1"/>
          <w:iCs w:val="1"/>
          <w:color w:val="auto"/>
        </w:rPr>
        <w:t>Grant of Performance-Based Awards</w:t>
      </w:r>
      <w:r>
        <w:rPr>
          <w:rFonts w:ascii="Arial" w:cs="Arial" w:eastAsia="Arial" w:hAnsi="Arial"/>
          <w:sz w:val="19"/>
          <w:szCs w:val="19"/>
          <w:color w:val="auto"/>
        </w:rPr>
        <w:t>. After completion of an audit of the Company’s financial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statements after the respective Performance Period ends and the Committee’s review and approval that the Applicable Performance Targets were met, on the business day closest to April 1, the Committee shall grant to the Participant an Award equal to the Performance-Vesting Benefit Amount as calculated in Section 7(b). All grants of performance-based awards are subject to a post-grant vesting period, as set forth in Section 7(b). In the event all or a portion of the Award will be Restricted Stock, the number of shares to be granted will be determined by taking the dollar value of the Restricted Stock Award and dividing by the closing price of the Company’s common stock on the Grant Date. In the event all or a portion of the Award will be Options, then the number of options to be granted will be determined by taking the dollar value of the Stock Option Award and dividing by the Black-Scholes Value on the Grant Date, each with an exercise price equal to the closing price of the Company’s common stock on the Grant Date.</w:t>
      </w:r>
    </w:p>
    <w:p>
      <w:pPr>
        <w:spacing w:after="0" w:line="159" w:lineRule="exact"/>
        <w:rPr>
          <w:sz w:val="20"/>
          <w:szCs w:val="20"/>
          <w:color w:val="auto"/>
        </w:rPr>
      </w:pPr>
    </w:p>
    <w:p>
      <w:pPr>
        <w:jc w:val="both"/>
        <w:ind w:firstLine="914"/>
        <w:spacing w:after="0" w:line="273" w:lineRule="auto"/>
        <w:tabs>
          <w:tab w:leader="none" w:pos="2442" w:val="left"/>
        </w:tabs>
        <w:numPr>
          <w:ilvl w:val="0"/>
          <w:numId w:val="3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Additional Grants for Promotions. </w:t>
      </w:r>
      <w:r>
        <w:rPr>
          <w:rFonts w:ascii="Arial" w:cs="Arial" w:eastAsia="Arial" w:hAnsi="Arial"/>
          <w:sz w:val="19"/>
          <w:szCs w:val="19"/>
          <w:color w:val="auto"/>
        </w:rPr>
        <w:t>If a Participant is promoted during the Performance Period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entitled to a higher long-term incentive program percentage as a result of such promotion, then the Committee shall grant the Participant an additional Award determined as if the Participant had become a Participant on the Grant Date of the additional Award, with the amount of the additional Award being equal to the excess, if any, of (i) Participant’s Projected Benefit Amount determined as if the Participant had become a Participant on the Grant Date of the additional Award, over (ii) the Participant’s original Projected Benefit Amount multiplied by a fraction, the numerator of which shall be equal to the total number of calendar days from the Grant Date of the additional Award to the last day of the Performance Period and the denominator of which shall be the total number of days from the Participant’s Effective Date of Participation to the last day of the Performance Period. In the event that a Participant is promoted and entitled to a higher long-term incentive program percentage as a result of such promotion more than once during the Performance Period, each additional Award shall be determined by the Committee, in its sole and absolute discretion, under the principles set forth above in this Section 6(c).</w:t>
      </w:r>
    </w:p>
    <w:p>
      <w:pPr>
        <w:spacing w:after="0" w:line="156" w:lineRule="exact"/>
        <w:rPr>
          <w:sz w:val="20"/>
          <w:szCs w:val="20"/>
          <w:color w:val="auto"/>
        </w:rPr>
      </w:pPr>
    </w:p>
    <w:p>
      <w:pPr>
        <w:jc w:val="both"/>
        <w:ind w:firstLine="914"/>
        <w:spacing w:after="0"/>
        <w:tabs>
          <w:tab w:leader="none" w:pos="2454" w:val="left"/>
        </w:tabs>
        <w:numPr>
          <w:ilvl w:val="0"/>
          <w:numId w:val="3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Forms of Award Agreements. </w:t>
      </w:r>
      <w:r>
        <w:rPr>
          <w:rFonts w:ascii="Arial" w:cs="Arial" w:eastAsia="Arial" w:hAnsi="Arial"/>
          <w:sz w:val="22"/>
          <w:szCs w:val="22"/>
          <w:color w:val="auto"/>
        </w:rPr>
        <w:t>The Restricted Stock and Options granted pursuant to the Plan shall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made pursuant to the forms of Restricted Stock Agreement and Stock Option Agreement, respectively, attached as Exhibits A and B hereto (with such modifications as the Committee may deem to be appropriate).</w:t>
      </w:r>
    </w:p>
    <w:p>
      <w:pPr>
        <w:spacing w:after="0" w:line="186" w:lineRule="exact"/>
        <w:rPr>
          <w:sz w:val="20"/>
          <w:szCs w:val="20"/>
          <w:color w:val="auto"/>
        </w:rPr>
      </w:pPr>
    </w:p>
    <w:p>
      <w:pPr>
        <w:jc w:val="both"/>
        <w:ind w:firstLine="914"/>
        <w:spacing w:after="0" w:line="236" w:lineRule="auto"/>
        <w:tabs>
          <w:tab w:leader="none" w:pos="2442" w:val="left"/>
        </w:tabs>
        <w:numPr>
          <w:ilvl w:val="0"/>
          <w:numId w:val="3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Payment of Cash. </w:t>
      </w:r>
      <w:r>
        <w:rPr>
          <w:rFonts w:ascii="Arial" w:cs="Arial" w:eastAsia="Arial" w:hAnsi="Arial"/>
          <w:sz w:val="22"/>
          <w:szCs w:val="22"/>
          <w:color w:val="auto"/>
        </w:rPr>
        <w:t>The portion of any Projected Benefit Amount that vests and is payable in Cash shall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 payable as soon as practicable after the date on which that portion of the benefit vests and, in the case of the Cash attributable to the Performance-Based Vesting Award, the Committee certifies in writing that the Applicable Performance Target has been met (but in either case, in no event more than 2 1/2 months after the end of the calendar year in which the portion of the Projected Benefit Amount vests).</w:t>
      </w:r>
    </w:p>
    <w:p>
      <w:pPr>
        <w:spacing w:after="0" w:line="188" w:lineRule="exact"/>
        <w:rPr>
          <w:sz w:val="20"/>
          <w:szCs w:val="20"/>
          <w:color w:val="auto"/>
        </w:rPr>
      </w:pPr>
    </w:p>
    <w:p>
      <w:pPr>
        <w:jc w:val="both"/>
        <w:ind w:firstLine="914"/>
        <w:spacing w:after="0" w:line="282" w:lineRule="auto"/>
        <w:tabs>
          <w:tab w:leader="none" w:pos="2418" w:val="left"/>
        </w:tabs>
        <w:numPr>
          <w:ilvl w:val="0"/>
          <w:numId w:val="3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If Insufficient Shares Available. </w:t>
      </w:r>
      <w:r>
        <w:rPr>
          <w:rFonts w:ascii="Arial" w:cs="Arial" w:eastAsia="Arial" w:hAnsi="Arial"/>
          <w:sz w:val="19"/>
          <w:szCs w:val="19"/>
          <w:color w:val="auto"/>
        </w:rPr>
        <w:t>Notwithstanding the foregoing, if and to the extent that, at the time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 Award is granted, the Company does not have a sufficient number of Shares remaining available for Awards under the Incentive Compensation Plan to issue such Award in the form of Restricted Stock and/or Options, or the Shares are available for Awards under the Incentive Compensation Plan subject to shareholder approval, and such approval is not obtained and the grant of Restricted Stock and/or Options therefore are cancelled, then such Award shall be settled in Cash to the extent of such insufficiency.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 w:name="page12"/>
    <w:bookmarkEnd w:id="11"/>
    <w:p>
      <w:pPr>
        <w:ind w:left="820" w:hanging="812"/>
        <w:spacing w:after="0"/>
        <w:tabs>
          <w:tab w:leader="none" w:pos="820" w:val="left"/>
        </w:tabs>
        <w:numPr>
          <w:ilvl w:val="0"/>
          <w:numId w:val="40"/>
        </w:numPr>
        <w:rPr>
          <w:rFonts w:ascii="Arial" w:cs="Arial" w:eastAsia="Arial" w:hAnsi="Arial"/>
          <w:sz w:val="22"/>
          <w:szCs w:val="22"/>
          <w:color w:val="auto"/>
        </w:rPr>
      </w:pPr>
      <w:r>
        <w:rPr>
          <w:rFonts w:ascii="Arial" w:cs="Arial" w:eastAsia="Arial" w:hAnsi="Arial"/>
          <w:sz w:val="22"/>
          <w:szCs w:val="22"/>
          <w:b w:val="1"/>
          <w:bCs w:val="1"/>
          <w:i w:val="1"/>
          <w:iCs w:val="1"/>
          <w:color w:val="auto"/>
        </w:rPr>
        <w:t>Vesting of Benefit.</w:t>
      </w:r>
    </w:p>
    <w:p>
      <w:pPr>
        <w:spacing w:after="0" w:line="206" w:lineRule="exact"/>
        <w:rPr>
          <w:sz w:val="20"/>
          <w:szCs w:val="20"/>
          <w:color w:val="auto"/>
        </w:rPr>
      </w:pPr>
    </w:p>
    <w:p>
      <w:pPr>
        <w:ind w:left="2460" w:hanging="1546"/>
        <w:spacing w:after="0"/>
        <w:tabs>
          <w:tab w:leader="none" w:pos="2460" w:val="left"/>
        </w:tabs>
        <w:numPr>
          <w:ilvl w:val="0"/>
          <w:numId w:val="41"/>
        </w:numPr>
        <w:rPr>
          <w:rFonts w:ascii="Arial" w:cs="Arial" w:eastAsia="Arial" w:hAnsi="Arial"/>
          <w:sz w:val="22"/>
          <w:szCs w:val="22"/>
          <w:color w:val="auto"/>
        </w:rPr>
      </w:pPr>
      <w:r>
        <w:rPr>
          <w:rFonts w:ascii="Arial" w:cs="Arial" w:eastAsia="Arial" w:hAnsi="Arial"/>
          <w:sz w:val="22"/>
          <w:szCs w:val="22"/>
          <w:b w:val="1"/>
          <w:bCs w:val="1"/>
          <w:i w:val="1"/>
          <w:iCs w:val="1"/>
          <w:color w:val="auto"/>
        </w:rPr>
        <w:t>Vesting of Time-Vesting Benefit Amount</w:t>
      </w:r>
      <w:r>
        <w:rPr>
          <w:rFonts w:ascii="Arial" w:cs="Arial" w:eastAsia="Arial" w:hAnsi="Arial"/>
          <w:sz w:val="22"/>
          <w:szCs w:val="22"/>
          <w:color w:val="auto"/>
        </w:rPr>
        <w:t>:</w:t>
      </w:r>
    </w:p>
    <w:p>
      <w:pPr>
        <w:spacing w:after="0" w:line="206" w:lineRule="exact"/>
        <w:rPr>
          <w:sz w:val="20"/>
          <w:szCs w:val="20"/>
          <w:color w:val="auto"/>
        </w:rPr>
      </w:pPr>
    </w:p>
    <w:p>
      <w:pPr>
        <w:jc w:val="both"/>
        <w:ind w:firstLine="1811"/>
        <w:spacing w:after="0"/>
        <w:rPr>
          <w:sz w:val="20"/>
          <w:szCs w:val="20"/>
          <w:color w:val="auto"/>
        </w:rPr>
      </w:pPr>
      <w:r>
        <w:rPr>
          <w:rFonts w:ascii="Arial" w:cs="Arial" w:eastAsia="Arial" w:hAnsi="Arial"/>
          <w:sz w:val="22"/>
          <w:szCs w:val="22"/>
          <w:color w:val="auto"/>
        </w:rPr>
        <w:t>(i) 50% of the Projected Benefit Amount shall vest according to the following vesting schedule (and is sometimes referred to as the “Time-Vesting Benefit Amount”), provided that the Participant does not have a Termination of Employment on or before the applicable vesting date:</w:t>
      </w:r>
    </w:p>
    <w:p>
      <w:pPr>
        <w:spacing w:after="0" w:line="158"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1960" w:type="dxa"/>
            <w:vAlign w:val="bottom"/>
          </w:tcPr>
          <w:p>
            <w:pPr>
              <w:spacing w:after="0"/>
              <w:rPr>
                <w:sz w:val="21"/>
                <w:szCs w:val="21"/>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22"/>
                <w:szCs w:val="22"/>
                <w:color w:val="auto"/>
                <w:w w:val="87"/>
              </w:rPr>
              <w:t>Vesting Date</w:t>
            </w:r>
          </w:p>
        </w:tc>
        <w:tc>
          <w:tcPr>
            <w:tcW w:w="2340" w:type="dxa"/>
            <w:vAlign w:val="bottom"/>
          </w:tcPr>
          <w:p>
            <w:pPr>
              <w:spacing w:after="0"/>
              <w:rPr>
                <w:sz w:val="21"/>
                <w:szCs w:val="21"/>
                <w:color w:val="auto"/>
              </w:rPr>
            </w:pPr>
          </w:p>
        </w:tc>
        <w:tc>
          <w:tcPr>
            <w:tcW w:w="5160" w:type="dxa"/>
            <w:vAlign w:val="bottom"/>
            <w:gridSpan w:val="2"/>
          </w:tcPr>
          <w:p>
            <w:pPr>
              <w:jc w:val="center"/>
              <w:ind w:right="400"/>
              <w:spacing w:after="0"/>
              <w:rPr>
                <w:sz w:val="20"/>
                <w:szCs w:val="20"/>
                <w:color w:val="auto"/>
              </w:rPr>
            </w:pPr>
            <w:r>
              <w:rPr>
                <w:rFonts w:ascii="Arial" w:cs="Arial" w:eastAsia="Arial" w:hAnsi="Arial"/>
                <w:sz w:val="22"/>
                <w:szCs w:val="22"/>
                <w:color w:val="auto"/>
                <w:w w:val="89"/>
              </w:rPr>
              <w:t>Percentage of Time-Vesting Benefit Amount that Vests</w:t>
            </w:r>
          </w:p>
        </w:tc>
      </w:tr>
      <w:tr>
        <w:trPr>
          <w:trHeight w:val="20"/>
        </w:trPr>
        <w:tc>
          <w:tcPr>
            <w:tcW w:w="19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2"/>
        </w:trPr>
        <w:tc>
          <w:tcPr>
            <w:tcW w:w="5840" w:type="dxa"/>
            <w:vAlign w:val="bottom"/>
            <w:gridSpan w:val="4"/>
          </w:tcPr>
          <w:p>
            <w:pPr>
              <w:jc w:val="center"/>
              <w:ind w:right="712"/>
              <w:spacing w:after="0" w:line="242" w:lineRule="exact"/>
              <w:rPr>
                <w:sz w:val="20"/>
                <w:szCs w:val="20"/>
                <w:color w:val="auto"/>
              </w:rPr>
            </w:pPr>
            <w:r>
              <w:rPr>
                <w:rFonts w:ascii="Arial" w:cs="Arial" w:eastAsia="Arial" w:hAnsi="Arial"/>
                <w:sz w:val="22"/>
                <w:szCs w:val="22"/>
                <w:color w:val="auto"/>
                <w:w w:val="92"/>
              </w:rPr>
              <w:t>April 1 following the FYE which marks the end of the</w:t>
            </w:r>
          </w:p>
        </w:tc>
        <w:tc>
          <w:tcPr>
            <w:tcW w:w="4760" w:type="dxa"/>
            <w:vAlign w:val="bottom"/>
          </w:tcPr>
          <w:p>
            <w:pPr>
              <w:jc w:val="center"/>
              <w:spacing w:after="0" w:line="242" w:lineRule="exact"/>
              <w:rPr>
                <w:sz w:val="20"/>
                <w:szCs w:val="20"/>
                <w:color w:val="auto"/>
              </w:rPr>
            </w:pPr>
            <w:r>
              <w:rPr>
                <w:rFonts w:ascii="Arial" w:cs="Arial" w:eastAsia="Arial" w:hAnsi="Arial"/>
                <w:sz w:val="22"/>
                <w:szCs w:val="22"/>
                <w:color w:val="auto"/>
                <w:w w:val="90"/>
              </w:rPr>
              <w:t>50%</w:t>
            </w:r>
          </w:p>
        </w:tc>
        <w:tc>
          <w:tcPr>
            <w:tcW w:w="400" w:type="dxa"/>
            <w:vAlign w:val="bottom"/>
          </w:tcPr>
          <w:p>
            <w:pPr>
              <w:spacing w:after="0"/>
              <w:rPr>
                <w:sz w:val="21"/>
                <w:szCs w:val="21"/>
                <w:color w:val="auto"/>
              </w:rPr>
            </w:pPr>
          </w:p>
        </w:tc>
      </w:tr>
      <w:tr>
        <w:trPr>
          <w:trHeight w:val="275"/>
        </w:trPr>
        <w:tc>
          <w:tcPr>
            <w:tcW w:w="350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Performance Period</w:t>
            </w:r>
          </w:p>
        </w:tc>
        <w:tc>
          <w:tcPr>
            <w:tcW w:w="234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428"/>
        </w:trPr>
        <w:tc>
          <w:tcPr>
            <w:tcW w:w="5840" w:type="dxa"/>
            <w:vAlign w:val="bottom"/>
            <w:gridSpan w:val="4"/>
          </w:tcPr>
          <w:p>
            <w:pPr>
              <w:jc w:val="center"/>
              <w:ind w:right="712"/>
              <w:spacing w:after="0"/>
              <w:rPr>
                <w:sz w:val="20"/>
                <w:szCs w:val="20"/>
                <w:color w:val="auto"/>
              </w:rPr>
            </w:pPr>
            <w:r>
              <w:rPr>
                <w:rFonts w:ascii="Arial" w:cs="Arial" w:eastAsia="Arial" w:hAnsi="Arial"/>
                <w:sz w:val="22"/>
                <w:szCs w:val="22"/>
                <w:color w:val="auto"/>
                <w:w w:val="89"/>
              </w:rPr>
              <w:t>April 1 in the succeeding year (meaning, of the fiscal year</w:t>
            </w:r>
          </w:p>
        </w:tc>
        <w:tc>
          <w:tcPr>
            <w:tcW w:w="4760" w:type="dxa"/>
            <w:vAlign w:val="bottom"/>
          </w:tcPr>
          <w:p>
            <w:pPr>
              <w:jc w:val="center"/>
              <w:spacing w:after="0"/>
              <w:rPr>
                <w:sz w:val="20"/>
                <w:szCs w:val="20"/>
                <w:color w:val="auto"/>
              </w:rPr>
            </w:pPr>
            <w:r>
              <w:rPr>
                <w:rFonts w:ascii="Arial" w:cs="Arial" w:eastAsia="Arial" w:hAnsi="Arial"/>
                <w:sz w:val="22"/>
                <w:szCs w:val="22"/>
                <w:color w:val="auto"/>
                <w:w w:val="90"/>
              </w:rPr>
              <w:t>50%</w:t>
            </w:r>
          </w:p>
        </w:tc>
        <w:tc>
          <w:tcPr>
            <w:tcW w:w="400" w:type="dxa"/>
            <w:vAlign w:val="bottom"/>
          </w:tcPr>
          <w:p>
            <w:pPr>
              <w:spacing w:after="0"/>
              <w:rPr>
                <w:sz w:val="24"/>
                <w:szCs w:val="24"/>
                <w:color w:val="auto"/>
              </w:rPr>
            </w:pPr>
          </w:p>
        </w:tc>
      </w:tr>
      <w:tr>
        <w:trPr>
          <w:trHeight w:val="275"/>
        </w:trPr>
        <w:tc>
          <w:tcPr>
            <w:tcW w:w="5840" w:type="dxa"/>
            <w:vAlign w:val="bottom"/>
            <w:gridSpan w:val="4"/>
          </w:tcPr>
          <w:p>
            <w:pPr>
              <w:jc w:val="center"/>
              <w:ind w:right="712"/>
              <w:spacing w:after="0"/>
              <w:rPr>
                <w:sz w:val="20"/>
                <w:szCs w:val="20"/>
                <w:color w:val="auto"/>
              </w:rPr>
            </w:pPr>
            <w:r>
              <w:rPr>
                <w:rFonts w:ascii="Arial" w:cs="Arial" w:eastAsia="Arial" w:hAnsi="Arial"/>
                <w:sz w:val="22"/>
                <w:szCs w:val="22"/>
                <w:color w:val="auto"/>
                <w:w w:val="90"/>
              </w:rPr>
              <w:t>following the end of the Performance Period)</w:t>
            </w:r>
          </w:p>
        </w:tc>
        <w:tc>
          <w:tcPr>
            <w:tcW w:w="4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662"/>
        </w:trPr>
        <w:tc>
          <w:tcPr>
            <w:tcW w:w="3500" w:type="dxa"/>
            <w:vAlign w:val="bottom"/>
            <w:gridSpan w:val="3"/>
          </w:tcPr>
          <w:p>
            <w:pPr>
              <w:ind w:left="1400"/>
              <w:spacing w:after="0"/>
              <w:rPr>
                <w:sz w:val="20"/>
                <w:szCs w:val="20"/>
                <w:color w:val="auto"/>
              </w:rPr>
            </w:pPr>
            <w:r>
              <w:rPr>
                <w:rFonts w:ascii="Arial" w:cs="Arial" w:eastAsia="Arial" w:hAnsi="Arial"/>
                <w:sz w:val="22"/>
                <w:szCs w:val="22"/>
                <w:color w:val="auto"/>
              </w:rPr>
              <w:t>(ii)</w:t>
            </w:r>
          </w:p>
        </w:tc>
        <w:tc>
          <w:tcPr>
            <w:tcW w:w="7500" w:type="dxa"/>
            <w:vAlign w:val="bottom"/>
            <w:gridSpan w:val="3"/>
          </w:tcPr>
          <w:p>
            <w:pPr>
              <w:ind w:left="100"/>
              <w:spacing w:after="0"/>
              <w:rPr>
                <w:sz w:val="20"/>
                <w:szCs w:val="20"/>
                <w:color w:val="auto"/>
              </w:rPr>
            </w:pPr>
            <w:r>
              <w:rPr>
                <w:rFonts w:ascii="Arial" w:cs="Arial" w:eastAsia="Arial" w:hAnsi="Arial"/>
                <w:sz w:val="22"/>
                <w:szCs w:val="22"/>
                <w:color w:val="auto"/>
                <w:w w:val="94"/>
              </w:rPr>
              <w:t>Notwithstanding the foregoing, if a Participant has a Termination of Employment</w:t>
            </w:r>
          </w:p>
        </w:tc>
      </w:tr>
    </w:tbl>
    <w:p>
      <w:pPr>
        <w:spacing w:after="0"/>
        <w:rPr>
          <w:sz w:val="20"/>
          <w:szCs w:val="20"/>
          <w:color w:val="auto"/>
        </w:rPr>
      </w:pPr>
      <w:r>
        <w:rPr>
          <w:rFonts w:ascii="Arial" w:cs="Arial" w:eastAsia="Arial" w:hAnsi="Arial"/>
          <w:sz w:val="19"/>
          <w:szCs w:val="19"/>
          <w:color w:val="auto"/>
        </w:rPr>
        <w:t>during a Performance Period, then notwithstanding anything to the contrary in the Participant’s employment agreement, if any:</w:t>
      </w:r>
    </w:p>
    <w:p>
      <w:pPr>
        <w:spacing w:after="0" w:line="223" w:lineRule="exact"/>
        <w:rPr>
          <w:sz w:val="20"/>
          <w:szCs w:val="20"/>
          <w:color w:val="auto"/>
        </w:rPr>
      </w:pPr>
    </w:p>
    <w:p>
      <w:pPr>
        <w:jc w:val="both"/>
        <w:ind w:firstLine="2725"/>
        <w:spacing w:after="0" w:line="236" w:lineRule="auto"/>
        <w:tabs>
          <w:tab w:leader="none" w:pos="3647" w:val="left"/>
        </w:tabs>
        <w:numPr>
          <w:ilvl w:val="1"/>
          <w:numId w:val="42"/>
        </w:numPr>
        <w:rPr>
          <w:rFonts w:ascii="Arial" w:cs="Arial" w:eastAsia="Arial" w:hAnsi="Arial"/>
          <w:sz w:val="22"/>
          <w:szCs w:val="22"/>
          <w:color w:val="auto"/>
        </w:rPr>
      </w:pPr>
      <w:r>
        <w:rPr>
          <w:rFonts w:ascii="Arial" w:cs="Arial" w:eastAsia="Arial" w:hAnsi="Arial"/>
          <w:sz w:val="22"/>
          <w:szCs w:val="22"/>
          <w:color w:val="auto"/>
        </w:rPr>
        <w:t>If such Termination of Employment is by reason of the Participant’s death or Disability, then the Participant shall, upon such Termination of Employment, (x) become fully vested in any amount of Time-Vesting Benefit Amount from a prior completed Performance Period that had not yet vested or been paid and (y) become vested in the Pro-Rata Vesting Percentage of the Time-Vesting Benefit Amount during the current Performance Period(s) upon such Termination of Employment;</w:t>
      </w:r>
    </w:p>
    <w:p>
      <w:pPr>
        <w:spacing w:after="0" w:line="187" w:lineRule="exact"/>
        <w:rPr>
          <w:rFonts w:ascii="Arial" w:cs="Arial" w:eastAsia="Arial" w:hAnsi="Arial"/>
          <w:sz w:val="22"/>
          <w:szCs w:val="22"/>
          <w:color w:val="auto"/>
        </w:rPr>
      </w:pPr>
    </w:p>
    <w:p>
      <w:pPr>
        <w:jc w:val="both"/>
        <w:ind w:firstLine="2710"/>
        <w:spacing w:after="0" w:line="238" w:lineRule="auto"/>
        <w:tabs>
          <w:tab w:leader="none" w:pos="36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such Termination of Employment is by reason of the Participant’s Retirement, then the Participant shall become vested in the Pro-Rata Vesting Percentage of the portion of the Time-Vesting Benefit Amount(s) that would have vested in the year of such Termination of Employment if the Participant had continued to be employed by the Company and its Subsidiaries until the last day of that fiscal year; and</w:t>
      </w:r>
    </w:p>
    <w:p>
      <w:pPr>
        <w:spacing w:after="0" w:line="185" w:lineRule="exact"/>
        <w:rPr>
          <w:rFonts w:ascii="Arial" w:cs="Arial" w:eastAsia="Arial" w:hAnsi="Arial"/>
          <w:sz w:val="22"/>
          <w:szCs w:val="22"/>
          <w:color w:val="auto"/>
        </w:rPr>
      </w:pPr>
    </w:p>
    <w:p>
      <w:pPr>
        <w:ind w:firstLine="2710"/>
        <w:spacing w:after="0" w:line="328" w:lineRule="auto"/>
        <w:tabs>
          <w:tab w:leader="none" w:pos="36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If such Termination of Employment is by reason of a termination by the Company without Justifiable Cause (and other than by reason of the Participant’s Disability) or is by the Participant for Good Reason, then:</w:t>
      </w:r>
    </w:p>
    <w:p>
      <w:pPr>
        <w:spacing w:after="0" w:line="105" w:lineRule="exact"/>
        <w:rPr>
          <w:rFonts w:ascii="Arial" w:cs="Arial" w:eastAsia="Arial" w:hAnsi="Arial"/>
          <w:sz w:val="19"/>
          <w:szCs w:val="19"/>
          <w:color w:val="auto"/>
        </w:rPr>
      </w:pPr>
    </w:p>
    <w:p>
      <w:pPr>
        <w:ind w:firstLine="3600"/>
        <w:spacing w:after="0" w:line="251" w:lineRule="auto"/>
        <w:tabs>
          <w:tab w:leader="none" w:pos="3948" w:val="left"/>
        </w:tabs>
        <w:numPr>
          <w:ilvl w:val="2"/>
          <w:numId w:val="43"/>
        </w:numPr>
        <w:rPr>
          <w:rFonts w:ascii="Arial" w:cs="Arial" w:eastAsia="Arial" w:hAnsi="Arial"/>
          <w:sz w:val="22"/>
          <w:szCs w:val="22"/>
          <w:color w:val="auto"/>
        </w:rPr>
      </w:pPr>
      <w:r>
        <w:rPr>
          <w:rFonts w:ascii="Arial" w:cs="Arial" w:eastAsia="Arial" w:hAnsi="Arial"/>
          <w:sz w:val="22"/>
          <w:szCs w:val="22"/>
          <w:color w:val="auto"/>
        </w:rPr>
        <w:t>for any completed Performance Period that has not yet vested or been paid, the Participant shall become fully vested in any Time-Vesting Benefit Amount; and</w:t>
      </w:r>
    </w:p>
    <w:p>
      <w:pPr>
        <w:spacing w:after="0" w:line="173" w:lineRule="exact"/>
        <w:rPr>
          <w:rFonts w:ascii="Arial" w:cs="Arial" w:eastAsia="Arial" w:hAnsi="Arial"/>
          <w:sz w:val="22"/>
          <w:szCs w:val="22"/>
          <w:color w:val="auto"/>
        </w:rPr>
      </w:pPr>
    </w:p>
    <w:p>
      <w:pPr>
        <w:jc w:val="both"/>
        <w:ind w:firstLine="3600"/>
        <w:spacing w:after="0" w:line="236" w:lineRule="auto"/>
        <w:tabs>
          <w:tab w:leader="none" w:pos="3899" w:val="left"/>
        </w:tabs>
        <w:numPr>
          <w:ilvl w:val="2"/>
          <w:numId w:val="43"/>
        </w:numPr>
        <w:rPr>
          <w:rFonts w:ascii="Arial" w:cs="Arial" w:eastAsia="Arial" w:hAnsi="Arial"/>
          <w:sz w:val="22"/>
          <w:szCs w:val="22"/>
          <w:color w:val="auto"/>
        </w:rPr>
      </w:pPr>
      <w:r>
        <w:rPr>
          <w:rFonts w:ascii="Arial" w:cs="Arial" w:eastAsia="Arial" w:hAnsi="Arial"/>
          <w:sz w:val="22"/>
          <w:szCs w:val="22"/>
          <w:color w:val="auto"/>
        </w:rPr>
        <w:t>for any Performance Period that is currently in its first year of the Performance Period, if such Termination of Employment occurs after the first 6 months of the Performance Period, the Participant shall become vested in the Pro-Rata Vesting Percentage of the Time-Vesting Benefit Amount of such Performance Period. If such Termination of Employment occurs in the first 6 months of a Performance Period, then the Participant shall forfeit the Time-Vesting Benefit Amount of such Performance Period;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 w:name="page13"/>
    <w:bookmarkEnd w:id="12"/>
    <w:p>
      <w:pPr>
        <w:jc w:val="both"/>
        <w:ind w:firstLine="3600"/>
        <w:spacing w:after="0"/>
        <w:tabs>
          <w:tab w:leader="none" w:pos="4474" w:val="left"/>
        </w:tabs>
        <w:numPr>
          <w:ilvl w:val="0"/>
          <w:numId w:val="44"/>
        </w:numPr>
        <w:rPr>
          <w:rFonts w:ascii="Arial" w:cs="Arial" w:eastAsia="Arial" w:hAnsi="Arial"/>
          <w:sz w:val="22"/>
          <w:szCs w:val="22"/>
          <w:color w:val="auto"/>
        </w:rPr>
      </w:pPr>
      <w:r>
        <w:rPr>
          <w:rFonts w:ascii="Arial" w:cs="Arial" w:eastAsia="Arial" w:hAnsi="Arial"/>
          <w:sz w:val="22"/>
          <w:szCs w:val="22"/>
          <w:color w:val="auto"/>
        </w:rPr>
        <w:t>for any Performance Period that is currently in its second year of the Performance Period when such Termination of Employment occurs, the Participant shall become fully vested in the Time-Vesting Benefit Amount of such Performance Period.</w:t>
      </w:r>
    </w:p>
    <w:p>
      <w:pPr>
        <w:spacing w:after="0" w:line="186" w:lineRule="exact"/>
        <w:rPr>
          <w:sz w:val="20"/>
          <w:szCs w:val="20"/>
          <w:color w:val="auto"/>
        </w:rPr>
      </w:pPr>
    </w:p>
    <w:p>
      <w:pPr>
        <w:jc w:val="both"/>
        <w:ind w:firstLine="1811"/>
        <w:spacing w:after="0" w:line="279" w:lineRule="auto"/>
        <w:rPr>
          <w:sz w:val="20"/>
          <w:szCs w:val="20"/>
          <w:color w:val="auto"/>
        </w:rPr>
      </w:pPr>
      <w:r>
        <w:rPr>
          <w:rFonts w:ascii="Arial" w:cs="Arial" w:eastAsia="Arial" w:hAnsi="Arial"/>
          <w:sz w:val="19"/>
          <w:szCs w:val="19"/>
          <w:color w:val="auto"/>
        </w:rPr>
        <w:t>(iii) In the event that a Participant has a Termination of Employment, and such Termination of Employment was for any reason other than (A) by the Company without Justifiable Cause, (B) by the Participant for Good Reason, or (C) by reason of the Participant’s death, Disability or Retirement, then in addition to any other remedy that may be available to the Company in law or in equity, and/or pursuant to the provisions of the Participant’s employment agreement, if any, the Participant also shall be required to pay to the Company, immediately upon written demand by the Committee or the Board, any Gains resulting from the grant, vesting, exercise or payment of any Award in the previous twelve months.</w:t>
      </w:r>
    </w:p>
    <w:p>
      <w:pPr>
        <w:spacing w:after="0" w:line="151" w:lineRule="exact"/>
        <w:rPr>
          <w:sz w:val="20"/>
          <w:szCs w:val="20"/>
          <w:color w:val="auto"/>
        </w:rPr>
      </w:pPr>
    </w:p>
    <w:p>
      <w:pPr>
        <w:ind w:left="2460" w:hanging="1546"/>
        <w:spacing w:after="0"/>
        <w:tabs>
          <w:tab w:leader="none" w:pos="2460" w:val="left"/>
        </w:tabs>
        <w:numPr>
          <w:ilvl w:val="0"/>
          <w:numId w:val="45"/>
        </w:numPr>
        <w:rPr>
          <w:rFonts w:ascii="Arial" w:cs="Arial" w:eastAsia="Arial" w:hAnsi="Arial"/>
          <w:sz w:val="22"/>
          <w:szCs w:val="22"/>
          <w:color w:val="auto"/>
        </w:rPr>
      </w:pPr>
      <w:r>
        <w:rPr>
          <w:rFonts w:ascii="Arial" w:cs="Arial" w:eastAsia="Arial" w:hAnsi="Arial"/>
          <w:sz w:val="22"/>
          <w:szCs w:val="22"/>
          <w:b w:val="1"/>
          <w:bCs w:val="1"/>
          <w:i w:val="1"/>
          <w:iCs w:val="1"/>
          <w:color w:val="auto"/>
        </w:rPr>
        <w:t>Vesting of Performance-Vesting Benefit Amount</w:t>
      </w:r>
      <w:r>
        <w:rPr>
          <w:rFonts w:ascii="Arial" w:cs="Arial" w:eastAsia="Arial" w:hAnsi="Arial"/>
          <w:sz w:val="22"/>
          <w:szCs w:val="22"/>
          <w:color w:val="auto"/>
        </w:rPr>
        <w:t>.</w:t>
      </w:r>
    </w:p>
    <w:p>
      <w:pPr>
        <w:spacing w:after="0" w:line="206" w:lineRule="exact"/>
        <w:rPr>
          <w:sz w:val="20"/>
          <w:szCs w:val="20"/>
          <w:color w:val="auto"/>
        </w:rPr>
      </w:pPr>
    </w:p>
    <w:p>
      <w:pPr>
        <w:jc w:val="both"/>
        <w:ind w:firstLine="1811"/>
        <w:spacing w:after="0" w:line="244" w:lineRule="auto"/>
        <w:rPr>
          <w:sz w:val="20"/>
          <w:szCs w:val="20"/>
          <w:color w:val="auto"/>
        </w:rPr>
      </w:pPr>
      <w:r>
        <w:rPr>
          <w:rFonts w:ascii="Arial" w:cs="Arial" w:eastAsia="Arial" w:hAnsi="Arial"/>
          <w:sz w:val="21"/>
          <w:szCs w:val="21"/>
          <w:color w:val="auto"/>
        </w:rPr>
        <w:t>(i) 50% of the Projected Benefit Amount is subject to the achievement of the Applicable Performance Target. After the respective Performance Period ends and an audit of the Company’s financial statements has been completed, the Committee will calculate the amount of the “Performance-Vesting Benefit Amount” for each Participant. The Performance-Vesting Benefit Amount will be determined by first calculating the portion of the Projected Benefit Amount attributable to each Performance Target and then adding those results together. To do so, the Committee will first multiply the 50% of the Projected Benefit Amount by the weight of each individual Performance Target and then by the percentage of target actually achieved for each Performance Target. If results for an individual Performance Target falls below the threshold established, there will be no Award with respect to the portion of the Projected Benefit Amount to which that Performance Target relates. The Performance-Vesting Benefit Amount shall vest on August 31 following the end of the applicable Performance Period if the Participant’s employment continues through such August 31 and the Committee has reviewed and certified the extent to which such Applicable Performance Target for the Performance Period has been met.</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For example, assume the Performance Targets were Goal A and Goal B and that each was weighted 50%, with a threshold payment at 80% of target and a maximum payout at 150% of target:</w:t>
      </w:r>
    </w:p>
    <w:p>
      <w:pPr>
        <w:spacing w:after="0" w:line="173" w:lineRule="exact"/>
        <w:rPr>
          <w:sz w:val="20"/>
          <w:szCs w:val="20"/>
          <w:color w:val="auto"/>
        </w:rPr>
      </w:pPr>
    </w:p>
    <w:p>
      <w:pPr>
        <w:ind w:right="900" w:firstLine="914"/>
        <w:spacing w:after="0" w:line="251" w:lineRule="auto"/>
        <w:tabs>
          <w:tab w:leader="none" w:pos="1254" w:val="left"/>
        </w:tabs>
        <w:numPr>
          <w:ilvl w:val="0"/>
          <w:numId w:val="46"/>
        </w:numPr>
        <w:rPr>
          <w:rFonts w:ascii="Arial" w:cs="Arial" w:eastAsia="Arial" w:hAnsi="Arial"/>
          <w:sz w:val="22"/>
          <w:szCs w:val="22"/>
          <w:color w:val="auto"/>
        </w:rPr>
      </w:pPr>
      <w:r>
        <w:rPr>
          <w:rFonts w:ascii="Arial" w:cs="Arial" w:eastAsia="Arial" w:hAnsi="Arial"/>
          <w:sz w:val="22"/>
          <w:szCs w:val="22"/>
          <w:color w:val="auto"/>
        </w:rPr>
        <w:t>if Goal A and Goal B are both less than 80% of their respective target, then no Award shall be made for the Performance-Vesting Benefit Amount;</w:t>
      </w:r>
    </w:p>
    <w:p>
      <w:pPr>
        <w:spacing w:after="0" w:line="173" w:lineRule="exact"/>
        <w:rPr>
          <w:rFonts w:ascii="Arial" w:cs="Arial" w:eastAsia="Arial" w:hAnsi="Arial"/>
          <w:sz w:val="22"/>
          <w:szCs w:val="22"/>
          <w:color w:val="auto"/>
        </w:rPr>
      </w:pPr>
    </w:p>
    <w:p>
      <w:pPr>
        <w:jc w:val="both"/>
        <w:ind w:firstLine="914"/>
        <w:spacing w:after="0" w:line="297" w:lineRule="auto"/>
        <w:tabs>
          <w:tab w:leader="none" w:pos="1273" w:val="left"/>
        </w:tabs>
        <w:numPr>
          <w:ilvl w:val="0"/>
          <w:numId w:val="46"/>
        </w:numPr>
        <w:rPr>
          <w:rFonts w:ascii="Arial" w:cs="Arial" w:eastAsia="Arial" w:hAnsi="Arial"/>
          <w:sz w:val="19"/>
          <w:szCs w:val="19"/>
          <w:color w:val="auto"/>
        </w:rPr>
      </w:pPr>
      <w:r>
        <w:rPr>
          <w:rFonts w:ascii="Arial" w:cs="Arial" w:eastAsia="Arial" w:hAnsi="Arial"/>
          <w:sz w:val="19"/>
          <w:szCs w:val="19"/>
          <w:color w:val="auto"/>
        </w:rPr>
        <w:t>if Goal A is 100% of its target and Goal B is 100% of its target, and a Participant has a Projected Benefit Amount of $140,000, then 50% of that amount, or $70,000, would be subject to the achievement of the Applicable Performance Target, and the Performance-Vesting Benefit Amount would be $70,000 (100% X $70,000 X 50%) + (100% X $70,000 X 50%); and</w:t>
      </w:r>
    </w:p>
    <w:p>
      <w:pPr>
        <w:spacing w:after="0" w:line="134" w:lineRule="exact"/>
        <w:rPr>
          <w:rFonts w:ascii="Arial" w:cs="Arial" w:eastAsia="Arial" w:hAnsi="Arial"/>
          <w:sz w:val="19"/>
          <w:szCs w:val="19"/>
          <w:color w:val="auto"/>
        </w:rPr>
      </w:pPr>
    </w:p>
    <w:p>
      <w:pPr>
        <w:ind w:firstLine="914"/>
        <w:spacing w:after="0" w:line="297" w:lineRule="auto"/>
        <w:tabs>
          <w:tab w:leader="none" w:pos="1254" w:val="left"/>
        </w:tabs>
        <w:numPr>
          <w:ilvl w:val="0"/>
          <w:numId w:val="46"/>
        </w:numPr>
        <w:rPr>
          <w:rFonts w:ascii="Arial" w:cs="Arial" w:eastAsia="Arial" w:hAnsi="Arial"/>
          <w:sz w:val="19"/>
          <w:szCs w:val="19"/>
          <w:color w:val="auto"/>
        </w:rPr>
      </w:pPr>
      <w:r>
        <w:rPr>
          <w:rFonts w:ascii="Arial" w:cs="Arial" w:eastAsia="Arial" w:hAnsi="Arial"/>
          <w:sz w:val="19"/>
          <w:szCs w:val="19"/>
          <w:color w:val="auto"/>
        </w:rPr>
        <w:t>if Goal A is 180% of its target and Goal B is 125% of its target, and a Participant has a Projected Benefit Amount of $140,000, then 50% of that amount, or $70,000, would be subject to the achievement of the Applicable Performance Target, and the Performance-Vesting Benefit Amount would be $96,250 (150% (cap) X $70,000 X 50%) + (125% X $70,000 X 50%).</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 w:name="page14"/>
    <w:bookmarkEnd w:id="13"/>
    <w:p>
      <w:pPr>
        <w:jc w:val="both"/>
        <w:ind w:firstLine="1811"/>
        <w:spacing w:after="0" w:line="251" w:lineRule="auto"/>
        <w:rPr>
          <w:sz w:val="20"/>
          <w:szCs w:val="20"/>
          <w:color w:val="auto"/>
        </w:rPr>
      </w:pPr>
      <w:r>
        <w:rPr>
          <w:rFonts w:ascii="Arial" w:cs="Arial" w:eastAsia="Arial" w:hAnsi="Arial"/>
          <w:sz w:val="22"/>
          <w:szCs w:val="22"/>
          <w:color w:val="auto"/>
        </w:rPr>
        <w:t>(ii) Notwithstanding the foregoing, if a Participant has a Termination of Employment during a Performance Period, then notwithstanding anything to the contrary in the Participant’s employment agreement, if any:</w:t>
      </w:r>
    </w:p>
    <w:p>
      <w:pPr>
        <w:spacing w:after="0" w:line="173" w:lineRule="exact"/>
        <w:rPr>
          <w:sz w:val="20"/>
          <w:szCs w:val="20"/>
          <w:color w:val="auto"/>
        </w:rPr>
      </w:pPr>
    </w:p>
    <w:p>
      <w:pPr>
        <w:jc w:val="both"/>
        <w:ind w:firstLine="1511"/>
        <w:spacing w:after="0" w:line="236" w:lineRule="auto"/>
        <w:rPr>
          <w:sz w:val="20"/>
          <w:szCs w:val="20"/>
          <w:color w:val="auto"/>
        </w:rPr>
      </w:pPr>
      <w:r>
        <w:rPr>
          <w:rFonts w:ascii="Arial" w:cs="Arial" w:eastAsia="Arial" w:hAnsi="Arial"/>
          <w:sz w:val="22"/>
          <w:szCs w:val="22"/>
          <w:color w:val="auto"/>
        </w:rPr>
        <w:t>(A)If such Termination of Employment is by reason of the Participant’s death or Disability, then the Participant shall, upon such Termination of Employment, (x) become fully vested in any amount of Performance-Vesting Benefit from a prior completed Performance Period that had not yet vested or been paid and (y) vested in the Pro-Rata Vesting Percentage of the Performance-Vesting Benefit Amount regardless of whether the Applicable Performance Target for the current Performance Period has been met.</w:t>
      </w:r>
    </w:p>
    <w:p>
      <w:pPr>
        <w:spacing w:after="0" w:line="188" w:lineRule="exact"/>
        <w:rPr>
          <w:sz w:val="20"/>
          <w:szCs w:val="20"/>
          <w:color w:val="auto"/>
        </w:rPr>
      </w:pPr>
    </w:p>
    <w:p>
      <w:pPr>
        <w:jc w:val="both"/>
        <w:ind w:firstLine="2680"/>
        <w:spacing w:after="0" w:line="238" w:lineRule="auto"/>
        <w:tabs>
          <w:tab w:leader="none" w:pos="359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such Termination of Employment is by reason of the Participant’s Retirement, then the Participant shall (x) become fully vested in any amount of Performance-Vesting Benefit from a prior completed Performance Period that had not yet vested or been paid and (y) become vested in the Pro-Rata Vesting Percentage of the Performance-Vesting Benefit Amount if and when the Applicable Performance Target is met; and</w:t>
      </w:r>
    </w:p>
    <w:p>
      <w:pPr>
        <w:spacing w:after="0" w:line="185" w:lineRule="exact"/>
        <w:rPr>
          <w:rFonts w:ascii="Arial" w:cs="Arial" w:eastAsia="Arial" w:hAnsi="Arial"/>
          <w:sz w:val="22"/>
          <w:szCs w:val="22"/>
          <w:color w:val="auto"/>
        </w:rPr>
      </w:pPr>
    </w:p>
    <w:p>
      <w:pPr>
        <w:ind w:firstLine="2680"/>
        <w:spacing w:after="0" w:line="328" w:lineRule="auto"/>
        <w:tabs>
          <w:tab w:leader="none" w:pos="359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such Termination of Employment is by reason of a termination by the Company without Justifiable Cause (and other than by reason of the Participant’s Disability) or by the Participant for Good Reason, then:</w:t>
      </w:r>
    </w:p>
    <w:p>
      <w:pPr>
        <w:spacing w:after="0" w:line="105" w:lineRule="exact"/>
        <w:rPr>
          <w:rFonts w:ascii="Arial" w:cs="Arial" w:eastAsia="Arial" w:hAnsi="Arial"/>
          <w:sz w:val="19"/>
          <w:szCs w:val="19"/>
          <w:color w:val="auto"/>
        </w:rPr>
      </w:pPr>
    </w:p>
    <w:p>
      <w:pPr>
        <w:ind w:left="4520" w:hanging="889"/>
        <w:spacing w:after="0"/>
        <w:tabs>
          <w:tab w:leader="none" w:pos="4520" w:val="left"/>
        </w:tabs>
        <w:numPr>
          <w:ilvl w:val="1"/>
          <w:numId w:val="47"/>
        </w:numPr>
        <w:rPr>
          <w:rFonts w:ascii="Arial" w:cs="Arial" w:eastAsia="Arial" w:hAnsi="Arial"/>
          <w:sz w:val="19"/>
          <w:szCs w:val="19"/>
          <w:color w:val="auto"/>
        </w:rPr>
      </w:pPr>
      <w:r>
        <w:rPr>
          <w:rFonts w:ascii="Arial" w:cs="Arial" w:eastAsia="Arial" w:hAnsi="Arial"/>
          <w:sz w:val="19"/>
          <w:szCs w:val="19"/>
          <w:color w:val="auto"/>
        </w:rPr>
        <w:t>for any completed Performance Period that has not yet vested or been paid,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Participant shall become fully vested in any amount of Performance-Vesting Benefit Amount; and</w:t>
      </w:r>
    </w:p>
    <w:p>
      <w:pPr>
        <w:spacing w:after="0" w:line="188" w:lineRule="exact"/>
        <w:rPr>
          <w:rFonts w:ascii="Arial" w:cs="Arial" w:eastAsia="Arial" w:hAnsi="Arial"/>
          <w:sz w:val="19"/>
          <w:szCs w:val="19"/>
          <w:color w:val="auto"/>
        </w:rPr>
      </w:pPr>
    </w:p>
    <w:p>
      <w:pPr>
        <w:jc w:val="both"/>
        <w:ind w:firstLine="3631"/>
        <w:spacing w:after="0" w:line="282" w:lineRule="auto"/>
        <w:tabs>
          <w:tab w:leader="none" w:pos="4505" w:val="left"/>
        </w:tabs>
        <w:numPr>
          <w:ilvl w:val="1"/>
          <w:numId w:val="47"/>
        </w:numPr>
        <w:rPr>
          <w:rFonts w:ascii="Arial" w:cs="Arial" w:eastAsia="Arial" w:hAnsi="Arial"/>
          <w:sz w:val="19"/>
          <w:szCs w:val="19"/>
          <w:color w:val="auto"/>
        </w:rPr>
      </w:pPr>
      <w:r>
        <w:rPr>
          <w:rFonts w:ascii="Arial" w:cs="Arial" w:eastAsia="Arial" w:hAnsi="Arial"/>
          <w:sz w:val="19"/>
          <w:szCs w:val="19"/>
          <w:color w:val="auto"/>
        </w:rPr>
        <w:t>for any Performance Period that is currently in its first year of the Performance Period, if such Termination of Employment occurs after the first 6 months of the Performance Period, the Participant shall become vested in the Pro-Rata Vesting Percentage of the Performance-Based Vesting Benefit Amount for such Performance Period if and when the Applicable Performance Target has been met. If such Termination of Employment occurs in the first 6 months of a Performance Period, then the Participant shall forfeit the Performance-Vesting Benefit Amount for such Performance Period; and</w:t>
      </w:r>
    </w:p>
    <w:p>
      <w:pPr>
        <w:spacing w:after="0" w:line="147" w:lineRule="exact"/>
        <w:rPr>
          <w:rFonts w:ascii="Arial" w:cs="Arial" w:eastAsia="Arial" w:hAnsi="Arial"/>
          <w:sz w:val="19"/>
          <w:szCs w:val="19"/>
          <w:color w:val="auto"/>
        </w:rPr>
      </w:pPr>
    </w:p>
    <w:p>
      <w:pPr>
        <w:jc w:val="both"/>
        <w:ind w:firstLine="3631"/>
        <w:spacing w:after="0" w:line="297" w:lineRule="auto"/>
        <w:tabs>
          <w:tab w:leader="none" w:pos="4505" w:val="left"/>
        </w:tabs>
        <w:numPr>
          <w:ilvl w:val="1"/>
          <w:numId w:val="47"/>
        </w:numPr>
        <w:rPr>
          <w:rFonts w:ascii="Arial" w:cs="Arial" w:eastAsia="Arial" w:hAnsi="Arial"/>
          <w:sz w:val="19"/>
          <w:szCs w:val="19"/>
          <w:color w:val="auto"/>
        </w:rPr>
      </w:pPr>
      <w:r>
        <w:rPr>
          <w:rFonts w:ascii="Arial" w:cs="Arial" w:eastAsia="Arial" w:hAnsi="Arial"/>
          <w:sz w:val="19"/>
          <w:szCs w:val="19"/>
          <w:color w:val="auto"/>
        </w:rPr>
        <w:t>for any Performance Period that is currently in its second year of the Performance Period when such Termination of Employment occurs, the Participant shall become fully vested in the Performance-Vesting Benefit Amount for the current Performance Period if and when the Applicable Performance Target has been met.</w:t>
      </w:r>
    </w:p>
    <w:p>
      <w:pPr>
        <w:spacing w:after="0" w:line="134" w:lineRule="exact"/>
        <w:rPr>
          <w:sz w:val="20"/>
          <w:szCs w:val="20"/>
          <w:color w:val="auto"/>
        </w:rPr>
      </w:pPr>
    </w:p>
    <w:p>
      <w:pPr>
        <w:jc w:val="both"/>
        <w:ind w:firstLine="914"/>
        <w:spacing w:after="0" w:line="277" w:lineRule="auto"/>
        <w:tabs>
          <w:tab w:leader="none" w:pos="2442" w:val="left"/>
        </w:tabs>
        <w:numPr>
          <w:ilvl w:val="0"/>
          <w:numId w:val="48"/>
        </w:numPr>
        <w:rPr>
          <w:rFonts w:ascii="Arial" w:cs="Arial" w:eastAsia="Arial" w:hAnsi="Arial"/>
          <w:sz w:val="19"/>
          <w:szCs w:val="19"/>
          <w:color w:val="auto"/>
        </w:rPr>
      </w:pPr>
      <w:r>
        <w:rPr>
          <w:rFonts w:ascii="Arial" w:cs="Arial" w:eastAsia="Arial" w:hAnsi="Arial"/>
          <w:sz w:val="19"/>
          <w:szCs w:val="19"/>
          <w:b w:val="1"/>
          <w:bCs w:val="1"/>
          <w:i w:val="1"/>
          <w:iCs w:val="1"/>
          <w:color w:val="auto"/>
        </w:rPr>
        <w:t>Forfeitures</w:t>
      </w:r>
      <w:r>
        <w:rPr>
          <w:rFonts w:ascii="Arial" w:cs="Arial" w:eastAsia="Arial" w:hAnsi="Arial"/>
          <w:sz w:val="19"/>
          <w:szCs w:val="19"/>
          <w:color w:val="auto"/>
        </w:rPr>
        <w:t>. Except as otherwise provided in Section 7(a)(ii) and 7(b)(ii) hereof, any portion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Projected Benefit Amount that was not vested on the date on which the Participant incurs a Termination of Employment and that does not vest on account of the Participant’s Termination of Employment shall automatically and without any further action by the Committee immediately be forfeited and become null and void. In the event that the Participant’s Termination of Employment is by the Company for Justifiable Cause, then any portion of the Participant’s Award that has not previously vested and been exercised (in the case of any Options), or paid (in the case of any amount payable in cash) shall automatically and without further action by the Committee immediately be forfeited and become null and void.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 w:name="page15"/>
    <w:bookmarkEnd w:id="14"/>
    <w:p>
      <w:pPr>
        <w:jc w:val="both"/>
        <w:ind w:firstLine="914"/>
        <w:spacing w:after="0" w:line="269" w:lineRule="auto"/>
        <w:tabs>
          <w:tab w:leader="none" w:pos="2454"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Change in Control. </w:t>
      </w:r>
      <w:r>
        <w:rPr>
          <w:rFonts w:ascii="Arial" w:cs="Arial" w:eastAsia="Arial" w:hAnsi="Arial"/>
          <w:sz w:val="19"/>
          <w:szCs w:val="19"/>
          <w:color w:val="auto"/>
        </w:rPr>
        <w:t>In the event of a Change in Control and within 6 months before or 18 months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after the Change in Control, the Participant is terminated by the Company without Justifiable Cause or by the Participant for Good Reason, or there is a Termination of Employment because of the Participant’s death or Disability, the following shall occur: (i) if the portion of the Participant’s Award(s) that is time-based has not previously been vested or paid to the Participant and is not assumed by the acquirer or converted into a new award that is at least the equivalent of the outstanding award, then such portion shall immediately vest (in the case of Restricted Stock and Options) and the Cash payable as a result of such vesting shall be paid to the Participant, as soon as practicable (but in no event more than 5 business days) after the later of the Change in Control or the Participant’s Termination of Employment; and (ii) if the portion of the Participant’s Award(s) that is performance-based has not previously been vested or paid to the Participant, then the pro-rata portion for the time elapsed in the ongoing performance period(s), shall immediately vest (in the case of Restricted Stock and Options) and the Cash payable as a result of such vesting shall be paid to the Participant, as soon as practicable (but in no event more than 5 business days) after the later of the Change in Control or the Participant’s Termination of Employment. Each Share of Restricted Stock that vests pursuant to this Section 7(d)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Participant’s Termination of Employment,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Participant’s Termination of Employment and (B) the fair market value of any other consideration received for each Share pursuant to the Change of Control. Each Option that vests pursuant to this Section 7(d) shall be immediately cancelled in exchange for cash payable by the Company for each Share subject to the cancelled Option equal to the amount, if any, by which the Redemption Price Per Share exceeds the exercise price per Share of the Option.</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820" w:hanging="812"/>
        <w:spacing w:after="0"/>
        <w:tabs>
          <w:tab w:leader="none" w:pos="820" w:val="left"/>
        </w:tabs>
        <w:numPr>
          <w:ilvl w:val="0"/>
          <w:numId w:val="50"/>
        </w:numPr>
        <w:rPr>
          <w:rFonts w:ascii="Arial" w:cs="Arial" w:eastAsia="Arial" w:hAnsi="Arial"/>
          <w:sz w:val="22"/>
          <w:szCs w:val="22"/>
          <w:color w:val="auto"/>
        </w:rPr>
      </w:pPr>
      <w:r>
        <w:rPr>
          <w:rFonts w:ascii="Arial" w:cs="Arial" w:eastAsia="Arial" w:hAnsi="Arial"/>
          <w:sz w:val="22"/>
          <w:szCs w:val="22"/>
          <w:b w:val="1"/>
          <w:bCs w:val="1"/>
          <w:i w:val="1"/>
          <w:iCs w:val="1"/>
          <w:color w:val="auto"/>
        </w:rPr>
        <w:t>Administration.</w:t>
      </w:r>
    </w:p>
    <w:p>
      <w:pPr>
        <w:spacing w:after="0" w:line="206" w:lineRule="exact"/>
        <w:rPr>
          <w:sz w:val="20"/>
          <w:szCs w:val="20"/>
          <w:color w:val="auto"/>
        </w:rPr>
      </w:pPr>
    </w:p>
    <w:p>
      <w:pPr>
        <w:jc w:val="both"/>
        <w:ind w:firstLine="914"/>
        <w:spacing w:after="0" w:line="274" w:lineRule="auto"/>
        <w:tabs>
          <w:tab w:leader="none" w:pos="2442" w:val="left"/>
        </w:tabs>
        <w:numPr>
          <w:ilvl w:val="0"/>
          <w:numId w:val="5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Authority of the Committee. </w:t>
      </w:r>
      <w:r>
        <w:rPr>
          <w:rFonts w:ascii="Arial" w:cs="Arial" w:eastAsia="Arial" w:hAnsi="Arial"/>
          <w:sz w:val="19"/>
          <w:szCs w:val="19"/>
          <w:color w:val="auto"/>
        </w:rPr>
        <w:t>The Plan shall be administered by the Committee. The Committee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have full and final authority, subject to and consistent with the provisions of the Plan, to select persons to become Participants, grant Awards, determine the amount of any Participant’s Award and all other matters relating to Awards, prescribe rules and regulations for the administration of the Plan, construe and interpret the Plan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Participant in a manner consistent with the treatment of any other Participants. Decisions of the Committee shall be final, conclusive and binding on all persons or entities, including the Company, any Subsidiary, any Affiliate or any Participant or Beneficiary.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 w:name="page16"/>
    <w:bookmarkEnd w:id="15"/>
    <w:p>
      <w:pPr>
        <w:jc w:val="both"/>
        <w:ind w:firstLine="914"/>
        <w:spacing w:after="0" w:line="273" w:lineRule="auto"/>
        <w:tabs>
          <w:tab w:leader="none" w:pos="2454" w:val="left"/>
        </w:tabs>
        <w:numPr>
          <w:ilvl w:val="0"/>
          <w:numId w:val="5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Manner of Exercise of Committee Authority. </w:t>
      </w:r>
      <w:r>
        <w:rPr>
          <w:rFonts w:ascii="Arial" w:cs="Arial" w:eastAsia="Arial" w:hAnsi="Arial"/>
          <w:sz w:val="19"/>
          <w:szCs w:val="19"/>
          <w:color w:val="auto"/>
        </w:rPr>
        <w:t>The Committee may delegate to members of the Board,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officers or managers of the Company or any Subsidiary,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Securities and Exchange Act of 1934, as amended, in respect of the Company and will not cause Awards intended to qualify as “performance-based compensation” under Code Section 162(m) to fail to so qualify. It is the Committee’s intention that the Performance-Based Vesting Awards shall qualify as performance-based compensation that shall be exempt from the deduction limitations under Section 162(m) of the Code, and that they therefore be granted under and be subject to the applicable sections of the Company’s Incentive Compensation Plan relating to awards intended to satisfy the Section 162(m) requirements (including the limitations on the amount of such awards that have been approved by shareholders). The Committee may appoint agents to assist it in administering the Plan.</w:t>
      </w:r>
    </w:p>
    <w:p>
      <w:pPr>
        <w:spacing w:after="0" w:line="156" w:lineRule="exact"/>
        <w:rPr>
          <w:sz w:val="20"/>
          <w:szCs w:val="20"/>
          <w:color w:val="auto"/>
        </w:rPr>
      </w:pPr>
    </w:p>
    <w:p>
      <w:pPr>
        <w:jc w:val="both"/>
        <w:ind w:firstLine="914"/>
        <w:spacing w:after="0" w:line="279" w:lineRule="auto"/>
        <w:tabs>
          <w:tab w:leader="none" w:pos="2442" w:val="left"/>
        </w:tabs>
        <w:numPr>
          <w:ilvl w:val="0"/>
          <w:numId w:val="5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Limitation of Liability. </w:t>
      </w:r>
      <w:r>
        <w:rPr>
          <w:rFonts w:ascii="Arial" w:cs="Arial" w:eastAsia="Arial" w:hAnsi="Arial"/>
          <w:sz w:val="19"/>
          <w:szCs w:val="19"/>
          <w:color w:val="auto"/>
        </w:rPr>
        <w:t>The Committee, and each member thereof, shall be entitled to, in good faith,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rely or act upon any report or other information furnished to him or her by any officer or employee, the Company’s independent auditors, consultants or any other agents assisting in the administration of the Plan. Members of the Committee, and any other member of the Board and any officer or employee acting at the direction or on behalf of the Committee,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51" w:lineRule="exact"/>
        <w:rPr>
          <w:sz w:val="20"/>
          <w:szCs w:val="20"/>
          <w:color w:val="auto"/>
        </w:rPr>
      </w:pPr>
    </w:p>
    <w:p>
      <w:pPr>
        <w:jc w:val="both"/>
        <w:ind w:firstLine="914"/>
        <w:spacing w:after="0" w:line="236" w:lineRule="auto"/>
        <w:tabs>
          <w:tab w:leader="none" w:pos="2454" w:val="left"/>
        </w:tabs>
        <w:numPr>
          <w:ilvl w:val="0"/>
          <w:numId w:val="5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 Claim for Benefits Required. </w:t>
      </w:r>
      <w:r>
        <w:rPr>
          <w:rFonts w:ascii="Arial" w:cs="Arial" w:eastAsia="Arial" w:hAnsi="Arial"/>
          <w:sz w:val="22"/>
          <w:szCs w:val="22"/>
          <w:color w:val="auto"/>
        </w:rPr>
        <w:t>Benefits due and owing to a Participant under the Plan shall be paid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when due without any requirement that a claim for benefits be filed. However, any Participant who has not received the benefits to which Participant believes himself or herself entitled may file a written claim with the Committee, which shall act on the claim within thirty days. If a Participant’s employment agreement conflicts with any provision of this Plan, the language of the Plan shall govern.</w:t>
      </w:r>
    </w:p>
    <w:p>
      <w:pPr>
        <w:spacing w:after="0" w:line="188" w:lineRule="exact"/>
        <w:rPr>
          <w:sz w:val="20"/>
          <w:szCs w:val="20"/>
          <w:color w:val="auto"/>
        </w:rPr>
      </w:pPr>
    </w:p>
    <w:p>
      <w:pPr>
        <w:ind w:firstLine="914"/>
        <w:spacing w:after="0" w:line="251" w:lineRule="auto"/>
        <w:tabs>
          <w:tab w:leader="none" w:pos="2442" w:val="left"/>
        </w:tabs>
        <w:numPr>
          <w:ilvl w:val="1"/>
          <w:numId w:val="5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Payments to Beneficiary. </w:t>
      </w:r>
      <w:r>
        <w:rPr>
          <w:rFonts w:ascii="Arial" w:cs="Arial" w:eastAsia="Arial" w:hAnsi="Arial"/>
          <w:sz w:val="22"/>
          <w:szCs w:val="22"/>
          <w:color w:val="auto"/>
        </w:rPr>
        <w:t>Any vested benefits payable to any Participant that have not been paid as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date of the Participant’s death, shall be paid to the Participant’s Beneficiary.</w:t>
      </w:r>
    </w:p>
    <w:p>
      <w:pPr>
        <w:spacing w:after="0" w:line="173" w:lineRule="exact"/>
        <w:rPr>
          <w:rFonts w:ascii="Arial" w:cs="Arial" w:eastAsia="Arial" w:hAnsi="Arial"/>
          <w:sz w:val="22"/>
          <w:szCs w:val="22"/>
          <w:color w:val="auto"/>
        </w:rPr>
      </w:pPr>
    </w:p>
    <w:p>
      <w:pPr>
        <w:jc w:val="both"/>
        <w:ind w:firstLine="8"/>
        <w:spacing w:after="0"/>
        <w:tabs>
          <w:tab w:leader="none" w:pos="810" w:val="left"/>
        </w:tabs>
        <w:numPr>
          <w:ilvl w:val="0"/>
          <w:numId w:val="5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Awards Subject to Plans. </w:t>
      </w:r>
      <w:r>
        <w:rPr>
          <w:rFonts w:ascii="Arial" w:cs="Arial" w:eastAsia="Arial" w:hAnsi="Arial"/>
          <w:sz w:val="22"/>
          <w:szCs w:val="22"/>
          <w:color w:val="auto"/>
        </w:rPr>
        <w:t>The Awards under this Plan, and the grants of Restricted Stock and Options pursuant to this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Plan, are being granted pursuant to and in accordance with the terms and conditions of this Plan and the Incentive Compensation Plan, and the Award Agreements.</w:t>
      </w:r>
    </w:p>
    <w:p>
      <w:pPr>
        <w:spacing w:after="0" w:line="186" w:lineRule="exact"/>
        <w:rPr>
          <w:rFonts w:ascii="Arial" w:cs="Arial" w:eastAsia="Arial" w:hAnsi="Arial"/>
          <w:sz w:val="22"/>
          <w:szCs w:val="22"/>
          <w:color w:val="auto"/>
        </w:rPr>
      </w:pPr>
    </w:p>
    <w:p>
      <w:pPr>
        <w:jc w:val="both"/>
        <w:ind w:firstLine="8"/>
        <w:spacing w:after="0"/>
        <w:tabs>
          <w:tab w:leader="none" w:pos="918" w:val="left"/>
        </w:tabs>
        <w:numPr>
          <w:ilvl w:val="0"/>
          <w:numId w:val="5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 Acceleration of Benefits. </w:t>
      </w:r>
      <w:r>
        <w:rPr>
          <w:rFonts w:ascii="Arial" w:cs="Arial" w:eastAsia="Arial" w:hAnsi="Arial"/>
          <w:sz w:val="22"/>
          <w:szCs w:val="22"/>
          <w:color w:val="auto"/>
        </w:rPr>
        <w:t>In no event shall the acceleration of the time or schedule of any payment under the Plan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permitted, except to the extent that such acceleration would not violate Section 409A of the Code and the Treasury Regulations and other applicable guidance issued thereunder.</w:t>
      </w:r>
    </w:p>
    <w:p>
      <w:pPr>
        <w:spacing w:after="0" w:line="186" w:lineRule="exact"/>
        <w:rPr>
          <w:rFonts w:ascii="Arial" w:cs="Arial" w:eastAsia="Arial" w:hAnsi="Arial"/>
          <w:sz w:val="22"/>
          <w:szCs w:val="22"/>
          <w:color w:val="auto"/>
        </w:rPr>
      </w:pPr>
    </w:p>
    <w:p>
      <w:pPr>
        <w:jc w:val="both"/>
        <w:ind w:firstLine="8"/>
        <w:spacing w:after="0" w:line="238" w:lineRule="auto"/>
        <w:tabs>
          <w:tab w:leader="none" w:pos="910" w:val="left"/>
        </w:tabs>
        <w:numPr>
          <w:ilvl w:val="0"/>
          <w:numId w:val="5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Amendment and Termination. </w:t>
      </w:r>
      <w:r>
        <w:rPr>
          <w:rFonts w:ascii="Arial" w:cs="Arial" w:eastAsia="Arial" w:hAnsi="Arial"/>
          <w:sz w:val="22"/>
          <w:szCs w:val="22"/>
          <w:color w:val="auto"/>
        </w:rPr>
        <w:t>This Plan may be amended or terminated in any respect at any time by the Committee;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provided, however, that no amendment or termination of the Plan shall be effective to reduce any benefits payable to a Participant that may accrue or vest under the terms of this Plan without the Participant’s prior written consent. If and to the extent permitted without violating the requirements of Section 409A of the Code,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 w:name="page17"/>
    <w:bookmarkEnd w:id="16"/>
    <w:p>
      <w:pPr>
        <w:jc w:val="both"/>
        <w:spacing w:after="0" w:line="287" w:lineRule="auto"/>
        <w:rPr>
          <w:sz w:val="20"/>
          <w:szCs w:val="20"/>
          <w:color w:val="auto"/>
        </w:rPr>
      </w:pPr>
      <w:r>
        <w:rPr>
          <w:rFonts w:ascii="Arial" w:cs="Arial" w:eastAsia="Arial" w:hAnsi="Arial"/>
          <w:sz w:val="19"/>
          <w:szCs w:val="19"/>
          <w:color w:val="auto"/>
        </w:rPr>
        <w:t>Committee may require that the Awards of all Participants be distributed as soon as practicable after such termination. If and to the extent that the Committee does not accelerate the timing of distributions on account of the termination of the Plan pursuant to the preceding sentence, payment of any remaining benefits under the Plan shall be made at the same times and in the same manner as such distributions would have been made under the terms of the Plan, as in effect at the time the Plan is terminated</w:t>
      </w:r>
      <w:r>
        <w:rPr>
          <w:rFonts w:ascii="Arial" w:cs="Arial" w:eastAsia="Arial" w:hAnsi="Arial"/>
          <w:sz w:val="19"/>
          <w:szCs w:val="19"/>
          <w:b w:val="1"/>
          <w:bCs w:val="1"/>
          <w:i w:val="1"/>
          <w:iCs w:val="1"/>
          <w:color w:val="auto"/>
        </w:rPr>
        <w:t>.</w:t>
      </w:r>
    </w:p>
    <w:p>
      <w:pPr>
        <w:spacing w:after="0" w:line="143" w:lineRule="exact"/>
        <w:rPr>
          <w:sz w:val="20"/>
          <w:szCs w:val="20"/>
          <w:color w:val="auto"/>
        </w:rPr>
      </w:pPr>
    </w:p>
    <w:p>
      <w:pPr>
        <w:jc w:val="both"/>
        <w:ind w:firstLine="8"/>
        <w:spacing w:after="0" w:line="238" w:lineRule="auto"/>
        <w:tabs>
          <w:tab w:leader="none" w:pos="918" w:val="left"/>
        </w:tabs>
        <w:numPr>
          <w:ilvl w:val="0"/>
          <w:numId w:val="5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Unfunded Obligation. </w:t>
      </w:r>
      <w:r>
        <w:rPr>
          <w:rFonts w:ascii="Arial" w:cs="Arial" w:eastAsia="Arial" w:hAnsi="Arial"/>
          <w:sz w:val="22"/>
          <w:szCs w:val="22"/>
          <w:color w:val="auto"/>
        </w:rPr>
        <w:t>The obligations of the Company to pay any benefits under the Plan shall be unfunded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w:t>
      </w:r>
    </w:p>
    <w:p>
      <w:pPr>
        <w:spacing w:after="0" w:line="185" w:lineRule="exact"/>
        <w:rPr>
          <w:rFonts w:ascii="Arial" w:cs="Arial" w:eastAsia="Arial" w:hAnsi="Arial"/>
          <w:sz w:val="22"/>
          <w:szCs w:val="22"/>
          <w:color w:val="auto"/>
        </w:rPr>
      </w:pPr>
    </w:p>
    <w:p>
      <w:pPr>
        <w:jc w:val="both"/>
        <w:ind w:firstLine="8"/>
        <w:spacing w:after="0" w:line="249" w:lineRule="auto"/>
        <w:tabs>
          <w:tab w:leader="none" w:pos="918" w:val="left"/>
        </w:tabs>
        <w:numPr>
          <w:ilvl w:val="0"/>
          <w:numId w:val="5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Withholding. </w:t>
      </w:r>
      <w:r>
        <w:rPr>
          <w:rFonts w:ascii="Arial" w:cs="Arial" w:eastAsia="Arial" w:hAnsi="Arial"/>
          <w:sz w:val="21"/>
          <w:szCs w:val="21"/>
          <w:color w:val="auto"/>
        </w:rPr>
        <w:t>The Participants and personal representatives shall bear any and all federal, state, local or other taxes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imposed on benefits under the Plan. The Company may deduct from any distributions under the Plan the amount of any taxes required to be withheld from such distribution by any federal, state, local or foreign government, and may deduct from any compensation or other amounts payable to the Participant the amount of any taxes required to be withheld with respect to any other amounts under the Plan by any federal, state, local or foreign government.</w:t>
      </w:r>
    </w:p>
    <w:p>
      <w:pPr>
        <w:spacing w:after="0" w:line="178" w:lineRule="exact"/>
        <w:rPr>
          <w:rFonts w:ascii="Arial" w:cs="Arial" w:eastAsia="Arial" w:hAnsi="Arial"/>
          <w:sz w:val="21"/>
          <w:szCs w:val="21"/>
          <w:color w:val="auto"/>
        </w:rPr>
      </w:pPr>
    </w:p>
    <w:p>
      <w:pPr>
        <w:ind w:firstLine="8"/>
        <w:spacing w:after="0" w:line="251" w:lineRule="auto"/>
        <w:tabs>
          <w:tab w:leader="none" w:pos="918" w:val="left"/>
        </w:tabs>
        <w:numPr>
          <w:ilvl w:val="0"/>
          <w:numId w:val="5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Applicable Law. </w:t>
      </w:r>
      <w:r>
        <w:rPr>
          <w:rFonts w:ascii="Arial" w:cs="Arial" w:eastAsia="Arial" w:hAnsi="Arial"/>
          <w:sz w:val="22"/>
          <w:szCs w:val="22"/>
          <w:color w:val="auto"/>
        </w:rPr>
        <w:t>This Plan shall be construed and enforced in accordance with the laws of the State of Delaware, except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extent superseded by federal law.</w:t>
      </w:r>
    </w:p>
    <w:p>
      <w:pPr>
        <w:spacing w:after="0" w:line="173" w:lineRule="exact"/>
        <w:rPr>
          <w:rFonts w:ascii="Arial" w:cs="Arial" w:eastAsia="Arial" w:hAnsi="Arial"/>
          <w:sz w:val="22"/>
          <w:szCs w:val="22"/>
          <w:color w:val="auto"/>
        </w:rPr>
      </w:pPr>
    </w:p>
    <w:p>
      <w:pPr>
        <w:ind w:right="20" w:firstLine="8"/>
        <w:spacing w:after="0" w:line="251" w:lineRule="auto"/>
        <w:tabs>
          <w:tab w:leader="none" w:pos="918" w:val="left"/>
        </w:tabs>
        <w:numPr>
          <w:ilvl w:val="0"/>
          <w:numId w:val="5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 Right to Continued Employment. </w:t>
      </w:r>
      <w:r>
        <w:rPr>
          <w:rFonts w:ascii="Arial" w:cs="Arial" w:eastAsia="Arial" w:hAnsi="Arial"/>
          <w:sz w:val="22"/>
          <w:szCs w:val="22"/>
          <w:color w:val="auto"/>
        </w:rPr>
        <w:t>No Award shall confer upon any Participant any right to continued service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or any of its Affiliates.</w:t>
      </w:r>
    </w:p>
    <w:p>
      <w:pPr>
        <w:spacing w:after="0" w:line="173" w:lineRule="exact"/>
        <w:rPr>
          <w:rFonts w:ascii="Arial" w:cs="Arial" w:eastAsia="Arial" w:hAnsi="Arial"/>
          <w:sz w:val="22"/>
          <w:szCs w:val="22"/>
          <w:color w:val="auto"/>
        </w:rPr>
      </w:pPr>
    </w:p>
    <w:p>
      <w:pPr>
        <w:ind w:left="920" w:hanging="912"/>
        <w:spacing w:after="0"/>
        <w:tabs>
          <w:tab w:leader="none" w:pos="920" w:val="left"/>
        </w:tabs>
        <w:numPr>
          <w:ilvl w:val="0"/>
          <w:numId w:val="57"/>
        </w:numPr>
        <w:rPr>
          <w:rFonts w:ascii="Arial" w:cs="Arial" w:eastAsia="Arial" w:hAnsi="Arial"/>
          <w:sz w:val="22"/>
          <w:szCs w:val="22"/>
          <w:color w:val="auto"/>
        </w:rPr>
      </w:pPr>
      <w:r>
        <w:rPr>
          <w:rFonts w:ascii="Arial" w:cs="Arial" w:eastAsia="Arial" w:hAnsi="Arial"/>
          <w:sz w:val="22"/>
          <w:szCs w:val="22"/>
          <w:b w:val="1"/>
          <w:bCs w:val="1"/>
          <w:i w:val="1"/>
          <w:iCs w:val="1"/>
          <w:color w:val="auto"/>
        </w:rPr>
        <w:t>Code Section 409A.</w:t>
      </w:r>
    </w:p>
    <w:p>
      <w:pPr>
        <w:spacing w:after="0" w:line="206" w:lineRule="exact"/>
        <w:rPr>
          <w:sz w:val="20"/>
          <w:szCs w:val="20"/>
          <w:color w:val="auto"/>
        </w:rPr>
      </w:pPr>
    </w:p>
    <w:p>
      <w:pPr>
        <w:jc w:val="both"/>
        <w:ind w:firstLine="914"/>
        <w:spacing w:after="0" w:line="277" w:lineRule="auto"/>
        <w:tabs>
          <w:tab w:leader="none" w:pos="2442" w:val="left"/>
        </w:tabs>
        <w:numPr>
          <w:ilvl w:val="0"/>
          <w:numId w:val="5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Interpretation of Plan. </w:t>
      </w:r>
      <w:r>
        <w:rPr>
          <w:rFonts w:ascii="Arial" w:cs="Arial" w:eastAsia="Arial" w:hAnsi="Arial"/>
          <w:sz w:val="19"/>
          <w:szCs w:val="19"/>
          <w:color w:val="auto"/>
        </w:rPr>
        <w:t>It is intended that the Awards granted pursuant to this Plan be exempt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Section 409A of the Code (“Section 409A”) because it is believed (i) the Awards payable in cash should qualify for the short-term deferral exception contained in Treasury Regulation §1.409A-1(a)(4), (ii) any Options granted pursuant to the Plan will have an exercise price that may never be less than the Fair Market Value of a Share on the Grant Date and the other requirements for the exemption of such options under Treasury Regulation §1.409A-1(a)(5)(i)(A) should be met; and (iii) any Shares of Restricted Stock granted under the Plan should be exempt as an award of restricted property pursuant to Treasury Regulation §1.409A-1(a)(6). The provisions of the Plan shall be interpreted in a manner consistent with that intent.</w:t>
      </w:r>
    </w:p>
    <w:p>
      <w:pPr>
        <w:spacing w:after="0" w:line="153" w:lineRule="exact"/>
        <w:rPr>
          <w:sz w:val="20"/>
          <w:szCs w:val="20"/>
          <w:color w:val="auto"/>
        </w:rPr>
      </w:pPr>
    </w:p>
    <w:p>
      <w:pPr>
        <w:jc w:val="both"/>
        <w:ind w:firstLine="914"/>
        <w:spacing w:after="0" w:line="235" w:lineRule="auto"/>
        <w:tabs>
          <w:tab w:leader="none" w:pos="2454" w:val="left"/>
        </w:tabs>
        <w:numPr>
          <w:ilvl w:val="0"/>
          <w:numId w:val="59"/>
        </w:numPr>
        <w:rPr>
          <w:rFonts w:ascii="Arial" w:cs="Arial" w:eastAsia="Arial" w:hAnsi="Arial"/>
          <w:sz w:val="22"/>
          <w:szCs w:val="22"/>
          <w:color w:val="auto"/>
        </w:rPr>
      </w:pPr>
      <w:r>
        <w:rPr>
          <w:rFonts w:ascii="Arial" w:cs="Arial" w:eastAsia="Arial" w:hAnsi="Arial"/>
          <w:sz w:val="22"/>
          <w:szCs w:val="22"/>
          <w:b w:val="1"/>
          <w:bCs w:val="1"/>
          <w:i w:val="1"/>
          <w:iCs w:val="1"/>
          <w:color w:val="auto"/>
        </w:rPr>
        <w:t>Section 409A Amendments</w:t>
      </w:r>
      <w:r>
        <w:rPr>
          <w:rFonts w:ascii="Arial" w:cs="Arial" w:eastAsia="Arial" w:hAnsi="Arial"/>
          <w:sz w:val="22"/>
          <w:szCs w:val="22"/>
          <w:color w:val="auto"/>
        </w:rPr>
        <w:t>. The Committee, in its sole discretion, and without the consent of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 or Beneficiary, may amend the provisions of this Plan to the extent that the Committee determines that such amendment is necessary or appropriate in order for the Awards made pursuant to the Plan to be exempt from the requirements of Section 409A, or if and to the extent that the Committee determines that Awards are not so exempt, to amend the Plan (and any agreements relating to any Awards) in such manner as the Committee shall deem necessary or appropriate to comply with the requirements of Section 409A.</w:t>
      </w:r>
    </w:p>
    <w:p>
      <w:pPr>
        <w:spacing w:after="0" w:line="188" w:lineRule="exact"/>
        <w:rPr>
          <w:sz w:val="20"/>
          <w:szCs w:val="20"/>
          <w:color w:val="auto"/>
        </w:rPr>
      </w:pPr>
    </w:p>
    <w:p>
      <w:pPr>
        <w:ind w:firstLine="914"/>
        <w:spacing w:after="0" w:line="251" w:lineRule="auto"/>
        <w:tabs>
          <w:tab w:leader="none" w:pos="2442" w:val="left"/>
        </w:tabs>
        <w:numPr>
          <w:ilvl w:val="0"/>
          <w:numId w:val="60"/>
        </w:numPr>
        <w:rPr>
          <w:rFonts w:ascii="Arial" w:cs="Arial" w:eastAsia="Arial" w:hAnsi="Arial"/>
          <w:sz w:val="22"/>
          <w:szCs w:val="22"/>
          <w:color w:val="auto"/>
        </w:rPr>
      </w:pPr>
      <w:r>
        <w:rPr>
          <w:rFonts w:ascii="Arial" w:cs="Arial" w:eastAsia="Arial" w:hAnsi="Arial"/>
          <w:sz w:val="22"/>
          <w:szCs w:val="22"/>
          <w:b w:val="1"/>
          <w:bCs w:val="1"/>
          <w:i w:val="1"/>
          <w:iCs w:val="1"/>
          <w:color w:val="auto"/>
        </w:rPr>
        <w:t>No Right to Section 409A Indemnification</w:t>
      </w:r>
      <w:r>
        <w:rPr>
          <w:rFonts w:ascii="Arial" w:cs="Arial" w:eastAsia="Arial" w:hAnsi="Arial"/>
          <w:sz w:val="22"/>
          <w:szCs w:val="22"/>
          <w:color w:val="auto"/>
        </w:rPr>
        <w:t>. Notwithstanding the foregoing, the Company does not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make any representation to any Participant or Beneficiary that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 w:name="page18"/>
    <w:bookmarkEnd w:id="17"/>
    <w:p>
      <w:pPr>
        <w:jc w:val="both"/>
        <w:spacing w:after="0" w:line="236" w:lineRule="auto"/>
        <w:rPr>
          <w:sz w:val="20"/>
          <w:szCs w:val="20"/>
          <w:color w:val="auto"/>
        </w:rPr>
      </w:pPr>
      <w:r>
        <w:rPr>
          <w:rFonts w:ascii="Arial" w:cs="Arial" w:eastAsia="Arial" w:hAnsi="Arial"/>
          <w:sz w:val="22"/>
          <w:szCs w:val="22"/>
          <w:color w:val="auto"/>
        </w:rPr>
        <w:t>Awards made pursuant to this Plan are exempt from, or satisfy,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Award agreement, or any amendment or any modification thereof, or any other action taken with respect thereto, is deemed to violate any of the requirements of Section 409A.</w:t>
      </w:r>
    </w:p>
    <w:p>
      <w:pPr>
        <w:spacing w:after="0" w:line="188" w:lineRule="exact"/>
        <w:rPr>
          <w:sz w:val="20"/>
          <w:szCs w:val="20"/>
          <w:color w:val="auto"/>
        </w:rPr>
      </w:pPr>
    </w:p>
    <w:p>
      <w:pPr>
        <w:jc w:val="both"/>
        <w:ind w:firstLine="914"/>
        <w:spacing w:after="0" w:line="246" w:lineRule="auto"/>
        <w:tabs>
          <w:tab w:leader="none" w:pos="2454" w:val="left"/>
        </w:tabs>
        <w:numPr>
          <w:ilvl w:val="1"/>
          <w:numId w:val="61"/>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Six Month Delay for Specified Employees. </w:t>
      </w:r>
      <w:r>
        <w:rPr>
          <w:rFonts w:ascii="Arial" w:cs="Arial" w:eastAsia="Arial" w:hAnsi="Arial"/>
          <w:sz w:val="21"/>
          <w:szCs w:val="21"/>
          <w:color w:val="auto"/>
        </w:rPr>
        <w:t>If a Participant is a “specified employee,” as that term 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defined for purposes of Section 409A, then no payment or benefit that is payable on account of the Participant’s “separation from service,” as that term is defined for purposes of Section 409A, shall be made before the date that is six months after the Participant’s “separation from service” (or, if earlier, the date of the Participant’s death) if and to the extent that such payment or benefit constitutes nonqualified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spacing w:after="0" w:line="180" w:lineRule="exact"/>
        <w:rPr>
          <w:rFonts w:ascii="Arial" w:cs="Arial" w:eastAsia="Arial" w:hAnsi="Arial"/>
          <w:sz w:val="21"/>
          <w:szCs w:val="21"/>
          <w:color w:val="auto"/>
        </w:rPr>
      </w:pPr>
    </w:p>
    <w:p>
      <w:pPr>
        <w:jc w:val="both"/>
        <w:ind w:right="20" w:firstLine="8"/>
        <w:spacing w:after="0"/>
        <w:tabs>
          <w:tab w:leader="none" w:pos="918" w:val="left"/>
        </w:tabs>
        <w:numPr>
          <w:ilvl w:val="0"/>
          <w:numId w:val="6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 Assignment. </w:t>
      </w:r>
      <w:r>
        <w:rPr>
          <w:rFonts w:ascii="Arial" w:cs="Arial" w:eastAsia="Arial" w:hAnsi="Arial"/>
          <w:sz w:val="22"/>
          <w:szCs w:val="22"/>
          <w:color w:val="auto"/>
        </w:rPr>
        <w:t>Neither any Participant nor any Beneficiary nor any other person shall have any right to assign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rights to receive any payments or benefits hereunder, in whole or in part, which payments and benefits are non-assignable and non-transferable, whether voluntarily, or involuntarily.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2"/>
    </w:lvl>
  </w:abstractNum>
  <w:abstractNum w:abstractNumId="3">
    <w:nsid w:val="4516DDE9"/>
    <w:multiLevelType w:val="hybridMultilevel"/>
    <w:lvl w:ilvl="0">
      <w:lvlJc w:val="left"/>
      <w:lvlText w:val="(%1)"/>
      <w:numFmt w:val="lowerLetter"/>
      <w:start w:val="2"/>
    </w:lvl>
  </w:abstractNum>
  <w:abstractNum w:abstractNumId="4">
    <w:nsid w:val="3006C83E"/>
    <w:multiLevelType w:val="hybridMultilevel"/>
    <w:lvl w:ilvl="0">
      <w:lvlJc w:val="left"/>
      <w:lvlText w:val="(%1)"/>
      <w:numFmt w:val="lowerLetter"/>
      <w:start w:val="3"/>
    </w:lvl>
  </w:abstractNum>
  <w:abstractNum w:abstractNumId="5">
    <w:nsid w:val="614FD4A1"/>
    <w:multiLevelType w:val="hybridMultilevel"/>
    <w:lvl w:ilvl="0">
      <w:lvlJc w:val="left"/>
      <w:lvlText w:val="(%1)"/>
      <w:numFmt w:val="lowerLetter"/>
      <w:start w:val="4"/>
    </w:lvl>
  </w:abstractNum>
  <w:abstractNum w:abstractNumId="6">
    <w:nsid w:val="419AC241"/>
    <w:multiLevelType w:val="hybridMultilevel"/>
    <w:lvl w:ilvl="0">
      <w:lvlJc w:val="left"/>
      <w:lvlText w:val="(%1)"/>
      <w:numFmt w:val="lowerLetter"/>
      <w:start w:val="5"/>
    </w:lvl>
  </w:abstractNum>
  <w:abstractNum w:abstractNumId="7">
    <w:nsid w:val="5577F8E1"/>
    <w:multiLevelType w:val="hybridMultilevel"/>
    <w:lvl w:ilvl="0">
      <w:lvlJc w:val="left"/>
      <w:lvlText w:val="(%1)"/>
      <w:numFmt w:val="lowerLetter"/>
      <w:start w:val="6"/>
    </w:lvl>
  </w:abstractNum>
  <w:abstractNum w:abstractNumId="8">
    <w:nsid w:val="440BADFC"/>
    <w:multiLevelType w:val="hybridMultilevel"/>
    <w:lvl w:ilvl="0">
      <w:lvlJc w:val="left"/>
      <w:lvlText w:val="(%1)"/>
      <w:numFmt w:val="lowerLetter"/>
      <w:start w:val="7"/>
    </w:lvl>
  </w:abstractNum>
  <w:abstractNum w:abstractNumId="9">
    <w:nsid w:val="5072367"/>
    <w:multiLevelType w:val="hybridMultilevel"/>
    <w:lvl w:ilvl="0">
      <w:lvlJc w:val="left"/>
      <w:lvlText w:val="(%1)"/>
      <w:numFmt w:val="lowerLetter"/>
      <w:start w:val="8"/>
    </w:lvl>
  </w:abstractNum>
  <w:abstractNum w:abstractNumId="10">
    <w:nsid w:val="3804823E"/>
    <w:multiLevelType w:val="hybridMultilevel"/>
    <w:lvl w:ilvl="0">
      <w:lvlJc w:val="left"/>
      <w:lvlText w:val="(%1)"/>
      <w:numFmt w:val="lowerRoman"/>
      <w:start w:val="1"/>
    </w:lvl>
  </w:abstractNum>
  <w:abstractNum w:abstractNumId="11">
    <w:nsid w:val="77465F01"/>
    <w:multiLevelType w:val="hybridMultilevel"/>
    <w:lvl w:ilvl="0">
      <w:lvlJc w:val="left"/>
      <w:lvlText w:val="(%1)"/>
      <w:numFmt w:val="lowerLetter"/>
      <w:start w:val="10"/>
    </w:lvl>
  </w:abstractNum>
  <w:abstractNum w:abstractNumId="12">
    <w:nsid w:val="7724C67E"/>
    <w:multiLevelType w:val="hybridMultilevel"/>
    <w:lvl w:ilvl="0">
      <w:lvlJc w:val="left"/>
      <w:lvlText w:val="(%1)"/>
      <w:numFmt w:val="lowerLetter"/>
      <w:start w:val="11"/>
    </w:lvl>
  </w:abstractNum>
  <w:abstractNum w:abstractNumId="13">
    <w:nsid w:val="5C482A97"/>
    <w:multiLevelType w:val="hybridMultilevel"/>
    <w:lvl w:ilvl="0">
      <w:lvlJc w:val="left"/>
      <w:lvlText w:val="(%1)"/>
      <w:numFmt w:val="lowerLetter"/>
      <w:start w:val="12"/>
    </w:lvl>
  </w:abstractNum>
  <w:abstractNum w:abstractNumId="14">
    <w:nsid w:val="2463B9EA"/>
    <w:multiLevelType w:val="hybridMultilevel"/>
    <w:lvl w:ilvl="0">
      <w:lvlJc w:val="left"/>
      <w:lvlText w:val="(%1)"/>
      <w:numFmt w:val="lowerLetter"/>
      <w:start w:val="13"/>
    </w:lvl>
  </w:abstractNum>
  <w:abstractNum w:abstractNumId="15">
    <w:nsid w:val="5E884ADC"/>
    <w:multiLevelType w:val="hybridMultilevel"/>
    <w:lvl w:ilvl="0">
      <w:lvlJc w:val="left"/>
      <w:lvlText w:val="(%1)"/>
      <w:numFmt w:val="lowerLetter"/>
      <w:start w:val="14"/>
    </w:lvl>
  </w:abstractNum>
  <w:abstractNum w:abstractNumId="16">
    <w:nsid w:val="51EAD36B"/>
    <w:multiLevelType w:val="hybridMultilevel"/>
    <w:lvl w:ilvl="0">
      <w:lvlJc w:val="left"/>
      <w:lvlText w:val="(%1)"/>
      <w:numFmt w:val="lowerLetter"/>
      <w:start w:val="15"/>
    </w:lvl>
  </w:abstractNum>
  <w:abstractNum w:abstractNumId="17">
    <w:nsid w:val="2D517796"/>
    <w:multiLevelType w:val="hybridMultilevel"/>
    <w:lvl w:ilvl="0">
      <w:lvlJc w:val="left"/>
      <w:lvlText w:val="(%1)"/>
      <w:numFmt w:val="lowerLetter"/>
      <w:start w:val="16"/>
    </w:lvl>
  </w:abstractNum>
  <w:abstractNum w:abstractNumId="18">
    <w:nsid w:val="580BD78F"/>
    <w:multiLevelType w:val="hybridMultilevel"/>
    <w:lvl w:ilvl="0">
      <w:lvlJc w:val="left"/>
      <w:lvlText w:val="(%1)"/>
      <w:numFmt w:val="lowerLetter"/>
      <w:start w:val="17"/>
    </w:lvl>
  </w:abstractNum>
  <w:abstractNum w:abstractNumId="19">
    <w:nsid w:val="153EA438"/>
    <w:multiLevelType w:val="hybridMultilevel"/>
    <w:lvl w:ilvl="0">
      <w:lvlJc w:val="left"/>
      <w:lvlText w:val="(%1)"/>
      <w:numFmt w:val="lowerLetter"/>
      <w:start w:val="18"/>
    </w:lvl>
  </w:abstractNum>
  <w:abstractNum w:abstractNumId="20">
    <w:nsid w:val="3855585C"/>
    <w:multiLevelType w:val="hybridMultilevel"/>
    <w:lvl w:ilvl="0">
      <w:lvlJc w:val="left"/>
      <w:lvlText w:val="(%1)"/>
      <w:numFmt w:val="lowerLetter"/>
      <w:start w:val="19"/>
    </w:lvl>
  </w:abstractNum>
  <w:abstractNum w:abstractNumId="21">
    <w:nsid w:val="70A64E2A"/>
    <w:multiLevelType w:val="hybridMultilevel"/>
    <w:lvl w:ilvl="0">
      <w:lvlJc w:val="left"/>
      <w:lvlText w:val="(%1)"/>
      <w:numFmt w:val="lowerLetter"/>
      <w:start w:val="20"/>
    </w:lvl>
  </w:abstractNum>
  <w:abstractNum w:abstractNumId="22">
    <w:nsid w:val="6A2342EC"/>
    <w:multiLevelType w:val="hybridMultilevel"/>
    <w:lvl w:ilvl="0">
      <w:lvlJc w:val="left"/>
      <w:lvlText w:val="(%1)"/>
      <w:numFmt w:val="lowerLetter"/>
      <w:start w:val="21"/>
    </w:lvl>
  </w:abstractNum>
  <w:abstractNum w:abstractNumId="23">
    <w:nsid w:val="2A487CB0"/>
    <w:multiLevelType w:val="hybridMultilevel"/>
    <w:lvl w:ilvl="0">
      <w:lvlJc w:val="left"/>
      <w:lvlText w:val="(%1)"/>
      <w:numFmt w:val="lowerRoman"/>
      <w:start w:val="5"/>
    </w:lvl>
  </w:abstractNum>
  <w:abstractNum w:abstractNumId="24">
    <w:nsid w:val="1D4ED43B"/>
    <w:multiLevelType w:val="hybridMultilevel"/>
    <w:lvl w:ilvl="0">
      <w:lvlJc w:val="left"/>
      <w:lvlText w:val="(%1)"/>
      <w:numFmt w:val="lowerLetter"/>
      <w:start w:val="23"/>
    </w:lvl>
  </w:abstractNum>
  <w:abstractNum w:abstractNumId="25">
    <w:nsid w:val="725A06FB"/>
    <w:multiLevelType w:val="hybridMultilevel"/>
    <w:lvl w:ilvl="0">
      <w:lvlJc w:val="left"/>
      <w:lvlText w:val="(%1)"/>
      <w:numFmt w:val="lowerRoman"/>
      <w:start w:val="10"/>
    </w:lvl>
  </w:abstractNum>
  <w:abstractNum w:abstractNumId="26">
    <w:nsid w:val="2CD89A32"/>
    <w:multiLevelType w:val="hybridMultilevel"/>
    <w:lvl w:ilvl="0">
      <w:lvlJc w:val="left"/>
      <w:lvlText w:val="(%1)"/>
      <w:numFmt w:val="lowerLetter"/>
      <w:start w:val="25"/>
    </w:lvl>
  </w:abstractNum>
  <w:abstractNum w:abstractNumId="27">
    <w:nsid w:val="57E4CCAF"/>
    <w:multiLevelType w:val="hybridMultilevel"/>
    <w:lvl w:ilvl="0">
      <w:lvlJc w:val="left"/>
      <w:lvlText w:val="(%1)"/>
      <w:numFmt w:val="lowerLetter"/>
      <w:start w:val="26"/>
    </w:lvl>
  </w:abstractNum>
  <w:abstractNum w:abstractNumId="28">
    <w:nsid w:val="7A6D8D3C"/>
    <w:multiLevelType w:val="hybridMultilevel"/>
    <w:lvl w:ilvl="0">
      <w:lvlJc w:val="left"/>
      <w:lvlText w:val="(%1)"/>
      <w:numFmt w:val="lowerLetter"/>
      <w:start w:val="27"/>
    </w:lvl>
  </w:abstractNum>
  <w:abstractNum w:abstractNumId="29">
    <w:nsid w:val="4B588F54"/>
    <w:multiLevelType w:val="hybridMultilevel"/>
    <w:lvl w:ilvl="0">
      <w:lvlJc w:val="left"/>
      <w:lvlText w:val="(%1)"/>
      <w:numFmt w:val="lowerLetter"/>
      <w:start w:val="28"/>
    </w:lvl>
  </w:abstractNum>
  <w:abstractNum w:abstractNumId="30">
    <w:nsid w:val="542289EC"/>
    <w:multiLevelType w:val="hybridMultilevel"/>
    <w:lvl w:ilvl="0">
      <w:lvlJc w:val="left"/>
      <w:lvlText w:val="(%1)"/>
      <w:numFmt w:val="lowerLetter"/>
      <w:start w:val="29"/>
    </w:lvl>
  </w:abstractNum>
  <w:abstractNum w:abstractNumId="31">
    <w:nsid w:val="6DE91B18"/>
    <w:multiLevelType w:val="hybridMultilevel"/>
    <w:lvl w:ilvl="0">
      <w:lvlJc w:val="left"/>
      <w:lvlText w:val="%1"/>
      <w:numFmt w:val="decimal"/>
      <w:start w:val="1"/>
    </w:lvl>
    <w:lvl w:ilvl="1">
      <w:lvlJc w:val="left"/>
      <w:lvlText w:val="(%2)"/>
      <w:numFmt w:val="lowerLetter"/>
      <w:start w:val="30"/>
    </w:lvl>
  </w:abstractNum>
  <w:abstractNum w:abstractNumId="32">
    <w:nsid w:val="38437FDB"/>
    <w:multiLevelType w:val="hybridMultilevel"/>
    <w:lvl w:ilvl="0">
      <w:lvlJc w:val="left"/>
      <w:lvlText w:val="%1."/>
      <w:numFmt w:val="decimal"/>
      <w:start w:val="3"/>
    </w:lvl>
    <w:lvl w:ilvl="1">
      <w:lvlJc w:val="left"/>
      <w:lvlText w:val="%2"/>
      <w:numFmt w:val="lowerLetter"/>
      <w:start w:val="1"/>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lowerLetter"/>
      <w:start w:val="2"/>
    </w:lvl>
  </w:abstractNum>
  <w:abstractNum w:abstractNumId="35">
    <w:nsid w:val="684A481A"/>
    <w:multiLevelType w:val="hybridMultilevel"/>
    <w:lvl w:ilvl="0">
      <w:lvlJc w:val="left"/>
      <w:lvlText w:val="(%1)"/>
      <w:numFmt w:val="lowerLetter"/>
      <w:start w:val="3"/>
    </w:lvl>
  </w:abstractNum>
  <w:abstractNum w:abstractNumId="36">
    <w:nsid w:val="579478FE"/>
    <w:multiLevelType w:val="hybridMultilevel"/>
    <w:lvl w:ilvl="0">
      <w:lvlJc w:val="left"/>
      <w:lvlText w:val="(%1)"/>
      <w:numFmt w:val="lowerLetter"/>
      <w:start w:val="4"/>
    </w:lvl>
  </w:abstractNum>
  <w:abstractNum w:abstractNumId="37">
    <w:nsid w:val="749ABB43"/>
    <w:multiLevelType w:val="hybridMultilevel"/>
    <w:lvl w:ilvl="0">
      <w:lvlJc w:val="left"/>
      <w:lvlText w:val="(%1)"/>
      <w:numFmt w:val="lowerLetter"/>
      <w:start w:val="5"/>
    </w:lvl>
  </w:abstractNum>
  <w:abstractNum w:abstractNumId="38">
    <w:nsid w:val="3DC240FB"/>
    <w:multiLevelType w:val="hybridMultilevel"/>
    <w:lvl w:ilvl="0">
      <w:lvlJc w:val="left"/>
      <w:lvlText w:val="(%1)"/>
      <w:numFmt w:val="lowerLetter"/>
      <w:start w:val="6"/>
    </w:lvl>
  </w:abstractNum>
  <w:abstractNum w:abstractNumId="39">
    <w:nsid w:val="1BA026FA"/>
    <w:multiLevelType w:val="hybridMultilevel"/>
    <w:lvl w:ilvl="0">
      <w:lvlJc w:val="left"/>
      <w:lvlText w:val="%1."/>
      <w:numFmt w:val="decimal"/>
      <w:start w:val="7"/>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42">
    <w:nsid w:val="12E685FB"/>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43">
    <w:nsid w:val="70C6A529"/>
    <w:multiLevelType w:val="hybridMultilevel"/>
    <w:lvl w:ilvl="0">
      <w:lvlJc w:val="left"/>
      <w:lvlText w:val="(%1)"/>
      <w:numFmt w:val="decimal"/>
      <w:start w:val="3"/>
    </w:lvl>
  </w:abstractNum>
  <w:abstractNum w:abstractNumId="44">
    <w:nsid w:val="520EEDD1"/>
    <w:multiLevelType w:val="hybridMultilevel"/>
    <w:lvl w:ilvl="0">
      <w:lvlJc w:val="left"/>
      <w:lvlText w:val="(%1)"/>
      <w:numFmt w:val="lowerLetter"/>
      <w:start w:val="2"/>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upperLetter"/>
      <w:start w:val="2"/>
    </w:lvl>
    <w:lvl w:ilvl="1">
      <w:lvlJc w:val="left"/>
      <w:lvlText w:val="(%2)"/>
      <w:numFmt w:val="decimal"/>
      <w:start w:val="1"/>
    </w:lvl>
  </w:abstractNum>
  <w:abstractNum w:abstractNumId="47">
    <w:nsid w:val="23F9C13C"/>
    <w:multiLevelType w:val="hybridMultilevel"/>
    <w:lvl w:ilvl="0">
      <w:lvlJc w:val="left"/>
      <w:lvlText w:val="(%1)"/>
      <w:numFmt w:val="lowerLetter"/>
      <w:start w:val="3"/>
    </w:lvl>
  </w:abstractNum>
  <w:abstractNum w:abstractNumId="48">
    <w:nsid w:val="649BB77C"/>
    <w:multiLevelType w:val="hybridMultilevel"/>
    <w:lvl w:ilvl="0">
      <w:lvlJc w:val="left"/>
      <w:lvlText w:val="%1"/>
      <w:numFmt w:val="decimal"/>
      <w:start w:val="1"/>
    </w:lvl>
    <w:lvl w:ilvl="1">
      <w:lvlJc w:val="left"/>
      <w:lvlText w:val="(%2)"/>
      <w:numFmt w:val="lowerLetter"/>
      <w:start w:val="4"/>
    </w:lvl>
  </w:abstractNum>
  <w:abstractNum w:abstractNumId="49">
    <w:nsid w:val="275AC794"/>
    <w:multiLevelType w:val="hybridMultilevel"/>
    <w:lvl w:ilvl="0">
      <w:lvlJc w:val="left"/>
      <w:lvlText w:val="%1."/>
      <w:numFmt w:val="decimal"/>
      <w:start w:val="8"/>
    </w:lvl>
    <w:lvl w:ilvl="1">
      <w:lvlJc w:val="left"/>
      <w:lvlText w:val="%2"/>
      <w:numFmt w:val="lowerLetter"/>
      <w:start w:val="1"/>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lowerLetter"/>
      <w:start w:val="2"/>
    </w:lvl>
  </w:abstractNum>
  <w:abstractNum w:abstractNumId="52">
    <w:nsid w:val="180115BE"/>
    <w:multiLevelType w:val="hybridMultilevel"/>
    <w:lvl w:ilvl="0">
      <w:lvlJc w:val="left"/>
      <w:lvlText w:val="(%1)"/>
      <w:numFmt w:val="lowerLetter"/>
      <w:start w:val="3"/>
    </w:lvl>
  </w:abstractNum>
  <w:abstractNum w:abstractNumId="53">
    <w:nsid w:val="235BA861"/>
    <w:multiLevelType w:val="hybridMultilevel"/>
    <w:lvl w:ilvl="0">
      <w:lvlJc w:val="left"/>
      <w:lvlText w:val="(%1)"/>
      <w:numFmt w:val="lowerLetter"/>
      <w:start w:val="4"/>
    </w:lvl>
  </w:abstractNum>
  <w:abstractNum w:abstractNumId="54">
    <w:nsid w:val="47398C89"/>
    <w:multiLevelType w:val="hybridMultilevel"/>
    <w:lvl w:ilvl="0">
      <w:lvlJc w:val="left"/>
      <w:lvlText w:val="%1"/>
      <w:numFmt w:val="decimal"/>
      <w:start w:val="1"/>
    </w:lvl>
    <w:lvl w:ilvl="1">
      <w:lvlJc w:val="left"/>
      <w:lvlText w:val="(%2)"/>
      <w:numFmt w:val="lowerLetter"/>
      <w:start w:val="5"/>
    </w:lvl>
  </w:abstractNum>
  <w:abstractNum w:abstractNumId="55">
    <w:nsid w:val="354FE9F9"/>
    <w:multiLevelType w:val="hybridMultilevel"/>
    <w:lvl w:ilvl="0">
      <w:lvlJc w:val="left"/>
      <w:lvlText w:val="%1."/>
      <w:numFmt w:val="decimal"/>
      <w:start w:val="9"/>
    </w:lvl>
    <w:lvl w:ilvl="1">
      <w:lvlJc w:val="left"/>
      <w:lvlText w:val="%2"/>
      <w:numFmt w:val="lowerLetter"/>
      <w:start w:val="1"/>
    </w:lvl>
  </w:abstractNum>
  <w:abstractNum w:abstractNumId="56">
    <w:nsid w:val="15B5AF5C"/>
    <w:multiLevelType w:val="hybridMultilevel"/>
    <w:lvl w:ilvl="0">
      <w:lvlJc w:val="left"/>
      <w:lvlText w:val="%1."/>
      <w:numFmt w:val="decimal"/>
      <w:start w:val="12"/>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lowerLetter"/>
      <w:start w:val="2"/>
    </w:lvl>
  </w:abstractNum>
  <w:abstractNum w:abstractNumId="59">
    <w:nsid w:val="10233C99"/>
    <w:multiLevelType w:val="hybridMultilevel"/>
    <w:lvl w:ilvl="0">
      <w:lvlJc w:val="left"/>
      <w:lvlText w:val="(%1)"/>
      <w:numFmt w:val="lowerLetter"/>
      <w:start w:val="3"/>
    </w:lvl>
  </w:abstractNum>
  <w:abstractNum w:abstractNumId="60">
    <w:nsid w:val="3F6AB60F"/>
    <w:multiLevelType w:val="hybridMultilevel"/>
    <w:lvl w:ilvl="0">
      <w:lvlJc w:val="left"/>
      <w:lvlText w:val="%1"/>
      <w:numFmt w:val="decimal"/>
      <w:start w:val="1"/>
    </w:lvl>
    <w:lvl w:ilvl="1">
      <w:lvlJc w:val="left"/>
      <w:lvlText w:val="(%2)"/>
      <w:numFmt w:val="lowerLetter"/>
      <w:start w:val="4"/>
    </w:lvl>
  </w:abstractNum>
  <w:abstractNum w:abstractNumId="61">
    <w:nsid w:val="61574095"/>
    <w:multiLevelType w:val="hybridMultilevel"/>
    <w:lvl w:ilvl="0">
      <w:lvlJc w:val="left"/>
      <w:lvlText w:val="%1."/>
      <w:numFmt w:val="decimal"/>
      <w:start w:val="1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2019-12-05T20:15:28Z</dcterms:created>
  <dcterms:modified xsi:type="dcterms:W3CDTF">2019-12-05T20:15:28Z</dcterms:modified>
</cp:coreProperties>
</file>