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725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McKinney Jack R</w:t>
              </w:r>
            </w:hyperlink>
          </w:p>
        </w:tc>
        <w:tc>
          <w:tcPr>
            <w:tcW w:w="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3"/>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40"/>
              <w:spacing w:after="0"/>
              <w:rPr>
                <w:sz w:val="20"/>
                <w:szCs w:val="20"/>
                <w:color w:val="auto"/>
              </w:rPr>
            </w:pPr>
            <w:r>
              <w:rPr>
                <w:rFonts w:ascii="Arial" w:cs="Arial" w:eastAsia="Arial" w:hAnsi="Arial"/>
                <w:sz w:val="18"/>
                <w:szCs w:val="18"/>
                <w:color w:val="0000FF"/>
              </w:rPr>
              <w:t>SVP, Chief Information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03/29/2010</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gridSpan w:val="7"/>
            <w:vMerge w:val="continue"/>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6"/>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4"/>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330"/>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03/29/2010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6,500</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3.715</w:t>
            </w:r>
            <w:r>
              <w:rPr>
                <w:rFonts w:ascii="Arial" w:cs="Arial" w:eastAsia="Arial" w:hAnsi="Arial"/>
                <w:sz w:val="22"/>
                <w:szCs w:val="22"/>
                <w:color w:val="008000"/>
                <w:w w:val="8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138,500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03/30/2010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6,500</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3.661</w:t>
            </w:r>
            <w:r>
              <w:rPr>
                <w:rFonts w:ascii="Arial" w:cs="Arial" w:eastAsia="Arial" w:hAnsi="Arial"/>
                <w:sz w:val="22"/>
                <w:szCs w:val="22"/>
                <w:color w:val="008000"/>
                <w:w w:val="82"/>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132,000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3"/>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$3.66 and $3.813. The Reporting Preson herby undertakes to provide upon request to the SEC, the issuer or any stockholder of the issuer full information regarding the number of shares and prices at which the transaction was effected.</w:t>
      </w:r>
    </w:p>
    <w:p>
      <w:pPr>
        <w:ind w:left="40" w:right="1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rspect to these shares were between $3.60 and $3.701. The Reporting Person hereby undertakes to provide upon request to the SEC, the issuer or any stockholder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shares represented by this Form 4 have been sold pursuant to a Rule 10b5-1 Plan dated March 24, 2010, which is intended to comply with Rule 10b5-1.</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Jack R. McKinney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03/31/2010</w:t>
            </w:r>
          </w:p>
        </w:tc>
      </w:tr>
      <w:tr>
        <w:trPr>
          <w:trHeight w:val="20"/>
        </w:trPr>
        <w:tc>
          <w:tcPr>
            <w:tcW w:w="6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2019-12-16T05:16:10Z</dcterms:created>
  <dcterms:modified xsi:type="dcterms:W3CDTF">2019-12-16T05:16:10Z</dcterms:modified>
</cp:coreProperties>
</file>