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0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13G</w:t>
      </w:r>
    </w:p>
    <w:p>
      <w:pPr>
        <w:ind w:left="1280"/>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ind w:left="26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Destination XL Group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25065K104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hanging="839"/>
        <w:spacing w:after="0"/>
        <w:tabs>
          <w:tab w:leader="none" w:pos="19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7"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25065K104</w:t>
      </w:r>
      <w:r>
        <w:rPr>
          <w:sz w:val="20"/>
          <w:szCs w:val="20"/>
          <w:color w:val="auto"/>
        </w:rPr>
        <w:tab/>
      </w:r>
      <w:r>
        <w:rPr>
          <w:rFonts w:ascii="Courier New" w:cs="Courier New" w:eastAsia="Courier New" w:hAnsi="Courier New"/>
          <w:sz w:val="16"/>
          <w:szCs w:val="16"/>
          <w:color w:val="auto"/>
        </w:rPr>
        <w:t>13G</w:t>
      </w:r>
    </w:p>
    <w:p>
      <w:pPr>
        <w:spacing w:after="0" w:line="200" w:lineRule="exact"/>
        <w:rPr>
          <w:sz w:val="24"/>
          <w:szCs w:val="24"/>
          <w:color w:val="auto"/>
        </w:rPr>
      </w:pPr>
    </w:p>
    <w:p>
      <w:pPr>
        <w:spacing w:after="0" w:line="209" w:lineRule="exact"/>
        <w:rPr>
          <w:sz w:val="24"/>
          <w:szCs w:val="24"/>
          <w:color w:val="auto"/>
        </w:rPr>
      </w:pPr>
    </w:p>
    <w:p>
      <w:pPr>
        <w:ind w:left="640" w:right="3999" w:hanging="632"/>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 IRS Identification Number: Piper Jaffray Companies / 30-0168701</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w:t>
            </w:r>
          </w:p>
        </w:tc>
        <w:tc>
          <w:tcPr>
            <w:tcW w:w="552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640" w:right="577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Number of</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ind w:left="640"/>
        <w:spacing w:after="0"/>
        <w:rPr>
          <w:sz w:val="20"/>
          <w:szCs w:val="20"/>
          <w:color w:val="auto"/>
        </w:rPr>
      </w:pPr>
      <w:r>
        <w:rPr>
          <w:rFonts w:ascii="Courier New" w:cs="Courier New" w:eastAsia="Courier New" w:hAnsi="Courier New"/>
          <w:sz w:val="18"/>
          <w:szCs w:val="18"/>
          <w:color w:val="auto"/>
        </w:rPr>
        <w:t>4,094,086 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5" w:orient="portrait"/>
          <w:cols w:equalWidth="0" w:num="2">
            <w:col w:w="1280" w:space="720"/>
            <w:col w:w="8219"/>
          </w:cols>
          <w:pgMar w:left="240" w:top="244"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Beneficially</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Owned By</w:t>
      </w:r>
    </w:p>
    <w:p>
      <w:pPr>
        <w:spacing w:after="0" w:line="20" w:lineRule="exact"/>
        <w:rPr>
          <w:sz w:val="24"/>
          <w:szCs w:val="24"/>
          <w:color w:val="auto"/>
        </w:rPr>
      </w:pPr>
      <w:r>
        <w:rPr>
          <w:sz w:val="24"/>
          <w:szCs w:val="24"/>
          <w:color w:val="auto"/>
        </w:rPr>
        <w:br w:type="column"/>
      </w:r>
    </w:p>
    <w:p>
      <w:pPr>
        <w:spacing w:after="0"/>
        <w:tabs>
          <w:tab w:leader="none" w:pos="6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640"/>
        <w:spacing w:after="0" w:line="238" w:lineRule="auto"/>
        <w:rPr>
          <w:sz w:val="20"/>
          <w:szCs w:val="20"/>
          <w:color w:val="auto"/>
        </w:rPr>
      </w:pPr>
      <w:r>
        <w:rPr>
          <w:rFonts w:ascii="Courier New" w:cs="Courier New" w:eastAsia="Courier New" w:hAnsi="Courier New"/>
          <w:sz w:val="18"/>
          <w:szCs w:val="18"/>
          <w:color w:val="auto"/>
        </w:rPr>
        <w:t>0 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5" w:orient="portrait"/>
          <w:cols w:equalWidth="0" w:num="2">
            <w:col w:w="1280" w:space="720"/>
            <w:col w:w="821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Each</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4"/>
          <w:szCs w:val="24"/>
          <w:color w:val="auto"/>
        </w:rPr>
      </w:pPr>
      <w:r>
        <w:rPr>
          <w:sz w:val="24"/>
          <w:szCs w:val="24"/>
          <w:color w:val="auto"/>
        </w:rPr>
        <w:br w:type="column"/>
      </w:r>
    </w:p>
    <w:p>
      <w:pPr>
        <w:spacing w:after="0"/>
        <w:tabs>
          <w:tab w:leader="none" w:pos="6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640"/>
        <w:spacing w:after="0" w:line="238" w:lineRule="auto"/>
        <w:rPr>
          <w:sz w:val="20"/>
          <w:szCs w:val="20"/>
          <w:color w:val="auto"/>
        </w:rPr>
      </w:pPr>
      <w:r>
        <w:rPr>
          <w:rFonts w:ascii="Courier New" w:cs="Courier New" w:eastAsia="Courier New" w:hAnsi="Courier New"/>
          <w:sz w:val="18"/>
          <w:szCs w:val="18"/>
          <w:color w:val="auto"/>
        </w:rPr>
        <w:t>4,094,086 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5" w:orient="portrait"/>
          <w:cols w:equalWidth="0" w:num="2">
            <w:col w:w="1280" w:space="720"/>
            <w:col w:w="8219"/>
          </w:cols>
          <w:pgMar w:left="240" w:top="244"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Person</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Shared Dispositive Power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 Shares</w:t>
      </w:r>
    </w:p>
    <w:p>
      <w:pPr>
        <w:sectPr>
          <w:pgSz w:w="11900" w:h="16855" w:orient="portrait"/>
          <w:cols w:equalWidth="0" w:num="3">
            <w:col w:w="1280" w:space="720"/>
            <w:col w:w="120" w:space="520"/>
            <w:col w:w="757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325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4,094,086 Shares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357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44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 Destination XL Group Inc.</w:t>
      </w: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Name of Issuer's Principal Executive Offices:</w:t>
      </w: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line="237" w:lineRule="auto"/>
        <w:rPr>
          <w:sz w:val="20"/>
          <w:szCs w:val="20"/>
          <w:color w:val="auto"/>
        </w:rPr>
      </w:pPr>
      <w:r>
        <w:rPr>
          <w:rFonts w:ascii="Courier New" w:cs="Courier New" w:eastAsia="Courier New" w:hAnsi="Courier New"/>
          <w:sz w:val="18"/>
          <w:szCs w:val="18"/>
          <w:color w:val="auto"/>
        </w:rPr>
        <w:t>Canton, MA 02021</w:t>
      </w:r>
    </w:p>
    <w:p>
      <w:pPr>
        <w:spacing w:after="0" w:line="202"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Person Filing: Piper Jaffray Companies</w:t>
      </w:r>
    </w:p>
    <w:p>
      <w:pPr>
        <w:spacing w:after="0" w:line="4" w:lineRule="exact"/>
        <w:rPr>
          <w:sz w:val="20"/>
          <w:szCs w:val="20"/>
          <w:color w:val="auto"/>
        </w:rPr>
      </w:pPr>
    </w:p>
    <w:p>
      <w:pPr>
        <w:ind w:left="1160" w:right="4739" w:hanging="2633"/>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(b) Address: 800 Nicollet Mall Suite 800 Minneapolis, MN 55402</w:t>
      </w:r>
    </w:p>
    <w:p>
      <w:pPr>
        <w:spacing w:after="0" w:line="208" w:lineRule="exact"/>
        <w:rPr>
          <w:sz w:val="20"/>
          <w:szCs w:val="20"/>
          <w:color w:val="auto"/>
        </w:rPr>
      </w:pPr>
    </w:p>
    <w:p>
      <w:pPr>
        <w:ind w:left="1160" w:right="4199" w:hanging="3054"/>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(c) Citizenship: Piper Jaffray Companies is a Delaware Corporation</w:t>
      </w:r>
    </w:p>
    <w:p>
      <w:pPr>
        <w:spacing w:after="0" w:line="203"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 Common Stock</w:t>
      </w: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 25065K104</w:t>
      </w:r>
    </w:p>
    <w:p>
      <w:pPr>
        <w:spacing w:after="0" w:line="207" w:lineRule="exact"/>
        <w:rPr>
          <w:sz w:val="20"/>
          <w:szCs w:val="20"/>
          <w:color w:val="auto"/>
        </w:rPr>
      </w:pPr>
    </w:p>
    <w:p>
      <w:pPr>
        <w:ind w:left="1160" w:right="315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13d-1(b) or 13d-2(b) and the person filing, Piper Jaffray Companies, is a parent holding company in accordance with Section 240.13d-1(b)(ii)(G). (Note: See Item 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533"/>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w:t>
      </w:r>
      <w:r>
        <w:rPr>
          <w:rFonts w:ascii="Courier New" w:cs="Courier New" w:eastAsia="Courier New" w:hAnsi="Courier New"/>
          <w:sz w:val="16"/>
          <w:szCs w:val="16"/>
          <w:color w:val="auto"/>
        </w:rPr>
        <w:t>4,094,086 Shares</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8.0%</w:t>
            </w:r>
          </w:p>
        </w:tc>
      </w:tr>
    </w:tbl>
    <w:p>
      <w:pPr>
        <w:spacing w:after="0" w:line="201" w:lineRule="exact"/>
        <w:rPr>
          <w:sz w:val="20"/>
          <w:szCs w:val="20"/>
          <w:color w:val="auto"/>
        </w:rPr>
      </w:pPr>
    </w:p>
    <w:p>
      <w:pPr>
        <w:ind w:left="1700" w:hanging="533"/>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reporting person has:</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4,094,086</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(ii)</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2"/>
              </w:rPr>
              <w:t>(iii)</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4,094,086</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(iv)</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Shared Dispositive Power</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of Five Percent or Less of</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Class:</w:t>
            </w:r>
          </w:p>
        </w:tc>
        <w:tc>
          <w:tcPr>
            <w:tcW w:w="6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1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8"/>
              </w:rPr>
              <w:t>If this statement is being filed to report the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fact</w:t>
            </w:r>
          </w:p>
        </w:tc>
      </w:tr>
      <w:tr>
        <w:trPr>
          <w:trHeight w:val="203"/>
        </w:trPr>
        <w:tc>
          <w:tcPr>
            <w:tcW w:w="900" w:type="dxa"/>
            <w:vAlign w:val="bottom"/>
          </w:tcPr>
          <w:p>
            <w:pPr>
              <w:spacing w:after="0"/>
              <w:rPr>
                <w:sz w:val="17"/>
                <w:szCs w:val="17"/>
                <w:color w:val="auto"/>
              </w:rPr>
            </w:pPr>
          </w:p>
        </w:tc>
        <w:tc>
          <w:tcPr>
            <w:tcW w:w="584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that as of the date hereof the reporting person has</w:t>
            </w:r>
          </w:p>
        </w:tc>
      </w:tr>
      <w:tr>
        <w:trPr>
          <w:trHeight w:val="203"/>
        </w:trPr>
        <w:tc>
          <w:tcPr>
            <w:tcW w:w="90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ceased to</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 the beneficial owner of</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more than</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w:t>
            </w:r>
          </w:p>
        </w:tc>
      </w:tr>
      <w:tr>
        <w:trPr>
          <w:trHeight w:val="203"/>
        </w:trPr>
        <w:tc>
          <w:tcPr>
            <w:tcW w:w="900" w:type="dxa"/>
            <w:vAlign w:val="bottom"/>
          </w:tcPr>
          <w:p>
            <w:pPr>
              <w:spacing w:after="0"/>
              <w:rPr>
                <w:sz w:val="17"/>
                <w:szCs w:val="17"/>
                <w:color w:val="auto"/>
              </w:rPr>
            </w:pPr>
          </w:p>
        </w:tc>
        <w:tc>
          <w:tcPr>
            <w:tcW w:w="51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percent of the class of securities, check the</w:t>
            </w:r>
          </w:p>
        </w:tc>
        <w:tc>
          <w:tcPr>
            <w:tcW w:w="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following</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7" w:lineRule="exact"/>
        <w:rPr>
          <w:sz w:val="20"/>
          <w:szCs w:val="20"/>
          <w:color w:val="auto"/>
        </w:rPr>
      </w:pPr>
    </w:p>
    <w:p>
      <w:pPr>
        <w:ind w:left="1160" w:right="2939" w:hanging="1158"/>
        <w:spacing w:after="0" w:line="272"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 The clients referenced in Exhibit A have the right to receive or the power to direct the receipt of dividends from, or the proceeds from the sale of the securities held in their respective accounts. No client's interest is known to exceed 5% of the class of securities.</w:t>
      </w:r>
    </w:p>
    <w:p>
      <w:pPr>
        <w:spacing w:after="0" w:line="186" w:lineRule="exact"/>
        <w:rPr>
          <w:sz w:val="20"/>
          <w:szCs w:val="20"/>
          <w:color w:val="auto"/>
        </w:rPr>
      </w:pPr>
    </w:p>
    <w:p>
      <w:pPr>
        <w:ind w:left="1160" w:right="357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left="1160" w:right="40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if Members of the Group: Not Applicable</w:t>
      </w:r>
    </w:p>
    <w:p>
      <w:pPr>
        <w:spacing w:after="0" w:line="203"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w:t>
      </w:r>
    </w:p>
    <w:p>
      <w:pPr>
        <w:sectPr>
          <w:pgSz w:w="11900" w:h="16838" w:orient="portrait"/>
          <w:cols w:equalWidth="0" w:num="1">
            <w:col w:w="10219"/>
          </w:cols>
          <w:pgMar w:left="240" w:top="136" w:right="1440" w:bottom="0" w:gutter="0" w:footer="0" w:header="0"/>
        </w:sectPr>
      </w:pPr>
    </w:p>
    <w:bookmarkStart w:id="2" w:name="page3"/>
    <w:bookmarkEnd w:id="2"/>
    <w:p>
      <w:pPr>
        <w:ind w:left="1160"/>
        <w:spacing w:after="0"/>
        <w:rPr>
          <w:sz w:val="20"/>
          <w:szCs w:val="20"/>
          <w:color w:val="auto"/>
        </w:rPr>
      </w:pPr>
      <w:r>
        <w:rPr>
          <w:rFonts w:ascii="Courier New" w:cs="Courier New" w:eastAsia="Courier New" w:hAnsi="Courier New"/>
          <w:sz w:val="18"/>
          <w:szCs w:val="18"/>
          <w:color w:val="auto"/>
        </w:rPr>
        <w:t>knowledge and belief, the securities referred to</w:t>
      </w:r>
    </w:p>
    <w:p>
      <w:pPr>
        <w:ind w:left="116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16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16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160"/>
        <w:spacing w:after="0" w:line="238" w:lineRule="auto"/>
        <w:rPr>
          <w:sz w:val="20"/>
          <w:szCs w:val="20"/>
          <w:color w:val="auto"/>
        </w:rPr>
      </w:pPr>
      <w:r>
        <w:rPr>
          <w:rFonts w:ascii="Courier New" w:cs="Courier New" w:eastAsia="Courier New" w:hAnsi="Courier New"/>
          <w:sz w:val="18"/>
          <w:szCs w:val="18"/>
          <w:color w:val="auto"/>
        </w:rPr>
        <w:t>changing or influencing the control of the issuer</w:t>
      </w:r>
    </w:p>
    <w:p>
      <w:pPr>
        <w:ind w:left="1160"/>
        <w:spacing w:after="0"/>
        <w:rPr>
          <w:sz w:val="20"/>
          <w:szCs w:val="20"/>
          <w:color w:val="auto"/>
        </w:rPr>
      </w:pPr>
      <w:r>
        <w:rPr>
          <w:rFonts w:ascii="Courier New" w:cs="Courier New" w:eastAsia="Courier New" w:hAnsi="Courier New"/>
          <w:sz w:val="18"/>
          <w:szCs w:val="18"/>
          <w:color w:val="auto"/>
        </w:rPr>
        <w:t>of such securities and were not acquired and are</w:t>
      </w:r>
    </w:p>
    <w:p>
      <w:pPr>
        <w:ind w:left="1160"/>
        <w:spacing w:after="0" w:line="237" w:lineRule="auto"/>
        <w:rPr>
          <w:sz w:val="20"/>
          <w:szCs w:val="20"/>
          <w:color w:val="auto"/>
        </w:rPr>
      </w:pPr>
      <w:r>
        <w:rPr>
          <w:rFonts w:ascii="Courier New" w:cs="Courier New" w:eastAsia="Courier New" w:hAnsi="Courier New"/>
          <w:sz w:val="18"/>
          <w:szCs w:val="18"/>
          <w:color w:val="auto"/>
        </w:rPr>
        <w:t>not held in connection with or as a participant</w:t>
      </w:r>
    </w:p>
    <w:p>
      <w:pPr>
        <w:ind w:left="1160"/>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02/13/2014</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Piper Jaffray Companies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Head of Asset Management</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Advisory Research,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persons, on February 13, 2014, agree and consent to the joint filing on their behalf of this Schedule 13G</w:t>
      </w:r>
    </w:p>
    <w:p>
      <w:pPr>
        <w:ind w:right="3999"/>
        <w:spacing w:after="0" w:line="290" w:lineRule="auto"/>
        <w:rPr>
          <w:sz w:val="20"/>
          <w:szCs w:val="20"/>
          <w:color w:val="auto"/>
        </w:rPr>
      </w:pPr>
      <w:r>
        <w:rPr>
          <w:rFonts w:ascii="Courier New" w:cs="Courier New" w:eastAsia="Courier New" w:hAnsi="Courier New"/>
          <w:sz w:val="16"/>
          <w:szCs w:val="16"/>
          <w:color w:val="auto"/>
        </w:rPr>
        <w:t>in connection with their beneficial ownership of the Common Stock of Destination XL Group Inc. at December 31, 2013.</w:t>
      </w:r>
    </w:p>
    <w:p>
      <w:pPr>
        <w:spacing w:after="0" w:line="36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Piper Jaffray Companies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Head of Asset Management</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Advisory Research,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Pursuant to the instructions in Item 7 of Schedule 13G, Advisory Research, Inc. ("ARI"), 180 N. Stetson, Chicago, IL 60601, a</w:t>
      </w:r>
    </w:p>
    <w:p>
      <w:pPr>
        <w:sectPr>
          <w:pgSz w:w="11900" w:h="16838" w:orient="portrait"/>
          <w:cols w:equalWidth="0" w:num="1">
            <w:col w:w="10219"/>
          </w:cols>
          <w:pgMar w:left="240" w:top="136" w:right="1440" w:bottom="0" w:gutter="0" w:footer="0" w:header="0"/>
        </w:sectPr>
      </w:pPr>
    </w:p>
    <w:bookmarkStart w:id="3" w:name="page4"/>
    <w:bookmarkEnd w:id="3"/>
    <w:p>
      <w:pPr>
        <w:ind w:right="3999"/>
        <w:spacing w:after="0" w:line="272" w:lineRule="auto"/>
        <w:rPr>
          <w:sz w:val="20"/>
          <w:szCs w:val="20"/>
          <w:color w:val="auto"/>
        </w:rPr>
      </w:pPr>
      <w:r>
        <w:rPr>
          <w:rFonts w:ascii="Courier New" w:cs="Courier New" w:eastAsia="Courier New" w:hAnsi="Courier New"/>
          <w:sz w:val="16"/>
          <w:szCs w:val="16"/>
          <w:color w:val="auto"/>
        </w:rPr>
        <w:t>wholly-owned subsidiary of Piper Jaffray Companies and an investment adviser registered under Section 203 of the Investment Advisers Act of 1940, is the beneficial owner of 4,094,086 shares or 8.0% of the Common Stock outstanding of Destination XL Group Inc. ("the Company") as a result of acting as investment adviser to various clients.</w:t>
      </w:r>
    </w:p>
    <w:p>
      <w:pPr>
        <w:spacing w:after="0" w:line="18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Piper Jaffray Companies may be deemed to be the beneficial owner of these 4,094,086 shares through control of ARI. However, Piper Jaffray Companies disclaims beneficial ownership of such shares.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2019-12-06T00:16:02Z</dcterms:created>
  <dcterms:modified xsi:type="dcterms:W3CDTF">2019-12-06T00:16:02Z</dcterms:modified>
</cp:coreProperties>
</file>