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97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977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67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09/06/2013</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President and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00"/>
          </w:cols>
          <w:pgMar w:left="240" w:top="226" w:right="259" w:bottom="675"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7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7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09/06/2013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10,000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6.221</w:t>
            </w:r>
            <w:r>
              <w:rPr>
                <w:rFonts w:ascii="Arial" w:cs="Arial" w:eastAsia="Arial" w:hAnsi="Arial"/>
                <w:sz w:val="22"/>
                <w:szCs w:val="22"/>
                <w:color w:val="008000"/>
                <w:w w:val="93"/>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1,315,915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09/09/2013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10,000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6.206</w:t>
            </w:r>
            <w:r>
              <w:rPr>
                <w:rFonts w:ascii="Arial" w:cs="Arial" w:eastAsia="Arial" w:hAnsi="Arial"/>
                <w:sz w:val="22"/>
                <w:szCs w:val="22"/>
                <w:color w:val="008000"/>
                <w:w w:val="93"/>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1,305,915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780" w:type="dxa"/>
            <w:vAlign w:val="bottom"/>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15,500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114"/>
        </w:trPr>
        <w:tc>
          <w:tcPr>
            <w:tcW w:w="27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2"/>
        </w:trPr>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7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8"/>
              </w:rPr>
              <w:t>held in the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3,539</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401(k)Plan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89"/>
              </w:rPr>
              <w:t>as stated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9"/>
              </w:rPr>
              <w:t>Statement</w:t>
            </w: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9/6/13.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29, 2013.</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$6.17 to $6.25. The Reporting Person hereby undertakes to provide upon request to the SEC and the Issuer of any stockholder of the Issuer full information regarding the number of shares and prices at which the transaction was effected.</w:t>
      </w:r>
    </w:p>
    <w:p>
      <w:pPr>
        <w:ind w:left="40" w:right="1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$6.17 to $6.27. The Reporting Person hereby undertakes to provide upon request to the SEC and the Issuer of any stockholder of the Issuer full information regarding the number of shares and prices at which the transation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David A. Levin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09/09/2013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6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2019-12-16T04:40:20Z</dcterms:created>
  <dcterms:modified xsi:type="dcterms:W3CDTF">2019-12-16T04:40:20Z</dcterms:modified>
</cp:coreProperties>
</file>