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105"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158750</wp:posOffset>
            </wp:positionV>
            <wp:extent cx="5575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65"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178435</wp:posOffset>
            </wp:positionV>
            <wp:extent cx="5575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March 18,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180340</wp:posOffset>
            </wp:positionV>
            <wp:extent cx="557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9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DESTINATION XL GROUP, INC.</w:t>
      </w:r>
    </w:p>
    <w:p>
      <w:pPr>
        <w:spacing w:after="0" w:line="4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154940</wp:posOffset>
            </wp:positionV>
            <wp:extent cx="557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800" w:type="dxa"/>
        <w:tblCellMar>
          <w:top w:w="0" w:type="dxa"/>
          <w:left w:w="0" w:type="dxa"/>
          <w:bottom w:w="0" w:type="dxa"/>
          <w:right w:w="0" w:type="dxa"/>
        </w:tblCellMar>
      </w:tblPr>
      <w:tr>
        <w:trPr>
          <w:trHeight w:val="258"/>
        </w:trPr>
        <w:tc>
          <w:tcPr>
            <w:tcW w:w="3220" w:type="dxa"/>
            <w:vAlign w:val="bottom"/>
          </w:tcPr>
          <w:p>
            <w:pPr>
              <w:jc w:val="center"/>
              <w:ind w:right="838"/>
              <w:spacing w:after="0"/>
              <w:rPr>
                <w:sz w:val="20"/>
                <w:szCs w:val="20"/>
                <w:color w:val="auto"/>
              </w:rPr>
            </w:pPr>
            <w:r>
              <w:rPr>
                <w:rFonts w:ascii="Arial" w:cs="Arial" w:eastAsia="Arial" w:hAnsi="Arial"/>
                <w:sz w:val="22"/>
                <w:szCs w:val="22"/>
                <w:b w:val="1"/>
                <w:bCs w:val="1"/>
                <w:color w:val="auto"/>
                <w:w w:val="88"/>
              </w:rPr>
              <w:t>Delaware</w:t>
            </w:r>
          </w:p>
        </w:tc>
        <w:tc>
          <w:tcPr>
            <w:tcW w:w="3700" w:type="dxa"/>
            <w:vAlign w:val="bottom"/>
          </w:tcPr>
          <w:p>
            <w:pPr>
              <w:jc w:val="right"/>
              <w:ind w:right="1512"/>
              <w:spacing w:after="0"/>
              <w:rPr>
                <w:sz w:val="20"/>
                <w:szCs w:val="20"/>
                <w:color w:val="auto"/>
              </w:rPr>
            </w:pPr>
            <w:r>
              <w:rPr>
                <w:rFonts w:ascii="Arial" w:cs="Arial" w:eastAsia="Arial" w:hAnsi="Arial"/>
                <w:sz w:val="22"/>
                <w:szCs w:val="22"/>
                <w:b w:val="1"/>
                <w:bCs w:val="1"/>
                <w:color w:val="auto"/>
              </w:rPr>
              <w:t>01-34219</w:t>
            </w:r>
          </w:p>
        </w:tc>
        <w:tc>
          <w:tcPr>
            <w:tcW w:w="2280" w:type="dxa"/>
            <w:vAlign w:val="bottom"/>
          </w:tcPr>
          <w:p>
            <w:pPr>
              <w:jc w:val="right"/>
              <w:spacing w:after="0"/>
              <w:rPr>
                <w:sz w:val="20"/>
                <w:szCs w:val="20"/>
                <w:color w:val="auto"/>
              </w:rPr>
            </w:pPr>
            <w:r>
              <w:rPr>
                <w:rFonts w:ascii="Arial" w:cs="Arial" w:eastAsia="Arial" w:hAnsi="Arial"/>
                <w:sz w:val="22"/>
                <w:szCs w:val="22"/>
                <w:b w:val="1"/>
                <w:bCs w:val="1"/>
                <w:color w:val="auto"/>
              </w:rPr>
              <w:t>04-2623104</w:t>
            </w:r>
          </w:p>
        </w:tc>
        <w:tc>
          <w:tcPr>
            <w:tcW w:w="0" w:type="dxa"/>
            <w:vAlign w:val="bottom"/>
          </w:tcPr>
          <w:p>
            <w:pPr>
              <w:spacing w:after="0"/>
              <w:rPr>
                <w:sz w:val="1"/>
                <w:szCs w:val="1"/>
                <w:color w:val="auto"/>
              </w:rPr>
            </w:pPr>
          </w:p>
        </w:tc>
      </w:tr>
      <w:tr>
        <w:trPr>
          <w:trHeight w:val="149"/>
        </w:trPr>
        <w:tc>
          <w:tcPr>
            <w:tcW w:w="3220" w:type="dxa"/>
            <w:vAlign w:val="bottom"/>
          </w:tcPr>
          <w:p>
            <w:pPr>
              <w:jc w:val="center"/>
              <w:ind w:right="858"/>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3700" w:type="dxa"/>
            <w:vAlign w:val="bottom"/>
          </w:tcPr>
          <w:p>
            <w:pPr>
              <w:spacing w:after="0"/>
              <w:rPr>
                <w:sz w:val="12"/>
                <w:szCs w:val="12"/>
                <w:color w:val="auto"/>
              </w:rPr>
            </w:pPr>
          </w:p>
        </w:tc>
        <w:tc>
          <w:tcPr>
            <w:tcW w:w="2280" w:type="dxa"/>
            <w:vAlign w:val="bottom"/>
          </w:tcPr>
          <w:p>
            <w:pPr>
              <w:jc w:val="center"/>
              <w:ind w:left="1156"/>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3220" w:type="dxa"/>
            <w:vAlign w:val="bottom"/>
          </w:tcPr>
          <w:p>
            <w:pPr>
              <w:jc w:val="center"/>
              <w:ind w:right="858"/>
              <w:spacing w:after="0"/>
              <w:rPr>
                <w:sz w:val="20"/>
                <w:szCs w:val="20"/>
                <w:color w:val="auto"/>
              </w:rPr>
            </w:pPr>
            <w:r>
              <w:rPr>
                <w:rFonts w:ascii="Arial" w:cs="Arial" w:eastAsia="Arial" w:hAnsi="Arial"/>
                <w:sz w:val="14"/>
                <w:szCs w:val="14"/>
                <w:b w:val="1"/>
                <w:bCs w:val="1"/>
                <w:color w:val="auto"/>
                <w:w w:val="89"/>
              </w:rPr>
              <w:t>of Incorporation)</w:t>
            </w:r>
          </w:p>
        </w:tc>
        <w:tc>
          <w:tcPr>
            <w:tcW w:w="3700" w:type="dxa"/>
            <w:vAlign w:val="bottom"/>
          </w:tcPr>
          <w:p>
            <w:pPr>
              <w:jc w:val="center"/>
              <w:ind w:right="232"/>
              <w:spacing w:after="0"/>
              <w:rPr>
                <w:sz w:val="20"/>
                <w:szCs w:val="20"/>
                <w:color w:val="auto"/>
              </w:rPr>
            </w:pPr>
            <w:r>
              <w:rPr>
                <w:rFonts w:ascii="Arial" w:cs="Arial" w:eastAsia="Arial" w:hAnsi="Arial"/>
                <w:sz w:val="14"/>
                <w:szCs w:val="14"/>
                <w:b w:val="1"/>
                <w:bCs w:val="1"/>
                <w:color w:val="auto"/>
                <w:w w:val="88"/>
              </w:rPr>
              <w:t>(Commission File Number)</w:t>
            </w:r>
          </w:p>
        </w:tc>
        <w:tc>
          <w:tcPr>
            <w:tcW w:w="2280" w:type="dxa"/>
            <w:vAlign w:val="bottom"/>
          </w:tcPr>
          <w:p>
            <w:pPr>
              <w:jc w:val="center"/>
              <w:ind w:left="1136"/>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401"/>
        </w:trPr>
        <w:tc>
          <w:tcPr>
            <w:tcW w:w="3220" w:type="dxa"/>
            <w:vAlign w:val="bottom"/>
          </w:tcPr>
          <w:p>
            <w:pPr>
              <w:jc w:val="center"/>
              <w:ind w:right="838"/>
              <w:spacing w:after="0"/>
              <w:rPr>
                <w:sz w:val="20"/>
                <w:szCs w:val="20"/>
                <w:color w:val="auto"/>
              </w:rPr>
            </w:pPr>
            <w:r>
              <w:rPr>
                <w:rFonts w:ascii="Arial" w:cs="Arial" w:eastAsia="Arial" w:hAnsi="Arial"/>
                <w:sz w:val="18"/>
                <w:szCs w:val="18"/>
                <w:b w:val="1"/>
                <w:bCs w:val="1"/>
                <w:color w:val="auto"/>
                <w:w w:val="91"/>
              </w:rPr>
              <w:t>555 Turnpike Street,</w:t>
            </w:r>
          </w:p>
        </w:tc>
        <w:tc>
          <w:tcPr>
            <w:tcW w:w="3700" w:type="dxa"/>
            <w:vAlign w:val="bottom"/>
          </w:tcPr>
          <w:p>
            <w:pPr>
              <w:spacing w:after="0"/>
              <w:rPr>
                <w:sz w:val="24"/>
                <w:szCs w:val="24"/>
                <w:color w:val="auto"/>
              </w:rPr>
            </w:pPr>
          </w:p>
        </w:tc>
        <w:tc>
          <w:tcPr>
            <w:tcW w:w="2280" w:type="dxa"/>
            <w:vAlign w:val="bottom"/>
            <w:vMerge w:val="restart"/>
          </w:tcPr>
          <w:p>
            <w:pPr>
              <w:jc w:val="right"/>
              <w:ind w:right="176"/>
              <w:spacing w:after="0"/>
              <w:rPr>
                <w:sz w:val="20"/>
                <w:szCs w:val="20"/>
                <w:color w:val="auto"/>
              </w:rPr>
            </w:pPr>
            <w:r>
              <w:rPr>
                <w:rFonts w:ascii="Arial" w:cs="Arial" w:eastAsia="Arial" w:hAnsi="Arial"/>
                <w:sz w:val="22"/>
                <w:szCs w:val="22"/>
                <w:b w:val="1"/>
                <w:bCs w:val="1"/>
                <w:color w:val="auto"/>
              </w:rPr>
              <w:t>02021</w:t>
            </w:r>
          </w:p>
        </w:tc>
        <w:tc>
          <w:tcPr>
            <w:tcW w:w="0" w:type="dxa"/>
            <w:vAlign w:val="bottom"/>
          </w:tcPr>
          <w:p>
            <w:pPr>
              <w:spacing w:after="0"/>
              <w:rPr>
                <w:sz w:val="1"/>
                <w:szCs w:val="1"/>
                <w:color w:val="auto"/>
              </w:rPr>
            </w:pPr>
          </w:p>
        </w:tc>
      </w:tr>
      <w:tr>
        <w:trPr>
          <w:trHeight w:val="222"/>
        </w:trPr>
        <w:tc>
          <w:tcPr>
            <w:tcW w:w="3220" w:type="dxa"/>
            <w:vAlign w:val="bottom"/>
          </w:tcPr>
          <w:p>
            <w:pPr>
              <w:jc w:val="center"/>
              <w:ind w:right="838"/>
              <w:spacing w:after="0"/>
              <w:rPr>
                <w:sz w:val="20"/>
                <w:szCs w:val="20"/>
                <w:color w:val="auto"/>
              </w:rPr>
            </w:pPr>
            <w:r>
              <w:rPr>
                <w:rFonts w:ascii="Arial" w:cs="Arial" w:eastAsia="Arial" w:hAnsi="Arial"/>
                <w:sz w:val="18"/>
                <w:szCs w:val="18"/>
                <w:b w:val="1"/>
                <w:bCs w:val="1"/>
                <w:color w:val="auto"/>
                <w:w w:val="88"/>
              </w:rPr>
              <w:t>Canton, Massachusetts</w:t>
            </w:r>
          </w:p>
        </w:tc>
        <w:tc>
          <w:tcPr>
            <w:tcW w:w="3700" w:type="dxa"/>
            <w:vAlign w:val="bottom"/>
          </w:tcPr>
          <w:p>
            <w:pPr>
              <w:spacing w:after="0"/>
              <w:rPr>
                <w:sz w:val="19"/>
                <w:szCs w:val="19"/>
                <w:color w:val="auto"/>
              </w:rPr>
            </w:pPr>
          </w:p>
        </w:tc>
        <w:tc>
          <w:tcPr>
            <w:tcW w:w="2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220" w:type="dxa"/>
            <w:vAlign w:val="bottom"/>
          </w:tcPr>
          <w:p>
            <w:pPr>
              <w:jc w:val="center"/>
              <w:ind w:right="838"/>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700" w:type="dxa"/>
            <w:vAlign w:val="bottom"/>
          </w:tcPr>
          <w:p>
            <w:pPr>
              <w:spacing w:after="0"/>
              <w:rPr>
                <w:sz w:val="15"/>
                <w:szCs w:val="15"/>
                <w:color w:val="auto"/>
              </w:rPr>
            </w:pPr>
          </w:p>
        </w:tc>
        <w:tc>
          <w:tcPr>
            <w:tcW w:w="2280" w:type="dxa"/>
            <w:vAlign w:val="bottom"/>
          </w:tcPr>
          <w:p>
            <w:pPr>
              <w:jc w:val="center"/>
              <w:ind w:left="1136"/>
              <w:spacing w:after="0"/>
              <w:rPr>
                <w:sz w:val="20"/>
                <w:szCs w:val="20"/>
                <w:color w:val="auto"/>
              </w:rPr>
            </w:pPr>
            <w:r>
              <w:rPr>
                <w:rFonts w:ascii="Arial" w:cs="Arial" w:eastAsia="Arial" w:hAnsi="Arial"/>
                <w:sz w:val="14"/>
                <w:szCs w:val="14"/>
                <w:b w:val="1"/>
                <w:bCs w:val="1"/>
                <w:color w:val="auto"/>
                <w:w w:val="89"/>
              </w:rPr>
              <w:t>(Zip Code)</w:t>
            </w:r>
          </w:p>
        </w:tc>
        <w:tc>
          <w:tcPr>
            <w:tcW w:w="0" w:type="dxa"/>
            <w:vAlign w:val="bottom"/>
          </w:tcPr>
          <w:p>
            <w:pPr>
              <w:spacing w:after="0"/>
              <w:rPr>
                <w:sz w:val="1"/>
                <w:szCs w:val="1"/>
                <w:color w:val="auto"/>
              </w:rPr>
            </w:pPr>
          </w:p>
        </w:tc>
      </w:tr>
    </w:tbl>
    <w:p>
      <w:pPr>
        <w:spacing w:after="0" w:line="13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(781) 828-9300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172085</wp:posOffset>
            </wp:positionV>
            <wp:extent cx="557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343535</wp:posOffset>
            </wp:positionV>
            <wp:extent cx="557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16"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1031240</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747" w:right="35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307" w:lineRule="exact"/>
        <w:rPr>
          <w:sz w:val="20"/>
          <w:szCs w:val="20"/>
          <w:color w:val="auto"/>
        </w:rPr>
      </w:pPr>
    </w:p>
    <w:p>
      <w:pPr>
        <w:ind w:right="260"/>
        <w:spacing w:after="0" w:line="328" w:lineRule="auto"/>
        <w:rPr>
          <w:sz w:val="20"/>
          <w:szCs w:val="20"/>
          <w:color w:val="auto"/>
        </w:rPr>
      </w:pPr>
      <w:r>
        <w:rPr>
          <w:rFonts w:ascii="Arial" w:cs="Arial" w:eastAsia="Arial" w:hAnsi="Arial"/>
          <w:sz w:val="19"/>
          <w:szCs w:val="19"/>
          <w:color w:val="auto"/>
        </w:rPr>
        <w:t>On March 18, 2016, Destination XL Group, Inc. (the “Company”) issued a press release announcing the Company’s operating results for the fourth quarter and fiscal year 2015. A copy of this press release is attached hereto as Exhibit 99.1.</w:t>
      </w:r>
    </w:p>
    <w:p>
      <w:pPr>
        <w:spacing w:after="0" w:line="10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An audio webcast to discuss the Company’s operating results for the fourth quarter and fiscal year 2015 and 2016 outlook will be held today, March 18, 2016, at 9:00 a.m. EST. Interested parties can access the webcast and accompanying slide presentation on the Company's website at www.destinationxl.com under the Investor Relations section.</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220" w:type="dxa"/>
            <w:vAlign w:val="bottom"/>
            <w:gridSpan w:val="2"/>
          </w:tcPr>
          <w:p>
            <w:pPr>
              <w:ind w:left="880"/>
              <w:spacing w:after="0"/>
              <w:rPr>
                <w:sz w:val="20"/>
                <w:szCs w:val="20"/>
                <w:color w:val="auto"/>
              </w:rPr>
            </w:pPr>
            <w:r>
              <w:rPr>
                <w:rFonts w:ascii="Arial" w:cs="Arial" w:eastAsia="Arial" w:hAnsi="Arial"/>
                <w:sz w:val="22"/>
                <w:szCs w:val="22"/>
                <w:color w:val="auto"/>
              </w:rPr>
              <w:t>(d) Exhibits</w:t>
            </w:r>
          </w:p>
        </w:tc>
        <w:tc>
          <w:tcPr>
            <w:tcW w:w="6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800" w:type="dxa"/>
            <w:vAlign w:val="bottom"/>
          </w:tcPr>
          <w:p>
            <w:pPr>
              <w:spacing w:after="0"/>
              <w:rPr>
                <w:sz w:val="23"/>
                <w:szCs w:val="23"/>
                <w:color w:val="auto"/>
              </w:rPr>
            </w:pPr>
          </w:p>
        </w:tc>
      </w:tr>
      <w:tr>
        <w:trPr>
          <w:trHeight w:val="436"/>
        </w:trPr>
        <w:tc>
          <w:tcPr>
            <w:tcW w:w="10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3"/>
              </w:rPr>
              <w:t>Exhibit No.</w:t>
            </w: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9"/>
              </w:rPr>
              <w:t>Description</w:t>
            </w:r>
          </w:p>
        </w:tc>
        <w:tc>
          <w:tcPr>
            <w:tcW w:w="4800" w:type="dxa"/>
            <w:vAlign w:val="bottom"/>
          </w:tcPr>
          <w:p>
            <w:pPr>
              <w:spacing w:after="0"/>
              <w:rPr>
                <w:sz w:val="24"/>
                <w:szCs w:val="24"/>
                <w:color w:val="auto"/>
              </w:rPr>
            </w:pPr>
          </w:p>
        </w:tc>
      </w:tr>
      <w:tr>
        <w:trPr>
          <w:trHeight w:val="760"/>
        </w:trPr>
        <w:tc>
          <w:tcPr>
            <w:tcW w:w="1020" w:type="dxa"/>
            <w:vAlign w:val="bottom"/>
          </w:tcPr>
          <w:p>
            <w:pPr>
              <w:spacing w:after="0"/>
              <w:rPr>
                <w:sz w:val="20"/>
                <w:szCs w:val="20"/>
                <w:color w:val="auto"/>
              </w:rPr>
            </w:pPr>
            <w:r>
              <w:rPr>
                <w:rFonts w:ascii="Arial" w:cs="Arial" w:eastAsia="Arial" w:hAnsi="Arial"/>
                <w:sz w:val="22"/>
                <w:szCs w:val="22"/>
                <w:color w:val="auto"/>
              </w:rPr>
              <w:t>99.1</w:t>
            </w:r>
          </w:p>
        </w:tc>
        <w:tc>
          <w:tcPr>
            <w:tcW w:w="1200" w:type="dxa"/>
            <w:vAlign w:val="bottom"/>
          </w:tcPr>
          <w:p>
            <w:pPr>
              <w:spacing w:after="0"/>
              <w:rPr>
                <w:sz w:val="24"/>
                <w:szCs w:val="24"/>
                <w:color w:val="auto"/>
              </w:rPr>
            </w:pPr>
          </w:p>
        </w:tc>
        <w:tc>
          <w:tcPr>
            <w:tcW w:w="6460" w:type="dxa"/>
            <w:vAlign w:val="bottom"/>
            <w:gridSpan w:val="3"/>
          </w:tcPr>
          <w:p>
            <w:pPr>
              <w:ind w:left="300"/>
              <w:spacing w:after="0"/>
              <w:rPr>
                <w:sz w:val="20"/>
                <w:szCs w:val="20"/>
                <w:color w:val="auto"/>
              </w:rPr>
            </w:pPr>
            <w:r>
              <w:rPr>
                <w:rFonts w:ascii="Arial" w:cs="Arial" w:eastAsia="Arial" w:hAnsi="Arial"/>
                <w:sz w:val="22"/>
                <w:szCs w:val="22"/>
                <w:color w:val="auto"/>
                <w:w w:val="88"/>
              </w:rPr>
              <w:t>Press release issued by Destination XL Group, Inc. on March 18, 2016.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3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80"/>
          </w:cols>
          <w:pgMar w:left="240" w:top="1246" w:right="47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680"/>
        <w:spacing w:after="0"/>
        <w:rPr>
          <w:sz w:val="20"/>
          <w:szCs w:val="20"/>
          <w:color w:val="auto"/>
        </w:rPr>
      </w:pPr>
      <w:r>
        <w:rPr>
          <w:rFonts w:ascii="Arial" w:cs="Arial" w:eastAsia="Arial" w:hAnsi="Arial"/>
          <w:sz w:val="22"/>
          <w:szCs w:val="22"/>
          <w:color w:val="auto"/>
        </w:rPr>
        <w:t>DESTINATION XL GROUP, INC.</w:t>
      </w:r>
    </w:p>
    <w:p>
      <w:pPr>
        <w:spacing w:after="0" w:line="179" w:lineRule="exact"/>
        <w:rPr>
          <w:sz w:val="20"/>
          <w:szCs w:val="20"/>
          <w:color w:val="auto"/>
        </w:rPr>
      </w:pPr>
    </w:p>
    <w:p>
      <w:pPr>
        <w:ind w:left="20"/>
        <w:spacing w:after="0"/>
        <w:tabs>
          <w:tab w:leader="none" w:pos="880" w:val="left"/>
          <w:tab w:leader="none" w:pos="5880" w:val="left"/>
          <w:tab w:leader="none" w:pos="814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March 18, 2016</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7620</wp:posOffset>
            </wp:positionV>
            <wp:extent cx="29927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jc w:val="center"/>
        <w:ind w:left="6660"/>
        <w:spacing w:after="0"/>
        <w:rPr>
          <w:sz w:val="20"/>
          <w:szCs w:val="20"/>
          <w:color w:val="auto"/>
        </w:rPr>
      </w:pPr>
      <w:r>
        <w:rPr>
          <w:rFonts w:ascii="Arial" w:cs="Arial" w:eastAsia="Arial" w:hAnsi="Arial"/>
          <w:sz w:val="14"/>
          <w:szCs w:val="14"/>
          <w:b w:val="1"/>
          <w:bCs w:val="1"/>
          <w:color w:val="auto"/>
        </w:rPr>
        <w:t>Robert S. Molloy</w:t>
      </w:r>
    </w:p>
    <w:p>
      <w:pPr>
        <w:jc w:val="center"/>
        <w:ind w:left="6660"/>
        <w:spacing w:after="0"/>
        <w:rPr>
          <w:sz w:val="20"/>
          <w:szCs w:val="20"/>
          <w:color w:val="auto"/>
        </w:rPr>
      </w:pPr>
      <w:r>
        <w:rPr>
          <w:rFonts w:ascii="Arial" w:cs="Arial" w:eastAsia="Arial" w:hAnsi="Arial"/>
          <w:sz w:val="14"/>
          <w:szCs w:val="14"/>
          <w:b w:val="1"/>
          <w:bCs w:val="1"/>
          <w:color w:val="auto"/>
        </w:rPr>
        <w:t>Senior Vice President, General Counsel and Secretary</w:t>
      </w:r>
    </w:p>
    <w:p>
      <w:pPr>
        <w:spacing w:after="0" w:line="200" w:lineRule="exact"/>
        <w:rPr>
          <w:sz w:val="20"/>
          <w:szCs w:val="20"/>
          <w:color w:val="auto"/>
        </w:rPr>
      </w:pPr>
    </w:p>
    <w:p>
      <w:pPr>
        <w:spacing w:after="0" w:line="223" w:lineRule="exact"/>
        <w:rPr>
          <w:sz w:val="20"/>
          <w:szCs w:val="20"/>
          <w:color w:val="auto"/>
        </w:rPr>
      </w:pPr>
    </w:p>
    <w:p>
      <w:pPr>
        <w:jc w:val="center"/>
        <w:ind w:right="-25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160"/>
          </w:cols>
          <w:pgMar w:left="240" w:top="111" w:right="49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209040" cy="6686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209040" cy="668655"/>
                    </a:xfrm>
                    <a:prstGeom prst="rect">
                      <a:avLst/>
                    </a:prstGeom>
                    <a:noFill/>
                  </pic:spPr>
                </pic:pic>
              </a:graphicData>
            </a:graphic>
          </wp:anchor>
        </w:drawing>
        <w:t>Exhibit 99.1</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Jeff Unger</w:t>
      </w:r>
    </w:p>
    <w:p>
      <w:pPr>
        <w:spacing w:after="0"/>
        <w:rPr>
          <w:sz w:val="20"/>
          <w:szCs w:val="20"/>
          <w:color w:val="auto"/>
        </w:rPr>
      </w:pPr>
      <w:r>
        <w:rPr>
          <w:rFonts w:ascii="Arial" w:cs="Arial" w:eastAsia="Arial" w:hAnsi="Arial"/>
          <w:sz w:val="20"/>
          <w:szCs w:val="20"/>
          <w:color w:val="auto"/>
        </w:rPr>
        <w:t>Vice President Investor Relations</w:t>
      </w:r>
    </w:p>
    <w:p>
      <w:pPr>
        <w:spacing w:after="0"/>
        <w:rPr>
          <w:sz w:val="20"/>
          <w:szCs w:val="20"/>
          <w:color w:val="auto"/>
        </w:rPr>
      </w:pPr>
      <w:r>
        <w:rPr>
          <w:rFonts w:ascii="Arial" w:cs="Arial" w:eastAsia="Arial" w:hAnsi="Arial"/>
          <w:sz w:val="20"/>
          <w:szCs w:val="20"/>
          <w:color w:val="auto"/>
        </w:rPr>
        <w:t>(561) 482-9715</w:t>
      </w:r>
    </w:p>
    <w:p>
      <w:pPr>
        <w:spacing w:after="0" w:line="369" w:lineRule="exact"/>
        <w:rPr>
          <w:sz w:val="20"/>
          <w:szCs w:val="20"/>
          <w:color w:val="auto"/>
        </w:rPr>
      </w:pPr>
    </w:p>
    <w:p>
      <w:pPr>
        <w:ind w:left="1200"/>
        <w:spacing w:after="0"/>
        <w:rPr>
          <w:sz w:val="20"/>
          <w:szCs w:val="20"/>
          <w:color w:val="auto"/>
        </w:rPr>
      </w:pPr>
      <w:r>
        <w:rPr>
          <w:rFonts w:ascii="Arial" w:cs="Arial" w:eastAsia="Arial" w:hAnsi="Arial"/>
          <w:sz w:val="25"/>
          <w:szCs w:val="25"/>
          <w:b w:val="1"/>
          <w:bCs w:val="1"/>
          <w:color w:val="auto"/>
        </w:rPr>
        <w:t>Destination XL Group, Inc. Reports Fourth-Quarter and FY 2015 Financial Results</w:t>
      </w:r>
    </w:p>
    <w:p>
      <w:pPr>
        <w:spacing w:after="0" w:line="167" w:lineRule="exact"/>
        <w:rPr>
          <w:sz w:val="20"/>
          <w:szCs w:val="20"/>
          <w:color w:val="auto"/>
        </w:rPr>
      </w:pPr>
    </w:p>
    <w:p>
      <w:pPr>
        <w:jc w:val="center"/>
        <w:spacing w:after="0" w:line="413" w:lineRule="auto"/>
        <w:rPr>
          <w:sz w:val="20"/>
          <w:szCs w:val="20"/>
          <w:color w:val="auto"/>
        </w:rPr>
      </w:pPr>
      <w:r>
        <w:rPr>
          <w:rFonts w:ascii="Arial" w:cs="Arial" w:eastAsia="Arial" w:hAnsi="Arial"/>
          <w:sz w:val="18"/>
          <w:szCs w:val="18"/>
          <w:i w:val="1"/>
          <w:iCs w:val="1"/>
          <w:color w:val="auto"/>
        </w:rPr>
        <w:t>+8.9% DXL Comparable Sales Increase for Fourth Quarter 2015 On Top of +16.4% Comparable Increase in Fourth Quarter 2014 Company Introduces Guidance for Fiscal 2016</w:t>
      </w:r>
    </w:p>
    <w:p>
      <w:pPr>
        <w:spacing w:after="0" w:line="1"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color w:val="auto"/>
        </w:rPr>
        <w:t xml:space="preserve">CANTON, Mass., March 18, 2016 – </w:t>
      </w:r>
      <w:r>
        <w:rPr>
          <w:rFonts w:ascii="Arial" w:cs="Arial" w:eastAsia="Arial" w:hAnsi="Arial"/>
          <w:sz w:val="20"/>
          <w:szCs w:val="20"/>
          <w:u w:val="single" w:color="auto"/>
          <w:color w:val="auto"/>
        </w:rPr>
        <w:t>Destination XL Group, Inc.</w:t>
      </w:r>
      <w:r>
        <w:rPr>
          <w:rFonts w:ascii="Arial" w:cs="Arial" w:eastAsia="Arial" w:hAnsi="Arial"/>
          <w:sz w:val="20"/>
          <w:szCs w:val="20"/>
          <w:color w:val="auto"/>
        </w:rPr>
        <w:t xml:space="preserve"> (NASDAQ: DXLG), the largest omni-channel specialty retailer of big and tall men's apparel, today reported operating results for the fourth quarter and fiscal year 2015.</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Fourth-Quarter Fiscal 2015 Highlights</w:t>
      </w:r>
    </w:p>
    <w:p>
      <w:pPr>
        <w:spacing w:after="0" w:line="141" w:lineRule="exact"/>
        <w:rPr>
          <w:sz w:val="20"/>
          <w:szCs w:val="20"/>
          <w:color w:val="auto"/>
        </w:rPr>
      </w:pPr>
    </w:p>
    <w:p>
      <w:pPr>
        <w:ind w:left="880" w:hanging="440"/>
        <w:spacing w:after="0"/>
        <w:tabs>
          <w:tab w:leader="none" w:pos="880" w:val="left"/>
        </w:tabs>
        <w:numPr>
          <w:ilvl w:val="0"/>
          <w:numId w:val="2"/>
        </w:numPr>
        <w:rPr>
          <w:rFonts w:ascii="Arial" w:cs="Arial" w:eastAsia="Arial" w:hAnsi="Arial"/>
          <w:sz w:val="20"/>
          <w:szCs w:val="20"/>
          <w:color w:val="auto"/>
        </w:rPr>
      </w:pPr>
      <w:r>
        <w:rPr>
          <w:rFonts w:ascii="Arial" w:cs="Arial" w:eastAsia="Arial" w:hAnsi="Arial"/>
          <w:sz w:val="20"/>
          <w:szCs w:val="20"/>
          <w:color w:val="auto"/>
        </w:rPr>
        <w:t>Total Company comparable sales increased +3.1%, against +8.9% for the prior-year fourth quarter</w:t>
      </w:r>
    </w:p>
    <w:p>
      <w:pPr>
        <w:spacing w:after="0" w:line="15" w:lineRule="exact"/>
        <w:rPr>
          <w:rFonts w:ascii="Arial" w:cs="Arial" w:eastAsia="Arial" w:hAnsi="Arial"/>
          <w:sz w:val="20"/>
          <w:szCs w:val="20"/>
          <w:color w:val="auto"/>
        </w:rPr>
      </w:pPr>
    </w:p>
    <w:p>
      <w:pPr>
        <w:ind w:left="880" w:right="260" w:hanging="440"/>
        <w:spacing w:after="0" w:line="239" w:lineRule="auto"/>
        <w:tabs>
          <w:tab w:leader="none" w:pos="880" w:val="left"/>
        </w:tabs>
        <w:numPr>
          <w:ilvl w:val="0"/>
          <w:numId w:val="2"/>
        </w:numPr>
        <w:rPr>
          <w:rFonts w:ascii="Arial" w:cs="Arial" w:eastAsia="Arial" w:hAnsi="Arial"/>
          <w:sz w:val="20"/>
          <w:szCs w:val="20"/>
          <w:color w:val="auto"/>
        </w:rPr>
      </w:pPr>
      <w:r>
        <w:rPr>
          <w:rFonts w:ascii="Arial" w:cs="Arial" w:eastAsia="Arial" w:hAnsi="Arial"/>
          <w:sz w:val="20"/>
          <w:szCs w:val="20"/>
          <w:color w:val="auto"/>
        </w:rPr>
        <w:t>137 DXL retail stores, open at least 13 months, had an +8.9% comparable sales increase on top of +16.4% in the prior-year fourth quarter</w:t>
      </w:r>
    </w:p>
    <w:p>
      <w:pPr>
        <w:spacing w:after="0" w:line="1" w:lineRule="exact"/>
        <w:rPr>
          <w:rFonts w:ascii="Arial" w:cs="Arial" w:eastAsia="Arial" w:hAnsi="Arial"/>
          <w:sz w:val="20"/>
          <w:szCs w:val="20"/>
          <w:color w:val="auto"/>
        </w:rPr>
      </w:pPr>
    </w:p>
    <w:p>
      <w:pPr>
        <w:ind w:left="880" w:hanging="440"/>
        <w:spacing w:after="0"/>
        <w:tabs>
          <w:tab w:leader="none" w:pos="880" w:val="left"/>
        </w:tabs>
        <w:numPr>
          <w:ilvl w:val="0"/>
          <w:numId w:val="2"/>
        </w:numPr>
        <w:rPr>
          <w:rFonts w:ascii="Arial" w:cs="Arial" w:eastAsia="Arial" w:hAnsi="Arial"/>
          <w:sz w:val="20"/>
          <w:szCs w:val="20"/>
          <w:color w:val="auto"/>
        </w:rPr>
      </w:pPr>
      <w:r>
        <w:rPr>
          <w:rFonts w:ascii="Arial" w:cs="Arial" w:eastAsia="Arial" w:hAnsi="Arial"/>
          <w:sz w:val="20"/>
          <w:szCs w:val="20"/>
          <w:color w:val="auto"/>
        </w:rPr>
        <w:t>Operating loss of $(0.5) million</w:t>
      </w:r>
    </w:p>
    <w:p>
      <w:pPr>
        <w:ind w:left="880" w:hanging="440"/>
        <w:spacing w:after="0"/>
        <w:tabs>
          <w:tab w:leader="none" w:pos="880" w:val="left"/>
        </w:tabs>
        <w:numPr>
          <w:ilvl w:val="0"/>
          <w:numId w:val="2"/>
        </w:numPr>
        <w:rPr>
          <w:rFonts w:ascii="Arial" w:cs="Arial" w:eastAsia="Arial" w:hAnsi="Arial"/>
          <w:sz w:val="20"/>
          <w:szCs w:val="20"/>
          <w:color w:val="auto"/>
        </w:rPr>
      </w:pPr>
      <w:r>
        <w:rPr>
          <w:rFonts w:ascii="Arial" w:cs="Arial" w:eastAsia="Arial" w:hAnsi="Arial"/>
          <w:sz w:val="20"/>
          <w:szCs w:val="20"/>
          <w:color w:val="auto"/>
        </w:rPr>
        <w:t>EBITDA from continuing operations of $7.3 million</w:t>
      </w:r>
    </w:p>
    <w:p>
      <w:pPr>
        <w:ind w:left="880" w:right="320" w:hanging="440"/>
        <w:spacing w:after="0" w:line="244" w:lineRule="auto"/>
        <w:tabs>
          <w:tab w:leader="none" w:pos="880" w:val="left"/>
        </w:tabs>
        <w:numPr>
          <w:ilvl w:val="0"/>
          <w:numId w:val="2"/>
        </w:numPr>
        <w:rPr>
          <w:rFonts w:ascii="Arial" w:cs="Arial" w:eastAsia="Arial" w:hAnsi="Arial"/>
          <w:sz w:val="20"/>
          <w:szCs w:val="20"/>
          <w:color w:val="auto"/>
        </w:rPr>
      </w:pPr>
      <w:r>
        <w:rPr>
          <w:rFonts w:ascii="Arial" w:cs="Arial" w:eastAsia="Arial" w:hAnsi="Arial"/>
          <w:sz w:val="20"/>
          <w:szCs w:val="20"/>
          <w:color w:val="auto"/>
        </w:rPr>
        <w:t>Sales per square foot for DXL retail stores, on a rolling 12-month basis, were $177, compared with $165 for the prior-year fourth quarter</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Management Comments</w:t>
      </w:r>
    </w:p>
    <w:p>
      <w:pPr>
        <w:spacing w:after="0" w:line="154" w:lineRule="exact"/>
        <w:rPr>
          <w:sz w:val="20"/>
          <w:szCs w:val="20"/>
          <w:color w:val="auto"/>
        </w:rPr>
      </w:pPr>
    </w:p>
    <w:p>
      <w:pPr>
        <w:ind w:right="160"/>
        <w:spacing w:after="0" w:line="274" w:lineRule="auto"/>
        <w:rPr>
          <w:sz w:val="20"/>
          <w:szCs w:val="20"/>
          <w:color w:val="auto"/>
        </w:rPr>
      </w:pPr>
      <w:r>
        <w:rPr>
          <w:rFonts w:ascii="Arial" w:cs="Arial" w:eastAsia="Arial" w:hAnsi="Arial"/>
          <w:sz w:val="18"/>
          <w:szCs w:val="18"/>
          <w:color w:val="auto"/>
        </w:rPr>
        <w:t>“Our excellent fourth-quarter and full-year financial results reflect the strength of the Destination XL model in an exceptionally challenging retail environment,” said President and CEO David Levin. “Our performance was consistent throughout 2015, on track with the expectations we laid out at the start of the year. DXL retail stores delivered a strong comparable sales increase of +8.9% during the fourth quarter. The quarter actually started out slowly with a very warm November. However, typical winter weather returned in December, as did strong demand in our cold-weather categories, and sales continued to accelerate through the end of January. Brand awareness, Casual Male customer conversion and our share of end-of-rack customers all continued to increase, driving the total number of transactions and average sales per transaction. As a result, we were able to maintain our gross margin rate and deliver solid EBITDA for the quarter.</w:t>
      </w:r>
    </w:p>
    <w:p>
      <w:pPr>
        <w:spacing w:after="0" w:line="102" w:lineRule="exact"/>
        <w:rPr>
          <w:sz w:val="20"/>
          <w:szCs w:val="20"/>
          <w:color w:val="auto"/>
        </w:rPr>
      </w:pPr>
    </w:p>
    <w:p>
      <w:pPr>
        <w:ind w:right="440"/>
        <w:spacing w:after="0" w:line="260" w:lineRule="auto"/>
        <w:rPr>
          <w:sz w:val="20"/>
          <w:szCs w:val="20"/>
          <w:color w:val="auto"/>
        </w:rPr>
      </w:pPr>
      <w:r>
        <w:rPr>
          <w:rFonts w:ascii="Arial" w:cs="Arial" w:eastAsia="Arial" w:hAnsi="Arial"/>
          <w:sz w:val="20"/>
          <w:szCs w:val="20"/>
          <w:color w:val="auto"/>
        </w:rPr>
        <w:t>“We concluded a successful fall marketing campaign, which helped drive strong holiday sales,” Levin continued. “Our spring campaign in 2016 will have the same timing as our effective campaign a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400" w:right="239" w:bottom="1440" w:gutter="0" w:footer="0" w:header="0"/>
        </w:sectPr>
      </w:pPr>
    </w:p>
    <w:bookmarkStart w:id="4" w:name="page5"/>
    <w:bookmarkEnd w:id="4"/>
    <w:p>
      <w:pPr>
        <w:spacing w:after="0"/>
        <w:rPr>
          <w:sz w:val="20"/>
          <w:szCs w:val="20"/>
          <w:color w:val="auto"/>
        </w:rPr>
      </w:pPr>
      <w:r>
        <w:rPr>
          <w:rFonts w:ascii="Arial" w:cs="Arial" w:eastAsia="Arial" w:hAnsi="Arial"/>
          <w:sz w:val="19"/>
          <w:szCs w:val="19"/>
          <w:color w:val="auto"/>
        </w:rPr>
        <w:t>ago. Our DXL marketing during the past three years has increased awareness, which is enabling us to reduce our marketing costs.</w:t>
      </w:r>
    </w:p>
    <w:p>
      <w:pPr>
        <w:spacing w:after="0" w:line="161"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“Our outlook for 2016 is quite positive. For the year, we project sales in the range of $465 million to $472 million and EBITDA in the range of $31 million to $35 million. Fueling this year-over-year growth is our investment in new DXL stores. We have never taken our responsibility to invest capital lightly, and we have a rigorous process that subjects all new DXL stores to high ROIC hurdle rates. This disciplined approach with a high-return objective has enabled us to grow our revenue from $386 million in fiscal 2013 to $442 million in fiscal 2015 and increase our EBITDA from continuing operations from $7.3 million in fiscal 2013 to $23.3 million in fiscal 2015,” Levin concluded.</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Fourth-Quarter and Fiscal 2015 Results</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Sales</w:t>
      </w:r>
    </w:p>
    <w:p>
      <w:pPr>
        <w:spacing w:after="0" w:line="148" w:lineRule="exact"/>
        <w:rPr>
          <w:sz w:val="20"/>
          <w:szCs w:val="20"/>
          <w:color w:val="auto"/>
        </w:rPr>
      </w:pPr>
    </w:p>
    <w:p>
      <w:pPr>
        <w:ind w:right="160"/>
        <w:spacing w:after="0" w:line="263" w:lineRule="auto"/>
        <w:rPr>
          <w:sz w:val="20"/>
          <w:szCs w:val="20"/>
          <w:color w:val="auto"/>
        </w:rPr>
      </w:pPr>
      <w:r>
        <w:rPr>
          <w:rFonts w:ascii="Arial" w:cs="Arial" w:eastAsia="Arial" w:hAnsi="Arial"/>
          <w:sz w:val="19"/>
          <w:szCs w:val="19"/>
          <w:color w:val="auto"/>
        </w:rPr>
        <w:t>For the fourth quarter of fiscal 2015, total sales rose 3.8% to $124.0 million from $119.6 million in the fourth quarter of fiscal 2014. The increase of $4.4 million in total sales was due to an increase in comparable sales of $3.4 million with the remaining $1.0 million primarily representing non-comparable sales, net of prior year sales from closed Casual Male XL and Rochester stores. An 8.9% increase from the 137 comparable DXL stores drove the overall comparable sales increase for the Company of 3.1%.</w:t>
      </w:r>
    </w:p>
    <w:p>
      <w:pPr>
        <w:spacing w:after="0" w:line="96"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For fiscal 2015, total sales increased 6.8% to $442.2 million, compared with $414.0 million for fiscal 2014. The increase of $28.2 million was due to an increase in comparable sales of $18.0 million with the remaining $10.2 million primarily representing non-comparable sales, net of prior year sales from closed Casual Male XL and Rochester stores. The comparable DXL stores, with a 9.7% increase, drove an overall comparable sales increase for the Company of 4.8% for fiscal 2015.</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Gross Margin</w:t>
      </w:r>
    </w:p>
    <w:p>
      <w:pPr>
        <w:spacing w:after="0" w:line="164" w:lineRule="exact"/>
        <w:rPr>
          <w:sz w:val="20"/>
          <w:szCs w:val="20"/>
          <w:color w:val="auto"/>
        </w:rPr>
      </w:pPr>
    </w:p>
    <w:tbl>
      <w:tblPr>
        <w:tblLayout w:type="fixed"/>
        <w:tblInd w:w="13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2340" w:type="dxa"/>
            <w:vAlign w:val="bottom"/>
            <w:gridSpan w:val="2"/>
          </w:tcPr>
          <w:p>
            <w:pPr>
              <w:jc w:val="right"/>
              <w:ind w:right="500"/>
              <w:spacing w:after="0"/>
              <w:rPr>
                <w:sz w:val="20"/>
                <w:szCs w:val="20"/>
                <w:color w:val="auto"/>
              </w:rPr>
            </w:pPr>
            <w:r>
              <w:rPr>
                <w:rFonts w:ascii="Arial" w:cs="Arial" w:eastAsia="Arial" w:hAnsi="Arial"/>
                <w:sz w:val="18"/>
                <w:szCs w:val="18"/>
                <w:color w:val="auto"/>
              </w:rPr>
              <w:t>Fourth Quarter</w:t>
            </w:r>
          </w:p>
        </w:tc>
        <w:tc>
          <w:tcPr>
            <w:tcW w:w="1880" w:type="dxa"/>
            <w:vAlign w:val="bottom"/>
            <w:gridSpan w:val="2"/>
          </w:tcPr>
          <w:p>
            <w:pPr>
              <w:jc w:val="right"/>
              <w:ind w:right="240"/>
              <w:spacing w:after="0"/>
              <w:rPr>
                <w:sz w:val="20"/>
                <w:szCs w:val="20"/>
                <w:color w:val="auto"/>
              </w:rPr>
            </w:pPr>
            <w:r>
              <w:rPr>
                <w:rFonts w:ascii="Arial" w:cs="Arial" w:eastAsia="Arial" w:hAnsi="Arial"/>
                <w:sz w:val="18"/>
                <w:szCs w:val="18"/>
                <w:color w:val="auto"/>
              </w:rPr>
              <w:t>Fiscal Year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Fiscal 2014 gross margin</w:t>
            </w:r>
          </w:p>
        </w:tc>
        <w:tc>
          <w:tcPr>
            <w:tcW w:w="23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47.9%</w:t>
            </w:r>
          </w:p>
        </w:tc>
        <w:tc>
          <w:tcPr>
            <w:tcW w:w="1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Merchandise margin</w:t>
            </w:r>
          </w:p>
        </w:tc>
        <w:tc>
          <w:tcPr>
            <w:tcW w:w="2340" w:type="dxa"/>
            <w:vAlign w:val="bottom"/>
            <w:gridSpan w:val="2"/>
          </w:tcPr>
          <w:p>
            <w:pPr>
              <w:jc w:val="right"/>
              <w:ind w:right="280"/>
              <w:spacing w:after="0"/>
              <w:rPr>
                <w:sz w:val="20"/>
                <w:szCs w:val="20"/>
                <w:color w:val="auto"/>
              </w:rPr>
            </w:pPr>
            <w:r>
              <w:rPr>
                <w:rFonts w:ascii="Arial" w:cs="Arial" w:eastAsia="Arial" w:hAnsi="Arial"/>
                <w:sz w:val="18"/>
                <w:szCs w:val="18"/>
                <w:color w:val="auto"/>
              </w:rPr>
              <w:t>(0.1)%</w:t>
            </w:r>
          </w:p>
        </w:tc>
        <w:tc>
          <w:tcPr>
            <w:tcW w:w="1880" w:type="dxa"/>
            <w:vAlign w:val="bottom"/>
            <w:gridSpan w:val="2"/>
          </w:tcPr>
          <w:p>
            <w:pPr>
              <w:jc w:val="right"/>
              <w:ind w:right="8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Occupancy costs</w:t>
            </w:r>
          </w:p>
        </w:tc>
        <w:tc>
          <w:tcPr>
            <w:tcW w:w="23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0.1%</w:t>
            </w:r>
          </w:p>
        </w:tc>
        <w:tc>
          <w:tcPr>
            <w:tcW w:w="1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Lease exit payment received in 2014</w:t>
            </w:r>
          </w:p>
        </w:tc>
        <w:tc>
          <w:tcPr>
            <w:tcW w:w="2340" w:type="dxa"/>
            <w:vAlign w:val="bottom"/>
            <w:gridSpan w:val="2"/>
          </w:tcPr>
          <w:p>
            <w:pPr>
              <w:jc w:val="right"/>
              <w:ind w:right="280"/>
              <w:spacing w:after="0"/>
              <w:rPr>
                <w:sz w:val="20"/>
                <w:szCs w:val="20"/>
                <w:color w:val="auto"/>
              </w:rPr>
            </w:pPr>
            <w:r>
              <w:rPr>
                <w:rFonts w:ascii="Arial" w:cs="Arial" w:eastAsia="Arial" w:hAnsi="Arial"/>
                <w:sz w:val="18"/>
                <w:szCs w:val="18"/>
                <w:color w:val="auto"/>
              </w:rPr>
              <w:t>(2.1)%</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Fiscal 2015 gross margin</w:t>
            </w:r>
          </w:p>
        </w:tc>
        <w:tc>
          <w:tcPr>
            <w:tcW w:w="1860" w:type="dxa"/>
            <w:vAlign w:val="bottom"/>
            <w:shd w:val="clear" w:color="auto" w:fill="000000"/>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vMerge w:val="continue"/>
            <w:shd w:val="clear" w:color="auto" w:fill="CFF0FC"/>
          </w:tcPr>
          <w:p>
            <w:pPr>
              <w:spacing w:after="0"/>
              <w:rPr>
                <w:sz w:val="19"/>
                <w:szCs w:val="19"/>
                <w:color w:val="auto"/>
              </w:rPr>
            </w:pPr>
          </w:p>
        </w:tc>
        <w:tc>
          <w:tcPr>
            <w:tcW w:w="23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45.8%</w:t>
            </w:r>
          </w:p>
        </w:tc>
        <w:tc>
          <w:tcPr>
            <w:tcW w:w="1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bl>
    <w:p>
      <w:pPr>
        <w:spacing w:after="0" w:line="199"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For the fourth quarter of fiscal 2015, gross margin, inclusive of occupancy costs, was 45.8%, compared with 47.9% for the fourth quarter of fiscal 2014. The decrease is due to a one-time, $2.5 million payment that we received in the fourth quarter of 2014 to exit a lease agreement early. Excluding this receipt, gross margin for the fourth quarter of fiscal 2015 was flat to the prior year, with a 10-basis-point improvement in occupancy costs offset by a 10-basis-point decrease in merchandise margin.</w:t>
      </w:r>
    </w:p>
    <w:p>
      <w:pPr>
        <w:spacing w:after="0" w:line="110" w:lineRule="exact"/>
        <w:rPr>
          <w:sz w:val="20"/>
          <w:szCs w:val="20"/>
          <w:color w:val="auto"/>
        </w:rPr>
      </w:pPr>
    </w:p>
    <w:p>
      <w:pPr>
        <w:spacing w:after="0" w:line="291" w:lineRule="auto"/>
        <w:rPr>
          <w:sz w:val="20"/>
          <w:szCs w:val="20"/>
          <w:color w:val="auto"/>
        </w:rPr>
      </w:pPr>
      <w:r>
        <w:rPr>
          <w:rFonts w:ascii="Arial" w:cs="Arial" w:eastAsia="Arial" w:hAnsi="Arial"/>
          <w:sz w:val="18"/>
          <w:szCs w:val="18"/>
          <w:color w:val="auto"/>
        </w:rPr>
        <w:t>For the fiscal year, gross margin was 46.1%, compared with 45.9% for fiscal 2014. The $2.5 million lease payment received last year had a 60-basis-point benefit to the prior year’s full year margin. Excluding this receipt, gross margin improved 80-basis-points in fiscal 2015 as compared with fiscal 2014. Merchandise margin increased 40-basis-points and occupancy costs improved 40-basis-points. The</w:t>
      </w:r>
    </w:p>
    <w:p>
      <w:pPr>
        <w:spacing w:after="0" w:line="152"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2" w:right="319" w:bottom="1440" w:gutter="0" w:footer="0" w:header="0"/>
        </w:sectPr>
      </w:pPr>
    </w:p>
    <w:bookmarkStart w:id="5" w:name="page6"/>
    <w:bookmarkEnd w:id="5"/>
    <w:p>
      <w:pPr>
        <w:ind w:right="240"/>
        <w:spacing w:after="0" w:line="288" w:lineRule="auto"/>
        <w:rPr>
          <w:sz w:val="20"/>
          <w:szCs w:val="20"/>
          <w:color w:val="auto"/>
        </w:rPr>
      </w:pPr>
      <w:r>
        <w:rPr>
          <w:rFonts w:ascii="Arial" w:cs="Arial" w:eastAsia="Arial" w:hAnsi="Arial"/>
          <w:sz w:val="19"/>
          <w:szCs w:val="19"/>
          <w:color w:val="auto"/>
        </w:rPr>
        <w:t>increase in merchandise margins is the result of strong initial margins and fewer promotional activities and markdowns. The 40-basis-point improvement in occupancy costs was the result of the increase in sales and the introduction of the smaller DXL format.</w:t>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Selling, General &amp; Administrative</w:t>
      </w:r>
    </w:p>
    <w:p>
      <w:pPr>
        <w:spacing w:after="0" w:line="135" w:lineRule="exact"/>
        <w:rPr>
          <w:sz w:val="20"/>
          <w:szCs w:val="20"/>
          <w:color w:val="auto"/>
        </w:rPr>
      </w:pPr>
    </w:p>
    <w:p>
      <w:pPr>
        <w:ind w:right="340"/>
        <w:spacing w:after="0" w:line="244" w:lineRule="auto"/>
        <w:rPr>
          <w:sz w:val="20"/>
          <w:szCs w:val="20"/>
          <w:color w:val="auto"/>
        </w:rPr>
      </w:pPr>
      <w:r>
        <w:rPr>
          <w:rFonts w:ascii="Arial" w:cs="Arial" w:eastAsia="Arial" w:hAnsi="Arial"/>
          <w:sz w:val="20"/>
          <w:szCs w:val="20"/>
          <w:color w:val="auto"/>
        </w:rPr>
        <w:t>SG&amp;A expenses for the fourth quarter of fiscal 2015 were 40.0% of sales, compared with 40.3% in the fourth quarter of fiscal 2014. On a dollar basis, SG&amp;A expense increased $1.4 million from the same quarter a year ago. The increase for the fourth quarter was due to store payroll and supporting costs to support DXL store growth, as well as a $1.4 million charge for performance-based incentive accruals. The results include DXL transition costs of approximately $0.6 million and $1.2 million for the fourth quarter of fiscal 2015 and fiscal 2014, respectively.</w:t>
      </w:r>
    </w:p>
    <w:p>
      <w:pPr>
        <w:spacing w:after="0" w:line="127"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SG&amp;A expenses for fiscal 2015 were 40.8% of sales, compared with 42.2% for fiscal 2014. On a dollar basis, SG&amp;A expenses for fiscal 2015 increased $5.8 million to $180.6 million, compared with SG&amp;A expenses of $174.8 million in fiscal 2014. The increase in SG&amp;A expenses was principally due to a greater number of DXL stores open in fiscal 2015 compared with fiscal 2014. Also contributing was an increase in performance-based incentive accruals and other corporate costs, partially offset by a decrease in marketing costs compared with fiscal 2014.</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EBITDA from Continuing Operations</w:t>
      </w:r>
    </w:p>
    <w:p>
      <w:pPr>
        <w:spacing w:after="0" w:line="108" w:lineRule="exact"/>
        <w:rPr>
          <w:sz w:val="20"/>
          <w:szCs w:val="20"/>
          <w:color w:val="auto"/>
        </w:rPr>
      </w:pPr>
    </w:p>
    <w:p>
      <w:pPr>
        <w:ind w:right="280"/>
        <w:spacing w:after="0" w:line="260" w:lineRule="auto"/>
        <w:rPr>
          <w:sz w:val="20"/>
          <w:szCs w:val="20"/>
          <w:color w:val="auto"/>
        </w:rPr>
      </w:pPr>
      <w:r>
        <w:rPr>
          <w:rFonts w:ascii="Arial" w:cs="Arial" w:eastAsia="Arial" w:hAnsi="Arial"/>
          <w:sz w:val="20"/>
          <w:szCs w:val="20"/>
          <w:color w:val="auto"/>
        </w:rPr>
        <w:t>Earnings before interest, taxes, depreciation and amortization (EBITDA) from continuing operations, a non-GAAP measure, for the fourth quarter of fiscal 2015 were $7.3 million, compared with $9.1 million for the fourth quarter of fiscal 2014.</w:t>
      </w:r>
    </w:p>
    <w:p>
      <w:pPr>
        <w:spacing w:after="0" w:line="96" w:lineRule="exact"/>
        <w:rPr>
          <w:sz w:val="20"/>
          <w:szCs w:val="20"/>
          <w:color w:val="auto"/>
        </w:rPr>
      </w:pPr>
    </w:p>
    <w:p>
      <w:pPr>
        <w:spacing w:after="0"/>
        <w:rPr>
          <w:sz w:val="20"/>
          <w:szCs w:val="20"/>
          <w:color w:val="auto"/>
        </w:rPr>
      </w:pPr>
      <w:r>
        <w:rPr>
          <w:rFonts w:ascii="Arial" w:cs="Arial" w:eastAsia="Arial" w:hAnsi="Arial"/>
          <w:sz w:val="19"/>
          <w:szCs w:val="19"/>
          <w:color w:val="auto"/>
        </w:rPr>
        <w:t>For the 2015 fiscal year, EBITDA from continuing operations increased $8.1 million to $23.3 million from $15.2 million for fiscal 2014.</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Net Loss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Net loss for the fourth quarter of fiscal 2015 was $(1.4) million, or $(0.03) per diluted share, compared with net income of $1.6 million, or</w:t>
      </w:r>
    </w:p>
    <w:p>
      <w:pPr>
        <w:spacing w:after="0" w:line="39"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$0.03 per diluted share, for the fourth quarter of fiscal 2014. On a non-GAAP basis, assuming a normalized tax rate of 40%, adjusted net loss for the fourth quarter of fiscal 2015 was $(0.02) per diluted share, compared with adjusted net income of $0.02 per diluted share for the fourth quarter of fiscal 2014. Included in net income for the fourth quarter of fiscal 2014 is the $2.5 million, or $0.05 per diluted share, received for the one-time early lease exit. In addition, the fourth quarter of fiscal 2015 includes an accrual of $1.4 million, or ($0.03) per diluted share, for the probable payout, on a pro-rata basis, of the achievement of performance targets under the long-term incentive wrap-around plan.</w:t>
      </w:r>
    </w:p>
    <w:p>
      <w:pPr>
        <w:spacing w:after="0" w:line="85"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The net loss for fiscal 2015 was $(8.4) million, or $(0.17) per diluted share, compared with a net loss of $(12.3) million, or $(0.25) per diluted share, for fiscal 2014. On a non-GAAP basis, assuming a normal tax rate for fiscal 2015 and fiscal 2014, the adjusted loss from continuing operations was $(0.10) per share for fiscal 2015, compared with $(0.13) per share for fiscal 2014.</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Cash Flow</w:t>
      </w:r>
    </w:p>
    <w:p>
      <w:pPr>
        <w:spacing w:after="0" w:line="216"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121" w:right="399" w:bottom="1440" w:gutter="0" w:footer="0" w:header="0"/>
        </w:sectPr>
      </w:pPr>
    </w:p>
    <w:bookmarkStart w:id="6" w:name="page7"/>
    <w:bookmarkEnd w:id="6"/>
    <w:p>
      <w:pPr>
        <w:ind w:right="20"/>
        <w:spacing w:after="0" w:line="247" w:lineRule="auto"/>
        <w:rPr>
          <w:sz w:val="20"/>
          <w:szCs w:val="20"/>
          <w:color w:val="auto"/>
        </w:rPr>
      </w:pPr>
      <w:r>
        <w:rPr>
          <w:rFonts w:ascii="Arial" w:cs="Arial" w:eastAsia="Arial" w:hAnsi="Arial"/>
          <w:sz w:val="20"/>
          <w:szCs w:val="20"/>
          <w:color w:val="auto"/>
        </w:rPr>
        <w:t>Cash Flow from operations for fiscal 2015 was $18.4 million, compared with $13.8 million for fiscal 2014. Capital expenditures for fiscal 2015 of $33.4 million consisted of $20.1 million for new DXL stores and $13.3 million for infrastructure projects. Capital expenditures for fiscal 2014 of $40.9 million consisted of $30.4 million for new DXL stores and $10.5 million for infrastructure projects. Free cash flow, before DXL capital expenditures, increased from $3.3 million in fiscal 2014 to $5.1 million in fiscal 2015.</w:t>
      </w:r>
    </w:p>
    <w:p>
      <w:pPr>
        <w:spacing w:after="0" w:line="200" w:lineRule="exact"/>
        <w:rPr>
          <w:sz w:val="20"/>
          <w:szCs w:val="20"/>
          <w:color w:val="auto"/>
        </w:rPr>
      </w:pPr>
    </w:p>
    <w:p>
      <w:pPr>
        <w:spacing w:after="0" w:line="217" w:lineRule="exact"/>
        <w:rPr>
          <w:sz w:val="20"/>
          <w:szCs w:val="20"/>
          <w:color w:val="auto"/>
        </w:rPr>
      </w:pPr>
    </w:p>
    <w:tbl>
      <w:tblPr>
        <w:tblLayout w:type="fixed"/>
        <w:tblInd w:w="1120" w:type="dxa"/>
        <w:tblCellMar>
          <w:top w:w="0" w:type="dxa"/>
          <w:left w:w="0" w:type="dxa"/>
          <w:bottom w:w="0" w:type="dxa"/>
          <w:right w:w="0" w:type="dxa"/>
        </w:tblCellMar>
      </w:tblPr>
      <w:tr>
        <w:trPr>
          <w:trHeight w:val="167"/>
        </w:trPr>
        <w:tc>
          <w:tcPr>
            <w:tcW w:w="522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Pr>
          <w:p>
            <w:pPr>
              <w:spacing w:after="0"/>
              <w:rPr>
                <w:sz w:val="14"/>
                <w:szCs w:val="14"/>
                <w:color w:val="auto"/>
              </w:rPr>
            </w:pPr>
          </w:p>
        </w:tc>
        <w:tc>
          <w:tcPr>
            <w:tcW w:w="1740" w:type="dxa"/>
            <w:vAlign w:val="bottom"/>
            <w:gridSpan w:val="2"/>
          </w:tcPr>
          <w:p>
            <w:pPr>
              <w:jc w:val="right"/>
              <w:ind w:right="840"/>
              <w:spacing w:after="0"/>
              <w:rPr>
                <w:sz w:val="20"/>
                <w:szCs w:val="20"/>
                <w:color w:val="auto"/>
              </w:rPr>
            </w:pPr>
            <w:r>
              <w:rPr>
                <w:rFonts w:ascii="Arial" w:cs="Arial" w:eastAsia="Arial" w:hAnsi="Arial"/>
                <w:sz w:val="14"/>
                <w:szCs w:val="14"/>
                <w:color w:val="auto"/>
              </w:rPr>
              <w:t>Fiscal 2015</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2"/>
          </w:tcPr>
          <w:p>
            <w:pPr>
              <w:jc w:val="right"/>
              <w:ind w:right="680"/>
              <w:spacing w:after="0"/>
              <w:rPr>
                <w:sz w:val="20"/>
                <w:szCs w:val="20"/>
                <w:color w:val="auto"/>
              </w:rPr>
            </w:pPr>
            <w:r>
              <w:rPr>
                <w:rFonts w:ascii="Arial" w:cs="Arial" w:eastAsia="Arial" w:hAnsi="Arial"/>
                <w:sz w:val="14"/>
                <w:szCs w:val="14"/>
                <w:color w:val="auto"/>
              </w:rPr>
              <w:t>Fiscal 2014</w:t>
            </w:r>
          </w:p>
        </w:tc>
      </w:tr>
      <w:tr>
        <w:trPr>
          <w:trHeight w:val="207"/>
        </w:trPr>
        <w:tc>
          <w:tcPr>
            <w:tcW w:w="5220" w:type="dxa"/>
            <w:vAlign w:val="bottom"/>
          </w:tcPr>
          <w:p>
            <w:pPr>
              <w:spacing w:after="0"/>
              <w:rPr>
                <w:sz w:val="20"/>
                <w:szCs w:val="20"/>
                <w:color w:val="auto"/>
              </w:rPr>
            </w:pPr>
            <w:r>
              <w:rPr>
                <w:rFonts w:ascii="Arial" w:cs="Arial" w:eastAsia="Arial" w:hAnsi="Arial"/>
                <w:sz w:val="16"/>
                <w:szCs w:val="16"/>
                <w:b w:val="1"/>
                <w:bCs w:val="1"/>
                <w:color w:val="auto"/>
              </w:rPr>
              <w:t>Cash flow from operating activities (GAAP basis)</w:t>
            </w:r>
          </w:p>
        </w:tc>
        <w:tc>
          <w:tcPr>
            <w:tcW w:w="320" w:type="dxa"/>
            <w:vAlign w:val="bottom"/>
            <w:tcBorders>
              <w:top w:val="single" w:sz="8" w:color="auto"/>
            </w:tcBorders>
          </w:tcPr>
          <w:p>
            <w:pPr>
              <w:jc w:val="right"/>
              <w:ind w:right="164"/>
              <w:spacing w:after="0"/>
              <w:rPr>
                <w:sz w:val="20"/>
                <w:szCs w:val="20"/>
                <w:color w:val="auto"/>
              </w:rPr>
            </w:pPr>
            <w:r>
              <w:rPr>
                <w:rFonts w:ascii="Arial" w:cs="Arial" w:eastAsia="Arial" w:hAnsi="Arial"/>
                <w:sz w:val="15"/>
                <w:szCs w:val="15"/>
                <w:b w:val="1"/>
                <w:bCs w:val="1"/>
                <w:color w:val="auto"/>
                <w:w w:val="71"/>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18.4</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top w:val="single" w:sz="8" w:color="auto"/>
            </w:tcBorders>
          </w:tcPr>
          <w:p>
            <w:pPr>
              <w:jc w:val="right"/>
              <w:ind w:right="189"/>
              <w:spacing w:after="0"/>
              <w:rPr>
                <w:sz w:val="20"/>
                <w:szCs w:val="20"/>
                <w:color w:val="auto"/>
              </w:rPr>
            </w:pPr>
            <w:r>
              <w:rPr>
                <w:rFonts w:ascii="Arial" w:cs="Arial" w:eastAsia="Arial" w:hAnsi="Arial"/>
                <w:sz w:val="10"/>
                <w:szCs w:val="10"/>
                <w:b w:val="1"/>
                <w:bCs w:val="1"/>
                <w:color w:val="auto"/>
                <w:w w:val="71"/>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13.8</w:t>
            </w:r>
          </w:p>
        </w:tc>
        <w:tc>
          <w:tcPr>
            <w:tcW w:w="100" w:type="dxa"/>
            <w:vAlign w:val="bottom"/>
          </w:tcPr>
          <w:p>
            <w:pPr>
              <w:spacing w:after="0"/>
              <w:rPr>
                <w:sz w:val="17"/>
                <w:szCs w:val="17"/>
                <w:color w:val="auto"/>
              </w:rPr>
            </w:pPr>
          </w:p>
        </w:tc>
      </w:tr>
      <w:tr>
        <w:trPr>
          <w:trHeight w:val="232"/>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Capital expenditures, infrastructure projects</w:t>
            </w:r>
          </w:p>
        </w:tc>
        <w:tc>
          <w:tcPr>
            <w:tcW w:w="320" w:type="dxa"/>
            <w:vAlign w:val="bottom"/>
            <w:shd w:val="clear" w:color="auto" w:fill="CFF0FC"/>
          </w:tcPr>
          <w:p>
            <w:pPr>
              <w:spacing w:after="0"/>
              <w:rPr>
                <w:sz w:val="20"/>
                <w:szCs w:val="20"/>
                <w:color w:val="auto"/>
              </w:rPr>
            </w:pPr>
          </w:p>
        </w:tc>
        <w:tc>
          <w:tcPr>
            <w:tcW w:w="17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(13.3)</w:t>
            </w:r>
          </w:p>
        </w:tc>
        <w:tc>
          <w:tcPr>
            <w:tcW w:w="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(10.5)</w:t>
            </w:r>
          </w:p>
        </w:tc>
      </w:tr>
      <w:tr>
        <w:trPr>
          <w:trHeight w:val="207"/>
        </w:trPr>
        <w:tc>
          <w:tcPr>
            <w:tcW w:w="5220" w:type="dxa"/>
            <w:vAlign w:val="bottom"/>
          </w:tcPr>
          <w:p>
            <w:pPr>
              <w:ind w:left="160"/>
              <w:spacing w:after="0"/>
              <w:rPr>
                <w:sz w:val="20"/>
                <w:szCs w:val="20"/>
                <w:color w:val="auto"/>
              </w:rPr>
            </w:pPr>
            <w:r>
              <w:rPr>
                <w:rFonts w:ascii="Arial" w:cs="Arial" w:eastAsia="Arial" w:hAnsi="Arial"/>
                <w:sz w:val="16"/>
                <w:szCs w:val="16"/>
                <w:b w:val="1"/>
                <w:bCs w:val="1"/>
                <w:color w:val="auto"/>
              </w:rPr>
              <w:t>Free Cash Flow before DXL capital expenditures</w:t>
            </w:r>
          </w:p>
        </w:tc>
        <w:tc>
          <w:tcPr>
            <w:tcW w:w="320" w:type="dxa"/>
            <w:vAlign w:val="bottom"/>
            <w:tcBorders>
              <w:top w:val="single" w:sz="8" w:color="auto"/>
            </w:tcBorders>
          </w:tcPr>
          <w:p>
            <w:pPr>
              <w:jc w:val="right"/>
              <w:ind w:right="164"/>
              <w:spacing w:after="0"/>
              <w:rPr>
                <w:sz w:val="20"/>
                <w:szCs w:val="20"/>
                <w:color w:val="auto"/>
              </w:rPr>
            </w:pPr>
            <w:r>
              <w:rPr>
                <w:rFonts w:ascii="Arial" w:cs="Arial" w:eastAsia="Arial" w:hAnsi="Arial"/>
                <w:sz w:val="15"/>
                <w:szCs w:val="15"/>
                <w:b w:val="1"/>
                <w:bCs w:val="1"/>
                <w:color w:val="auto"/>
                <w:w w:val="71"/>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5.1</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top w:val="single" w:sz="8" w:color="auto"/>
            </w:tcBorders>
          </w:tcPr>
          <w:p>
            <w:pPr>
              <w:jc w:val="right"/>
              <w:ind w:right="189"/>
              <w:spacing w:after="0"/>
              <w:rPr>
                <w:sz w:val="20"/>
                <w:szCs w:val="20"/>
                <w:color w:val="auto"/>
              </w:rPr>
            </w:pPr>
            <w:r>
              <w:rPr>
                <w:rFonts w:ascii="Arial" w:cs="Arial" w:eastAsia="Arial" w:hAnsi="Arial"/>
                <w:sz w:val="10"/>
                <w:szCs w:val="10"/>
                <w:b w:val="1"/>
                <w:bCs w:val="1"/>
                <w:color w:val="auto"/>
                <w:w w:val="71"/>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3.3</w:t>
            </w:r>
          </w:p>
        </w:tc>
        <w:tc>
          <w:tcPr>
            <w:tcW w:w="100" w:type="dxa"/>
            <w:vAlign w:val="bottom"/>
          </w:tcPr>
          <w:p>
            <w:pPr>
              <w:spacing w:after="0"/>
              <w:rPr>
                <w:sz w:val="17"/>
                <w:szCs w:val="17"/>
                <w:color w:val="auto"/>
              </w:rPr>
            </w:pPr>
          </w:p>
        </w:tc>
      </w:tr>
      <w:tr>
        <w:trPr>
          <w:trHeight w:val="232"/>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Capital expenditures for DXL stores</w:t>
            </w:r>
          </w:p>
        </w:tc>
        <w:tc>
          <w:tcPr>
            <w:tcW w:w="320" w:type="dxa"/>
            <w:vAlign w:val="bottom"/>
            <w:shd w:val="clear" w:color="auto" w:fill="CFF0FC"/>
          </w:tcPr>
          <w:p>
            <w:pPr>
              <w:spacing w:after="0"/>
              <w:rPr>
                <w:sz w:val="20"/>
                <w:szCs w:val="20"/>
                <w:color w:val="auto"/>
              </w:rPr>
            </w:pPr>
          </w:p>
        </w:tc>
        <w:tc>
          <w:tcPr>
            <w:tcW w:w="17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(20.1)</w:t>
            </w:r>
          </w:p>
        </w:tc>
        <w:tc>
          <w:tcPr>
            <w:tcW w:w="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(30.4)</w:t>
            </w:r>
          </w:p>
        </w:tc>
      </w:tr>
      <w:tr>
        <w:trPr>
          <w:trHeight w:val="207"/>
        </w:trPr>
        <w:tc>
          <w:tcPr>
            <w:tcW w:w="5220" w:type="dxa"/>
            <w:vAlign w:val="bottom"/>
          </w:tcPr>
          <w:p>
            <w:pPr>
              <w:ind w:left="160"/>
              <w:spacing w:after="0"/>
              <w:rPr>
                <w:sz w:val="20"/>
                <w:szCs w:val="20"/>
                <w:color w:val="auto"/>
              </w:rPr>
            </w:pPr>
            <w:r>
              <w:rPr>
                <w:rFonts w:ascii="Arial" w:cs="Arial" w:eastAsia="Arial" w:hAnsi="Arial"/>
                <w:sz w:val="16"/>
                <w:szCs w:val="16"/>
                <w:b w:val="1"/>
                <w:bCs w:val="1"/>
                <w:color w:val="auto"/>
              </w:rPr>
              <w:t>Free Cash Flow (non-GAAP basis)</w:t>
            </w:r>
          </w:p>
        </w:tc>
        <w:tc>
          <w:tcPr>
            <w:tcW w:w="320" w:type="dxa"/>
            <w:vAlign w:val="bottom"/>
            <w:tcBorders>
              <w:top w:val="single" w:sz="8" w:color="auto"/>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(15.0)</w:t>
            </w:r>
          </w:p>
        </w:tc>
        <w:tc>
          <w:tcPr>
            <w:tcW w:w="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0"/>
                <w:szCs w:val="10"/>
                <w:b w:val="1"/>
                <w:bCs w:val="1"/>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(27.1)</w:t>
            </w:r>
          </w:p>
        </w:tc>
        <w:tc>
          <w:tcPr>
            <w:tcW w:w="100" w:type="dxa"/>
            <w:vAlign w:val="bottom"/>
          </w:tcPr>
          <w:p>
            <w:pPr>
              <w:spacing w:after="0"/>
              <w:rPr>
                <w:sz w:val="17"/>
                <w:szCs w:val="17"/>
                <w:color w:val="auto"/>
              </w:rPr>
            </w:pPr>
          </w:p>
        </w:tc>
      </w:tr>
      <w:tr>
        <w:trPr>
          <w:trHeight w:val="20"/>
        </w:trPr>
        <w:tc>
          <w:tcPr>
            <w:tcW w:w="5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color w:val="auto"/>
        </w:rPr>
        <w:t>Capital expenditures on all new DXL stores are subject to demanding ROIC (“Return on Invested Capital”) hurdles. The achievement of these hurdles has been a significant contributor to our continued improvement in EBITDA. We believe free cash flow before DXL capital expenditures is an important metric, because it demonstrates our ability to strengthen liquidity while also contributing to the funding of our DXL store growth.</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Non-GAAP measures</w:t>
      </w:r>
    </w:p>
    <w:p>
      <w:pPr>
        <w:spacing w:after="0" w:line="148" w:lineRule="exact"/>
        <w:rPr>
          <w:sz w:val="20"/>
          <w:szCs w:val="20"/>
          <w:color w:val="auto"/>
        </w:rPr>
      </w:pPr>
    </w:p>
    <w:p>
      <w:pPr>
        <w:jc w:val="both"/>
        <w:ind w:right="280"/>
        <w:spacing w:after="0" w:line="250" w:lineRule="auto"/>
        <w:rPr>
          <w:sz w:val="20"/>
          <w:szCs w:val="20"/>
          <w:color w:val="auto"/>
        </w:rPr>
      </w:pPr>
      <w:r>
        <w:rPr>
          <w:rFonts w:ascii="Arial" w:cs="Arial" w:eastAsia="Arial" w:hAnsi="Arial"/>
          <w:sz w:val="20"/>
          <w:szCs w:val="20"/>
          <w:color w:val="auto"/>
        </w:rPr>
        <w:t>EBITDA from continuing operations, adjusted net income (loss) per share and free cash flow are non-GAAP financial measures. Please see “Non-GAAP Measures” below and a reconciliation of these non-GAAP measures to the comparable GAAP measures that follows the tables below.</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Balance Sheet &amp; Liquidity</w:t>
      </w:r>
    </w:p>
    <w:p>
      <w:pPr>
        <w:spacing w:after="0" w:line="135" w:lineRule="exact"/>
        <w:rPr>
          <w:sz w:val="20"/>
          <w:szCs w:val="20"/>
          <w:color w:val="auto"/>
        </w:rPr>
      </w:pPr>
    </w:p>
    <w:p>
      <w:pPr>
        <w:ind w:right="100"/>
        <w:spacing w:after="0" w:line="246" w:lineRule="auto"/>
        <w:rPr>
          <w:sz w:val="20"/>
          <w:szCs w:val="20"/>
          <w:color w:val="auto"/>
        </w:rPr>
      </w:pPr>
      <w:r>
        <w:rPr>
          <w:rFonts w:ascii="Arial" w:cs="Arial" w:eastAsia="Arial" w:hAnsi="Arial"/>
          <w:sz w:val="20"/>
          <w:szCs w:val="20"/>
          <w:color w:val="auto"/>
        </w:rPr>
        <w:t>At January 30, 2016, the Company had cash and cash equivalents of $5.2 million. Total debt at January 30, 2016 was $68.1 million. Total debt consisted of $42.0 million outstanding under the Company’s credit facility, net of unamortized debt issuance costs, and $26.1 million outstanding under its term loan and equipment financing notes, net of unamortized debt issuance costs. At January 30, 2016, the Company had $66.0 million of excess availability under its credit facility.</w:t>
      </w:r>
    </w:p>
    <w:p>
      <w:pPr>
        <w:spacing w:after="0" w:line="124"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Inventory was $125.0 million at January 30, 2016, compared with $115.2 million at January 31, 2015. The increase in inventory over last year’s fourth quarter was due to an increase in total store square footage, as well as a concerted effort to accelerate the receipt of spring merchandise to improve stores’ in-stock position at the start of the spring selling season. Clearance inventory represented 8.1% of total inventory for the fourth quarter of 2015, compared with 8.4% of total inventory for the fourth quarter of 2014.</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Retail Store Information</w:t>
      </w:r>
    </w:p>
    <w:p>
      <w:pPr>
        <w:spacing w:after="0" w:line="141" w:lineRule="exact"/>
        <w:rPr>
          <w:sz w:val="20"/>
          <w:szCs w:val="20"/>
          <w:color w:val="auto"/>
        </w:rPr>
      </w:pPr>
    </w:p>
    <w:p>
      <w:pPr>
        <w:ind w:right="560"/>
        <w:spacing w:after="0" w:line="260" w:lineRule="auto"/>
        <w:rPr>
          <w:sz w:val="20"/>
          <w:szCs w:val="20"/>
          <w:color w:val="auto"/>
        </w:rPr>
      </w:pPr>
      <w:r>
        <w:rPr>
          <w:rFonts w:ascii="Arial" w:cs="Arial" w:eastAsia="Arial" w:hAnsi="Arial"/>
          <w:sz w:val="20"/>
          <w:szCs w:val="20"/>
          <w:color w:val="auto"/>
        </w:rPr>
        <w:t>For fiscal 2015, the Company opened 36 new DXL stores, which included 7 outlets. The following is a summary of the store count, with respective square footage by store concept: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2240" w:type="dxa"/>
            <w:vAlign w:val="bottom"/>
          </w:tcPr>
          <w:p>
            <w:pPr>
              <w:spacing w:after="0"/>
              <w:rPr>
                <w:sz w:val="20"/>
                <w:szCs w:val="20"/>
                <w:color w:val="auto"/>
              </w:rPr>
            </w:pPr>
          </w:p>
        </w:tc>
        <w:tc>
          <w:tcPr>
            <w:tcW w:w="2260" w:type="dxa"/>
            <w:vAlign w:val="bottom"/>
            <w:gridSpan w:val="5"/>
          </w:tcPr>
          <w:p>
            <w:pPr>
              <w:ind w:left="540"/>
              <w:spacing w:after="0"/>
              <w:rPr>
                <w:sz w:val="20"/>
                <w:szCs w:val="20"/>
                <w:color w:val="auto"/>
              </w:rPr>
            </w:pPr>
            <w:r>
              <w:rPr>
                <w:rFonts w:ascii="Arial" w:cs="Arial" w:eastAsia="Arial" w:hAnsi="Arial"/>
                <w:sz w:val="18"/>
                <w:szCs w:val="18"/>
                <w:color w:val="auto"/>
              </w:rPr>
              <w:t>Year End 2013</w:t>
            </w:r>
          </w:p>
        </w:tc>
        <w:tc>
          <w:tcPr>
            <w:tcW w:w="2300" w:type="dxa"/>
            <w:vAlign w:val="bottom"/>
            <w:gridSpan w:val="3"/>
          </w:tcPr>
          <w:p>
            <w:pPr>
              <w:ind w:left="560"/>
              <w:spacing w:after="0"/>
              <w:rPr>
                <w:sz w:val="20"/>
                <w:szCs w:val="20"/>
                <w:color w:val="auto"/>
              </w:rPr>
            </w:pPr>
            <w:r>
              <w:rPr>
                <w:rFonts w:ascii="Arial" w:cs="Arial" w:eastAsia="Arial" w:hAnsi="Arial"/>
                <w:sz w:val="18"/>
                <w:szCs w:val="18"/>
                <w:color w:val="auto"/>
              </w:rPr>
              <w:t>Year End 2014</w:t>
            </w:r>
          </w:p>
        </w:tc>
        <w:tc>
          <w:tcPr>
            <w:tcW w:w="2300" w:type="dxa"/>
            <w:vAlign w:val="bottom"/>
            <w:gridSpan w:val="4"/>
          </w:tcPr>
          <w:p>
            <w:pPr>
              <w:ind w:left="560"/>
              <w:spacing w:after="0"/>
              <w:rPr>
                <w:sz w:val="20"/>
                <w:szCs w:val="20"/>
                <w:color w:val="auto"/>
              </w:rPr>
            </w:pPr>
            <w:r>
              <w:rPr>
                <w:rFonts w:ascii="Arial" w:cs="Arial" w:eastAsia="Arial" w:hAnsi="Arial"/>
                <w:sz w:val="18"/>
                <w:szCs w:val="18"/>
                <w:color w:val="auto"/>
              </w:rPr>
              <w:t>Year End 2015</w:t>
            </w:r>
          </w:p>
        </w:tc>
        <w:tc>
          <w:tcPr>
            <w:tcW w:w="2320" w:type="dxa"/>
            <w:vAlign w:val="bottom"/>
            <w:gridSpan w:val="4"/>
          </w:tcPr>
          <w:p>
            <w:pPr>
              <w:ind w:left="500"/>
              <w:spacing w:after="0"/>
              <w:rPr>
                <w:sz w:val="20"/>
                <w:szCs w:val="20"/>
                <w:color w:val="auto"/>
              </w:rPr>
            </w:pPr>
            <w:r>
              <w:rPr>
                <w:rFonts w:ascii="Arial" w:cs="Arial" w:eastAsia="Arial" w:hAnsi="Arial"/>
                <w:sz w:val="18"/>
                <w:szCs w:val="18"/>
                <w:color w:val="auto"/>
              </w:rPr>
              <w:t>Year End 2016E</w:t>
            </w:r>
          </w:p>
        </w:tc>
      </w:tr>
      <w:tr>
        <w:trPr>
          <w:trHeight w:val="215"/>
        </w:trPr>
        <w:tc>
          <w:tcPr>
            <w:tcW w:w="2240" w:type="dxa"/>
            <w:vAlign w:val="bottom"/>
            <w:shd w:val="clear" w:color="auto" w:fill="CFF0FC"/>
          </w:tcPr>
          <w:p>
            <w:pPr>
              <w:spacing w:after="0"/>
              <w:rPr>
                <w:sz w:val="18"/>
                <w:szCs w:val="18"/>
                <w:color w:val="auto"/>
              </w:rPr>
            </w:pPr>
          </w:p>
        </w:tc>
        <w:tc>
          <w:tcPr>
            <w:tcW w:w="740" w:type="dxa"/>
            <w:vAlign w:val="bottom"/>
            <w:shd w:val="clear" w:color="auto" w:fill="CFF0FC"/>
          </w:tcPr>
          <w:p>
            <w:pPr>
              <w:jc w:val="center"/>
              <w:ind w:left="170"/>
              <w:spacing w:after="0"/>
              <w:rPr>
                <w:sz w:val="20"/>
                <w:szCs w:val="20"/>
                <w:color w:val="auto"/>
              </w:rPr>
            </w:pPr>
            <w:r>
              <w:rPr>
                <w:rFonts w:ascii="Arial" w:cs="Arial" w:eastAsia="Arial" w:hAnsi="Arial"/>
                <w:sz w:val="18"/>
                <w:szCs w:val="18"/>
                <w:color w:val="auto"/>
                <w:w w:val="93"/>
              </w:rPr>
              <w:t># of</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1"/>
              </w:rPr>
              <w:t>Sq Ft.</w:t>
            </w:r>
          </w:p>
        </w:tc>
        <w:tc>
          <w:tcPr>
            <w:tcW w:w="128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rPr>
              <w:t># of</w:t>
            </w:r>
          </w:p>
        </w:tc>
        <w:tc>
          <w:tcPr>
            <w:tcW w:w="102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87"/>
              </w:rPr>
              <w:t>Sq Ft.</w:t>
            </w:r>
          </w:p>
        </w:tc>
        <w:tc>
          <w:tcPr>
            <w:tcW w:w="114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3"/>
              </w:rPr>
              <w:t># of</w:t>
            </w:r>
          </w:p>
        </w:tc>
        <w:tc>
          <w:tcPr>
            <w:tcW w:w="116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1"/>
              </w:rPr>
              <w:t>Sq Ft.</w:t>
            </w:r>
          </w:p>
        </w:tc>
        <w:tc>
          <w:tcPr>
            <w:tcW w:w="114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9"/>
              </w:rPr>
              <w:t># of</w:t>
            </w:r>
          </w:p>
        </w:tc>
        <w:tc>
          <w:tcPr>
            <w:tcW w:w="118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7"/>
              </w:rPr>
              <w:t>Sq Ft.</w:t>
            </w:r>
          </w:p>
        </w:tc>
      </w:tr>
      <w:tr>
        <w:trPr>
          <w:trHeight w:val="230"/>
        </w:trPr>
        <w:tc>
          <w:tcPr>
            <w:tcW w:w="2240" w:type="dxa"/>
            <w:vAlign w:val="bottom"/>
            <w:shd w:val="clear" w:color="auto" w:fill="CFF0FC"/>
          </w:tcPr>
          <w:p>
            <w:pPr>
              <w:spacing w:after="0"/>
              <w:rPr>
                <w:sz w:val="20"/>
                <w:szCs w:val="20"/>
                <w:color w:val="auto"/>
              </w:rPr>
            </w:pPr>
          </w:p>
        </w:tc>
        <w:tc>
          <w:tcPr>
            <w:tcW w:w="740" w:type="dxa"/>
            <w:vAlign w:val="bottom"/>
            <w:shd w:val="clear" w:color="auto" w:fill="CFF0FC"/>
          </w:tcPr>
          <w:p>
            <w:pPr>
              <w:jc w:val="center"/>
              <w:ind w:left="170"/>
              <w:spacing w:after="0"/>
              <w:rPr>
                <w:sz w:val="20"/>
                <w:szCs w:val="20"/>
                <w:color w:val="auto"/>
              </w:rPr>
            </w:pPr>
            <w:r>
              <w:rPr>
                <w:rFonts w:ascii="Arial" w:cs="Arial" w:eastAsia="Arial" w:hAnsi="Arial"/>
                <w:sz w:val="18"/>
                <w:szCs w:val="18"/>
                <w:color w:val="auto"/>
                <w:w w:val="84"/>
              </w:rPr>
              <w:t>Stores</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4"/>
              </w:rPr>
              <w:t>(000’s)</w:t>
            </w:r>
          </w:p>
        </w:tc>
        <w:tc>
          <w:tcPr>
            <w:tcW w:w="12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rPr>
              <w:t>Stores</w:t>
            </w:r>
          </w:p>
        </w:tc>
        <w:tc>
          <w:tcPr>
            <w:tcW w:w="102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90"/>
              </w:rPr>
              <w:t>(000’s)</w:t>
            </w:r>
          </w:p>
        </w:tc>
        <w:tc>
          <w:tcPr>
            <w:tcW w:w="114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8"/>
              </w:rPr>
              <w:t>Stores</w:t>
            </w:r>
          </w:p>
        </w:tc>
        <w:tc>
          <w:tcPr>
            <w:tcW w:w="116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4"/>
              </w:rPr>
              <w:t>(000’s)</w:t>
            </w:r>
          </w:p>
        </w:tc>
        <w:tc>
          <w:tcPr>
            <w:tcW w:w="114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8"/>
              </w:rPr>
              <w:t>Stores</w:t>
            </w:r>
          </w:p>
        </w:tc>
        <w:tc>
          <w:tcPr>
            <w:tcW w:w="118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0"/>
              </w:rPr>
              <w:t>(000’s)</w:t>
            </w:r>
          </w:p>
        </w:tc>
      </w:tr>
      <w:tr>
        <w:trPr>
          <w:trHeight w:val="223"/>
        </w:trPr>
        <w:tc>
          <w:tcPr>
            <w:tcW w:w="2240" w:type="dxa"/>
            <w:vAlign w:val="bottom"/>
          </w:tcPr>
          <w:p>
            <w:pPr>
              <w:spacing w:after="0"/>
              <w:rPr>
                <w:sz w:val="20"/>
                <w:szCs w:val="20"/>
                <w:color w:val="auto"/>
              </w:rPr>
            </w:pPr>
            <w:r>
              <w:rPr>
                <w:rFonts w:ascii="Arial" w:cs="Arial" w:eastAsia="Arial" w:hAnsi="Arial"/>
                <w:sz w:val="18"/>
                <w:szCs w:val="18"/>
                <w:color w:val="auto"/>
              </w:rPr>
              <w:t>DXL retail</w:t>
            </w:r>
          </w:p>
        </w:tc>
        <w:tc>
          <w:tcPr>
            <w:tcW w:w="7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915</w:t>
            </w:r>
          </w:p>
        </w:tc>
        <w:tc>
          <w:tcPr>
            <w:tcW w:w="100" w:type="dxa"/>
            <w:vAlign w:val="bottom"/>
          </w:tcPr>
          <w:p>
            <w:pPr>
              <w:spacing w:after="0"/>
              <w:rPr>
                <w:sz w:val="19"/>
                <w:szCs w:val="19"/>
                <w:color w:val="auto"/>
              </w:rPr>
            </w:pP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138</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1,179</w:t>
            </w:r>
          </w:p>
        </w:tc>
        <w:tc>
          <w:tcPr>
            <w:tcW w:w="10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1,369</w:t>
            </w:r>
          </w:p>
        </w:tc>
        <w:tc>
          <w:tcPr>
            <w:tcW w:w="12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1,548</w:t>
            </w:r>
          </w:p>
        </w:tc>
        <w:tc>
          <w:tcPr>
            <w:tcW w:w="120" w:type="dxa"/>
            <w:vAlign w:val="bottom"/>
          </w:tcPr>
          <w:p>
            <w:pPr>
              <w:spacing w:after="0"/>
              <w:rPr>
                <w:sz w:val="19"/>
                <w:szCs w:val="19"/>
                <w:color w:val="auto"/>
              </w:rPr>
            </w:pPr>
          </w:p>
        </w:tc>
      </w:tr>
      <w:tr>
        <w:trPr>
          <w:trHeight w:val="230"/>
        </w:trPr>
        <w:tc>
          <w:tcPr>
            <w:tcW w:w="2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DXL outlets</w:t>
            </w: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FF0FC"/>
          </w:tcPr>
          <w:p>
            <w:pPr>
              <w:spacing w:after="0"/>
              <w:rPr>
                <w:sz w:val="19"/>
                <w:szCs w:val="19"/>
                <w:color w:val="auto"/>
              </w:rPr>
            </w:pPr>
          </w:p>
        </w:tc>
      </w:tr>
      <w:tr>
        <w:trPr>
          <w:trHeight w:val="230"/>
        </w:trPr>
        <w:tc>
          <w:tcPr>
            <w:tcW w:w="2980" w:type="dxa"/>
            <w:vAlign w:val="bottom"/>
            <w:gridSpan w:val="2"/>
          </w:tcPr>
          <w:p>
            <w:pPr>
              <w:spacing w:after="0"/>
              <w:rPr>
                <w:sz w:val="20"/>
                <w:szCs w:val="20"/>
                <w:color w:val="auto"/>
              </w:rPr>
            </w:pPr>
            <w:r>
              <w:rPr>
                <w:rFonts w:ascii="Arial" w:cs="Arial" w:eastAsia="Arial" w:hAnsi="Arial"/>
                <w:sz w:val="18"/>
                <w:szCs w:val="18"/>
                <w:color w:val="auto"/>
              </w:rPr>
              <w:t>CMXL retail</w:t>
            </w:r>
          </w:p>
        </w:tc>
        <w:tc>
          <w:tcPr>
            <w:tcW w:w="280" w:type="dxa"/>
            <w:vAlign w:val="bottom"/>
          </w:tcPr>
          <w:p>
            <w:pPr>
              <w:jc w:val="right"/>
              <w:spacing w:after="0"/>
              <w:rPr>
                <w:sz w:val="20"/>
                <w:szCs w:val="20"/>
                <w:color w:val="auto"/>
              </w:rPr>
            </w:pPr>
            <w:r>
              <w:rPr>
                <w:rFonts w:ascii="Arial" w:cs="Arial" w:eastAsia="Arial" w:hAnsi="Arial"/>
                <w:sz w:val="18"/>
                <w:szCs w:val="18"/>
                <w:color w:val="auto"/>
                <w:w w:val="79"/>
              </w:rPr>
              <w:t>198</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157</w:t>
            </w:r>
          </w:p>
        </w:tc>
        <w:tc>
          <w:tcPr>
            <w:tcW w:w="920" w:type="dxa"/>
            <w:vAlign w:val="bottom"/>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19"/>
                <w:szCs w:val="19"/>
                <w:color w:val="auto"/>
              </w:rPr>
            </w:pPr>
          </w:p>
        </w:tc>
      </w:tr>
      <w:tr>
        <w:trPr>
          <w:trHeight w:val="230"/>
        </w:trPr>
        <w:tc>
          <w:tcPr>
            <w:tcW w:w="2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CMXL outlets</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48</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FF0FC"/>
          </w:tcPr>
          <w:p>
            <w:pPr>
              <w:spacing w:after="0"/>
              <w:rPr>
                <w:sz w:val="19"/>
                <w:szCs w:val="19"/>
                <w:color w:val="auto"/>
              </w:rPr>
            </w:pPr>
          </w:p>
        </w:tc>
      </w:tr>
      <w:tr>
        <w:trPr>
          <w:trHeight w:val="230"/>
        </w:trPr>
        <w:tc>
          <w:tcPr>
            <w:tcW w:w="2980" w:type="dxa"/>
            <w:vAlign w:val="bottom"/>
            <w:gridSpan w:val="2"/>
          </w:tcPr>
          <w:p>
            <w:pPr>
              <w:spacing w:after="0"/>
              <w:rPr>
                <w:sz w:val="20"/>
                <w:szCs w:val="20"/>
                <w:color w:val="auto"/>
              </w:rPr>
            </w:pPr>
            <w:r>
              <w:rPr>
                <w:rFonts w:ascii="Arial" w:cs="Arial" w:eastAsia="Arial" w:hAnsi="Arial"/>
                <w:sz w:val="18"/>
                <w:szCs w:val="18"/>
                <w:color w:val="auto"/>
              </w:rPr>
              <w:t>Rochester Clothing</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92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r>
      <w:tr>
        <w:trPr>
          <w:trHeight w:val="223"/>
        </w:trPr>
        <w:tc>
          <w:tcPr>
            <w:tcW w:w="2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7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359</w:t>
            </w:r>
          </w:p>
        </w:tc>
        <w:tc>
          <w:tcPr>
            <w:tcW w:w="1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1,883</w:t>
            </w:r>
          </w:p>
        </w:tc>
        <w:tc>
          <w:tcPr>
            <w:tcW w:w="10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353</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1,975</w:t>
            </w:r>
          </w:p>
        </w:tc>
        <w:tc>
          <w:tcPr>
            <w:tcW w:w="1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2,034</w:t>
            </w:r>
          </w:p>
        </w:tc>
        <w:tc>
          <w:tcPr>
            <w:tcW w:w="1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2,129</w:t>
            </w:r>
          </w:p>
        </w:tc>
        <w:tc>
          <w:tcPr>
            <w:tcW w:w="120" w:type="dxa"/>
            <w:vAlign w:val="bottom"/>
            <w:tcBorders>
              <w:top w:val="single" w:sz="8" w:color="CFF0FC"/>
            </w:tcBorders>
            <w:shd w:val="clear" w:color="auto" w:fill="CFF0FC"/>
          </w:tcPr>
          <w:p>
            <w:pPr>
              <w:spacing w:after="0"/>
              <w:rPr>
                <w:sz w:val="19"/>
                <w:szCs w:val="19"/>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Fiscal 2016 Outlook</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color w:val="auto"/>
        </w:rPr>
        <w:t>The Company expects:</w:t>
      </w:r>
    </w:p>
    <w:p>
      <w:pPr>
        <w:spacing w:after="0" w:line="135" w:lineRule="exact"/>
        <w:rPr>
          <w:sz w:val="20"/>
          <w:szCs w:val="20"/>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20"/>
          <w:szCs w:val="20"/>
          <w:color w:val="auto"/>
        </w:rPr>
        <w:t>Total sales in the range of $465.0 to $472.0 million.</w:t>
      </w:r>
    </w:p>
    <w:p>
      <w:pPr>
        <w:spacing w:after="0" w:line="175"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20"/>
          <w:szCs w:val="20"/>
          <w:color w:val="auto"/>
        </w:rPr>
        <w:t>A total comparable sales increase in the range of 4.8% to 5.5%.</w:t>
      </w:r>
    </w:p>
    <w:p>
      <w:pPr>
        <w:spacing w:after="0" w:line="175"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20"/>
          <w:szCs w:val="20"/>
          <w:color w:val="auto"/>
        </w:rPr>
        <w:t>Gross profit margin in the range of 46.2% to 46.5%.</w:t>
      </w:r>
    </w:p>
    <w:p>
      <w:pPr>
        <w:spacing w:after="0" w:line="175"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20"/>
          <w:szCs w:val="20"/>
          <w:color w:val="auto"/>
        </w:rPr>
        <w:t>EBITDA in the range of $31.0 to $35.0 million.</w:t>
      </w:r>
    </w:p>
    <w:p>
      <w:pPr>
        <w:spacing w:after="0" w:line="175" w:lineRule="exact"/>
        <w:rPr>
          <w:rFonts w:ascii="Arial" w:cs="Arial" w:eastAsia="Arial" w:hAnsi="Arial"/>
          <w:sz w:val="18"/>
          <w:szCs w:val="18"/>
          <w:color w:val="auto"/>
        </w:rPr>
      </w:pPr>
    </w:p>
    <w:p>
      <w:pPr>
        <w:ind w:left="880" w:right="240" w:hanging="440"/>
        <w:spacing w:after="0" w:line="282" w:lineRule="auto"/>
        <w:tabs>
          <w:tab w:leader="none" w:pos="880" w:val="left"/>
        </w:tabs>
        <w:numPr>
          <w:ilvl w:val="0"/>
          <w:numId w:val="3"/>
        </w:numPr>
        <w:rPr>
          <w:rFonts w:ascii="Arial" w:cs="Arial" w:eastAsia="Arial" w:hAnsi="Arial"/>
          <w:sz w:val="16"/>
          <w:szCs w:val="16"/>
          <w:color w:val="auto"/>
        </w:rPr>
      </w:pPr>
      <w:r>
        <w:rPr>
          <w:rFonts w:ascii="Arial" w:cs="Arial" w:eastAsia="Arial" w:hAnsi="Arial"/>
          <w:sz w:val="18"/>
          <w:szCs w:val="18"/>
          <w:color w:val="auto"/>
        </w:rPr>
        <w:t>A net loss of $(0.09) per diluted share to breakeven. On a non-GAAP basis, an adjusted net loss of $(0.05) per diluted share to breakeven. This guidance is presented on a non-GAAP basis for comparative purposes to fiscal 2015 earnings, assuming a normal tax benefit of approximately 40%. The Company expects to continue to provide a full valuation allowance against its deferred tax assets in fiscal 2016 and will not recognize any income tax benefit on its operating loss in fiscal 2016.</w:t>
      </w:r>
    </w:p>
    <w:p>
      <w:pPr>
        <w:spacing w:after="0" w:line="121" w:lineRule="exact"/>
        <w:rPr>
          <w:rFonts w:ascii="Arial" w:cs="Arial" w:eastAsia="Arial" w:hAnsi="Arial"/>
          <w:sz w:val="16"/>
          <w:szCs w:val="16"/>
          <w:color w:val="auto"/>
        </w:rPr>
      </w:pPr>
    </w:p>
    <w:p>
      <w:pPr>
        <w:ind w:left="880" w:right="560" w:hanging="440"/>
        <w:spacing w:after="0" w:line="260"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20"/>
          <w:szCs w:val="20"/>
          <w:color w:val="auto"/>
        </w:rPr>
        <w:t>To open approximately 28 DXL retail and 3 DXL outlet stores and close approximately 26 Casual Male XL retail stores and 3 Casual Male XL outlet stores.</w:t>
      </w:r>
    </w:p>
    <w:p>
      <w:pPr>
        <w:spacing w:after="0" w:line="136"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8"/>
          <w:szCs w:val="18"/>
          <w:color w:val="auto"/>
        </w:rPr>
        <w:t>Capital expenditures of approximately $30.0 million in fiscal 2016, with approximately $20.6 million invested in new DXL stores.</w:t>
      </w:r>
    </w:p>
    <w:p>
      <w:pPr>
        <w:spacing w:after="0" w:line="198" w:lineRule="exact"/>
        <w:rPr>
          <w:rFonts w:ascii="Arial" w:cs="Arial" w:eastAsia="Arial" w:hAnsi="Arial"/>
          <w:sz w:val="16"/>
          <w:szCs w:val="16"/>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20"/>
          <w:szCs w:val="20"/>
          <w:color w:val="auto"/>
        </w:rPr>
        <w:t>Borrowings at the end of fiscal 2016 in the range of $64.0 million to $69.0 million.</w:t>
      </w:r>
    </w:p>
    <w:p>
      <w:pPr>
        <w:spacing w:after="0" w:line="175" w:lineRule="exact"/>
        <w:rPr>
          <w:rFonts w:ascii="Arial" w:cs="Arial" w:eastAsia="Arial" w:hAnsi="Arial"/>
          <w:sz w:val="18"/>
          <w:szCs w:val="18"/>
          <w:color w:val="auto"/>
        </w:rPr>
      </w:pPr>
    </w:p>
    <w:p>
      <w:pPr>
        <w:ind w:left="880" w:right="120" w:hanging="440"/>
        <w:spacing w:after="0" w:line="260"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20"/>
          <w:szCs w:val="20"/>
          <w:color w:val="auto"/>
        </w:rPr>
        <w:t>Free cash flow before DXL capital expenditures of approximately $20.6 million to $25.6 million, resulting in total free cash flow in the range of breakeven to $5.0 million.</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Conference Call</w:t>
      </w:r>
    </w:p>
    <w:p>
      <w:pPr>
        <w:spacing w:after="0" w:line="235" w:lineRule="exact"/>
        <w:rPr>
          <w:sz w:val="20"/>
          <w:szCs w:val="20"/>
          <w:color w:val="auto"/>
        </w:rPr>
      </w:pPr>
    </w:p>
    <w:p>
      <w:pPr>
        <w:ind w:right="140"/>
        <w:spacing w:after="0" w:line="246" w:lineRule="auto"/>
        <w:rPr>
          <w:sz w:val="20"/>
          <w:szCs w:val="20"/>
          <w:color w:val="auto"/>
        </w:rPr>
      </w:pPr>
      <w:r>
        <w:rPr>
          <w:rFonts w:ascii="Arial" w:cs="Arial" w:eastAsia="Arial" w:hAnsi="Arial"/>
          <w:sz w:val="20"/>
          <w:szCs w:val="20"/>
          <w:color w:val="auto"/>
        </w:rPr>
        <w:t>The Company will hold a conference call to review its financial results today, Friday, March 18, 2016 at 9:00 a.m. ET. To listen to the live webcast, visit the "</w:t>
      </w:r>
      <w:r>
        <w:rPr>
          <w:rFonts w:ascii="Arial" w:cs="Arial" w:eastAsia="Arial" w:hAnsi="Arial"/>
          <w:sz w:val="20"/>
          <w:szCs w:val="20"/>
          <w:u w:val="single" w:color="auto"/>
          <w:color w:val="auto"/>
        </w:rPr>
        <w:t>Investor Relations</w:t>
      </w:r>
      <w:r>
        <w:rPr>
          <w:rFonts w:ascii="Arial" w:cs="Arial" w:eastAsia="Arial" w:hAnsi="Arial"/>
          <w:sz w:val="20"/>
          <w:szCs w:val="20"/>
          <w:color w:val="auto"/>
        </w:rPr>
        <w:t>" section of the Company's website. The live call also can be accessed by dialing: (888) 539-3678. Please reference conference ID: 9505489. An archived version of the webcast may be accessed by visiting the "</w:t>
      </w:r>
      <w:r>
        <w:rPr>
          <w:rFonts w:ascii="Arial" w:cs="Arial" w:eastAsia="Arial" w:hAnsi="Arial"/>
          <w:sz w:val="20"/>
          <w:szCs w:val="20"/>
          <w:u w:val="single" w:color="auto"/>
          <w:color w:val="auto"/>
        </w:rPr>
        <w:t>Events</w:t>
      </w:r>
      <w:r>
        <w:rPr>
          <w:rFonts w:ascii="Arial" w:cs="Arial" w:eastAsia="Arial" w:hAnsi="Arial"/>
          <w:sz w:val="20"/>
          <w:szCs w:val="20"/>
          <w:color w:val="auto"/>
        </w:rPr>
        <w:t>" section of the Company's website for up to one year.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8" w:name="page9"/>
    <w:bookmarkEnd w:id="8"/>
    <w:p>
      <w:pPr>
        <w:ind w:right="40"/>
        <w:spacing w:after="0" w:line="250" w:lineRule="auto"/>
        <w:rPr>
          <w:sz w:val="20"/>
          <w:szCs w:val="20"/>
          <w:color w:val="auto"/>
        </w:rPr>
      </w:pPr>
      <w:r>
        <w:rPr>
          <w:rFonts w:ascii="Arial" w:cs="Arial" w:eastAsia="Arial" w:hAnsi="Arial"/>
          <w:sz w:val="20"/>
          <w:szCs w:val="20"/>
          <w:color w:val="auto"/>
        </w:rPr>
        <w:t>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Non-GAAP Measures</w:t>
      </w:r>
    </w:p>
    <w:p>
      <w:pPr>
        <w:spacing w:after="0" w:line="154"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In addition to financial measures prepared in accordance with U.S. generally accepted accounting principles (“GAAP”), this press release refers to free cash flow, EBITDA from continuing operations and adjusted net income (loss) per diluted share. The presentation of these non-GAAP measures is not in accordance with GAAP, and should not be considered superior to or as a substitute for net income (loss), earnings (loss) per diluted share, income (loss) from continuing operations or cash flows from operating activities or any other measure of performance derived in accordance with GAAP. In addition, all companies do not calculate non-GAAP financial measures in the same manner and, accordingly, the non-GAAP measures presented in this release may not be comparable to similar measures used by other companies. The Company believes the inclusion of these non-GAAP measures helps investors gain a better understanding of the Company’s performance, especially when comparing such results to previous periods, and that they are useful as an additional means for investors to evaluate the Company's operating results, when reviewed in conjunction with the Company's GAAP financial statements.</w:t>
      </w:r>
    </w:p>
    <w:p>
      <w:pPr>
        <w:spacing w:after="0" w:line="90"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The Company calculates free cash flow as cash flow from operating activities less capital expenditures. The free cash flow presentation separates DXL capital expenditures from its other infrastructure projects. EBITDA is calculated as earnings before interest, taxes, depreciation and amortization. EBITDA from continuing operations is calculated as EBITDA before discontinued operations. Adjusted net loss per diluted share has been adjusted for a normal tax rate, assuming 40%. Reconciliations of these non-GAAP measures to their comparable GAAP measures are provided in the tables below.</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Destination XL Group, Inc.</w:t>
      </w:r>
    </w:p>
    <w:p>
      <w:pPr>
        <w:spacing w:after="0" w:line="154" w:lineRule="exact"/>
        <w:rPr>
          <w:sz w:val="20"/>
          <w:szCs w:val="20"/>
          <w:color w:val="auto"/>
        </w:rPr>
      </w:pPr>
    </w:p>
    <w:p>
      <w:pPr>
        <w:ind w:right="100"/>
        <w:spacing w:after="0" w:line="259" w:lineRule="auto"/>
        <w:rPr>
          <w:sz w:val="20"/>
          <w:szCs w:val="20"/>
          <w:color w:val="auto"/>
        </w:rPr>
      </w:pPr>
      <w:r>
        <w:rPr>
          <w:rFonts w:ascii="Arial" w:cs="Arial" w:eastAsia="Arial" w:hAnsi="Arial"/>
          <w:sz w:val="19"/>
          <w:szCs w:val="19"/>
          <w:color w:val="auto"/>
        </w:rPr>
        <w:t>Destination XL Group, Inc. is the largest omni-channel specialty retailer of big &amp; tall men's apparel with store locations throughout the United States and London, England. The retailer operates under five brands: Destination XL®, Casual Male XL, Rochester Clothing, ShoesXL and LivingXL. The Company also operates e-commerce sites at www.destinationxl.com and www.bigandtall.com. With more than 2,000 private label and name brand styles to choose from, big and tall customers are provided with a unique blend of wardrobe solutions not available at traditional retailers. The Company is headquartered in Canton, Massachusetts. For more information, please visit the Company’s investor relations website: http://investor.destinationxl.com.</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Forward-Looking Statements</w:t>
      </w:r>
    </w:p>
    <w:p>
      <w:pPr>
        <w:spacing w:after="0" w:line="235" w:lineRule="exact"/>
        <w:rPr>
          <w:sz w:val="20"/>
          <w:szCs w:val="20"/>
          <w:color w:val="auto"/>
        </w:rPr>
      </w:pPr>
    </w:p>
    <w:p>
      <w:pPr>
        <w:ind w:right="100"/>
        <w:spacing w:after="0" w:line="269" w:lineRule="auto"/>
        <w:rPr>
          <w:sz w:val="20"/>
          <w:szCs w:val="20"/>
          <w:color w:val="auto"/>
        </w:rPr>
      </w:pPr>
      <w:r>
        <w:rPr>
          <w:rFonts w:ascii="Arial" w:cs="Arial" w:eastAsia="Arial" w:hAnsi="Arial"/>
          <w:sz w:val="19"/>
          <w:szCs w:val="19"/>
          <w:i w:val="1"/>
          <w:iCs w:val="1"/>
          <w:color w:val="auto"/>
        </w:rPr>
        <w:t>Certain statements and information contained in this press release constitute forward-looking statements under the federal securities laws, including statements regarding the Company’s expectations with respect to cash flows, gross profit margins, store counts, capital expenditures, debt levels, sales, EBITDA, and earnings expectations for fiscal 2016, the Company’s ability to execute on its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 w:name="page10"/>
    <w:bookmarkEnd w:id="9"/>
    <w:p>
      <w:pPr>
        <w:spacing w:after="0" w:line="242" w:lineRule="auto"/>
        <w:rPr>
          <w:sz w:val="20"/>
          <w:szCs w:val="20"/>
          <w:color w:val="auto"/>
        </w:rPr>
      </w:pPr>
      <w:r>
        <w:rPr>
          <w:rFonts w:ascii="Arial" w:cs="Arial" w:eastAsia="Arial" w:hAnsi="Arial"/>
          <w:sz w:val="20"/>
          <w:szCs w:val="20"/>
          <w:i w:val="1"/>
          <w:iCs w:val="1"/>
          <w:color w:val="auto"/>
        </w:rPr>
        <w:t>strategic plan and the effectiveness of the Destination XL concept. 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filings with the Securities and Exchange Commission, including without limitation, its Annual Report on Form 10-K filed on March 25, 2015, that set forth certain risks and uncertainties that may have an impact on future results and direction of the Company, including risks relating to the Company’s execution of its DXL strategy and ability to grow its market share, its ability to predict customer tastes and fashion trends, its ability to forecast sales growth trends and its ability to compete successfully in the United States men’s big and tall apparel market.</w:t>
      </w:r>
    </w:p>
    <w:p>
      <w:pPr>
        <w:spacing w:after="0" w:line="129" w:lineRule="exact"/>
        <w:rPr>
          <w:sz w:val="20"/>
          <w:szCs w:val="20"/>
          <w:color w:val="auto"/>
        </w:rPr>
      </w:pPr>
    </w:p>
    <w:p>
      <w:pPr>
        <w:jc w:val="both"/>
        <w:ind w:right="620"/>
        <w:spacing w:after="0" w:line="250" w:lineRule="auto"/>
        <w:rPr>
          <w:sz w:val="20"/>
          <w:szCs w:val="20"/>
          <w:color w:val="auto"/>
        </w:rPr>
      </w:pPr>
      <w:r>
        <w:rPr>
          <w:rFonts w:ascii="Arial" w:cs="Arial" w:eastAsia="Arial" w:hAnsi="Arial"/>
          <w:sz w:val="20"/>
          <w:szCs w:val="20"/>
          <w:i w:val="1"/>
          <w:iCs w:val="1"/>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jc w:val="center"/>
        <w:ind w:right="120"/>
        <w:spacing w:after="0"/>
        <w:rPr>
          <w:sz w:val="20"/>
          <w:szCs w:val="20"/>
          <w:color w:val="auto"/>
        </w:rPr>
      </w:pPr>
      <w:r>
        <w:rPr>
          <w:rFonts w:ascii="Arial" w:cs="Arial" w:eastAsia="Arial" w:hAnsi="Arial"/>
          <w:sz w:val="16"/>
          <w:szCs w:val="16"/>
          <w:color w:val="auto"/>
        </w:rPr>
        <w:t>DESTINATION XL GROUP, INC.</w:t>
      </w:r>
    </w:p>
    <w:p>
      <w:pPr>
        <w:spacing w:after="0" w:line="32"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CONSOLIDATED STATEMENTS OF OPERATIONS</w:t>
      </w:r>
    </w:p>
    <w:p>
      <w:pPr>
        <w:spacing w:after="0" w:line="32"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80" w:type="dxa"/>
            <w:vAlign w:val="bottom"/>
            <w:gridSpan w:val="6"/>
          </w:tcPr>
          <w:p>
            <w:pPr>
              <w:jc w:val="right"/>
              <w:ind w:right="800"/>
              <w:spacing w:after="0"/>
              <w:rPr>
                <w:sz w:val="20"/>
                <w:szCs w:val="20"/>
                <w:color w:val="auto"/>
              </w:rPr>
            </w:pPr>
            <w:r>
              <w:rPr>
                <w:rFonts w:ascii="Arial" w:cs="Arial" w:eastAsia="Arial" w:hAnsi="Arial"/>
                <w:sz w:val="14"/>
                <w:szCs w:val="14"/>
                <w:color w:val="auto"/>
              </w:rPr>
              <w:t>For the three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gridSpan w:val="6"/>
          </w:tcPr>
          <w:p>
            <w:pPr>
              <w:jc w:val="right"/>
              <w:ind w:right="820"/>
              <w:spacing w:after="0"/>
              <w:rPr>
                <w:sz w:val="20"/>
                <w:szCs w:val="20"/>
                <w:color w:val="auto"/>
              </w:rPr>
            </w:pPr>
            <w:r>
              <w:rPr>
                <w:rFonts w:ascii="Arial" w:cs="Arial" w:eastAsia="Arial" w:hAnsi="Arial"/>
                <w:sz w:val="14"/>
                <w:szCs w:val="14"/>
                <w:color w:val="auto"/>
              </w:rPr>
              <w:t>For the fiscal year ended</w:t>
            </w:r>
          </w:p>
        </w:tc>
        <w:tc>
          <w:tcPr>
            <w:tcW w:w="0" w:type="dxa"/>
            <w:vAlign w:val="bottom"/>
          </w:tcPr>
          <w:p>
            <w:pPr>
              <w:spacing w:after="0"/>
              <w:rPr>
                <w:sz w:val="1"/>
                <w:szCs w:val="1"/>
                <w:color w:val="auto"/>
              </w:rPr>
            </w:pPr>
          </w:p>
        </w:tc>
      </w:tr>
      <w:tr>
        <w:trPr>
          <w:trHeight w:val="167"/>
        </w:trPr>
        <w:tc>
          <w:tcPr>
            <w:tcW w:w="53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color w:val="auto"/>
                <w:w w:val="92"/>
              </w:rPr>
              <w:t>January 30, 2016</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w w:val="92"/>
              </w:rPr>
              <w:t>January 31, 2015</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w w:val="92"/>
              </w:rPr>
              <w:t>January 30, 2016</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color w:val="auto"/>
                <w:w w:val="92"/>
              </w:rPr>
              <w:t>January 31, 2015</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FF0FC"/>
          </w:tcPr>
          <w:p>
            <w:pPr>
              <w:spacing w:after="0"/>
              <w:rPr>
                <w:sz w:val="20"/>
                <w:szCs w:val="20"/>
                <w:color w:val="auto"/>
              </w:rPr>
            </w:pPr>
            <w:r>
              <w:rPr>
                <w:rFonts w:ascii="Arial" w:cs="Arial" w:eastAsia="Arial" w:hAnsi="Arial"/>
                <w:sz w:val="16"/>
                <w:szCs w:val="16"/>
                <w:color w:val="auto"/>
              </w:rPr>
              <w:t>Sales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124,044</w:t>
            </w:r>
          </w:p>
        </w:tc>
        <w:tc>
          <w:tcPr>
            <w:tcW w:w="16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119,559</w:t>
            </w:r>
          </w:p>
        </w:tc>
        <w:tc>
          <w:tcPr>
            <w:tcW w:w="16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442,221</w:t>
            </w:r>
          </w:p>
        </w:tc>
        <w:tc>
          <w:tcPr>
            <w:tcW w:w="16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414,020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Cost of goods sold including occupancy</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67,191</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62,293</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238,382</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224,006</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60" w:type="dxa"/>
            <w:vAlign w:val="bottom"/>
            <w:shd w:val="clear" w:color="auto" w:fill="CFF0FC"/>
          </w:tcPr>
          <w:p>
            <w:pPr>
              <w:spacing w:after="0"/>
              <w:rPr>
                <w:sz w:val="20"/>
                <w:szCs w:val="20"/>
                <w:color w:val="auto"/>
              </w:rPr>
            </w:pPr>
            <w:r>
              <w:rPr>
                <w:rFonts w:ascii="Arial" w:cs="Arial" w:eastAsia="Arial" w:hAnsi="Arial"/>
                <w:sz w:val="16"/>
                <w:szCs w:val="16"/>
                <w:color w:val="auto"/>
              </w:rPr>
              <w:t>Gross profit</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56,853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57,266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203,839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190,014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spacing w:after="0"/>
              <w:rPr>
                <w:sz w:val="20"/>
                <w:szCs w:val="20"/>
                <w:color w:val="auto"/>
              </w:rPr>
            </w:pPr>
            <w:r>
              <w:rPr>
                <w:rFonts w:ascii="Arial" w:cs="Arial" w:eastAsia="Arial" w:hAnsi="Arial"/>
                <w:sz w:val="16"/>
                <w:szCs w:val="16"/>
                <w:color w:val="auto"/>
              </w:rPr>
              <w:t>Expenses:</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60" w:type="dxa"/>
            <w:vAlign w:val="bottom"/>
          </w:tcPr>
          <w:p>
            <w:pPr>
              <w:ind w:left="260"/>
              <w:spacing w:after="0"/>
              <w:rPr>
                <w:sz w:val="20"/>
                <w:szCs w:val="20"/>
                <w:color w:val="auto"/>
              </w:rPr>
            </w:pPr>
            <w:r>
              <w:rPr>
                <w:rFonts w:ascii="Arial" w:cs="Arial" w:eastAsia="Arial" w:hAnsi="Arial"/>
                <w:sz w:val="16"/>
                <w:szCs w:val="16"/>
                <w:color w:val="auto"/>
              </w:rPr>
              <w:t>Selling, general and administrative</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49,566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48,212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180,570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174,814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7,833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6,833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28,359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24,002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3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Total expenses</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57,399</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55,045</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208,929</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198,816</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60" w:type="dxa"/>
            <w:vAlign w:val="bottom"/>
          </w:tcPr>
          <w:p>
            <w:pPr>
              <w:spacing w:after="0"/>
              <w:rPr>
                <w:sz w:val="20"/>
                <w:szCs w:val="20"/>
                <w:color w:val="auto"/>
              </w:rPr>
            </w:pPr>
            <w:r>
              <w:rPr>
                <w:rFonts w:ascii="Arial" w:cs="Arial" w:eastAsia="Arial" w:hAnsi="Arial"/>
                <w:sz w:val="16"/>
                <w:szCs w:val="16"/>
                <w:color w:val="auto"/>
              </w:rPr>
              <w:t>Operating income (loss)</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(546)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(5,090)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(8,802)</w:t>
            </w:r>
          </w:p>
        </w:tc>
        <w:tc>
          <w:tcPr>
            <w:tcW w:w="0" w:type="dxa"/>
            <w:vAlign w:val="bottom"/>
          </w:tcPr>
          <w:p>
            <w:pPr>
              <w:spacing w:after="0"/>
              <w:rPr>
                <w:sz w:val="1"/>
                <w:szCs w:val="1"/>
                <w:color w:val="auto"/>
              </w:rPr>
            </w:pPr>
          </w:p>
        </w:tc>
      </w:tr>
      <w:tr>
        <w:trPr>
          <w:trHeight w:val="219"/>
        </w:trPr>
        <w:tc>
          <w:tcPr>
            <w:tcW w:w="5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360" w:type="dxa"/>
            <w:vAlign w:val="bottom"/>
          </w:tcPr>
          <w:p>
            <w:pPr>
              <w:spacing w:after="0"/>
              <w:rPr>
                <w:sz w:val="20"/>
                <w:szCs w:val="20"/>
                <w:color w:val="auto"/>
              </w:rPr>
            </w:pPr>
            <w:r>
              <w:rPr>
                <w:rFonts w:ascii="Arial" w:cs="Arial" w:eastAsia="Arial" w:hAnsi="Arial"/>
                <w:sz w:val="16"/>
                <w:szCs w:val="16"/>
                <w:color w:val="auto"/>
              </w:rPr>
              <w:t>Interest expense, net</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(768)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(764)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(3,058)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(2,132)</w:t>
            </w:r>
          </w:p>
        </w:tc>
        <w:tc>
          <w:tcPr>
            <w:tcW w:w="0" w:type="dxa"/>
            <w:vAlign w:val="bottom"/>
          </w:tcPr>
          <w:p>
            <w:pPr>
              <w:spacing w:after="0"/>
              <w:rPr>
                <w:sz w:val="1"/>
                <w:szCs w:val="1"/>
                <w:color w:val="auto"/>
              </w:rPr>
            </w:pPr>
          </w:p>
        </w:tc>
      </w:tr>
      <w:tr>
        <w:trPr>
          <w:trHeight w:val="213"/>
        </w:trPr>
        <w:tc>
          <w:tcPr>
            <w:tcW w:w="53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60" w:type="dxa"/>
            <w:vAlign w:val="bottom"/>
          </w:tcPr>
          <w:p>
            <w:pPr>
              <w:spacing w:after="0"/>
              <w:rPr>
                <w:sz w:val="20"/>
                <w:szCs w:val="20"/>
                <w:color w:val="auto"/>
              </w:rPr>
            </w:pPr>
            <w:r>
              <w:rPr>
                <w:rFonts w:ascii="Arial" w:cs="Arial" w:eastAsia="Arial" w:hAnsi="Arial"/>
                <w:sz w:val="16"/>
                <w:szCs w:val="16"/>
                <w:color w:val="auto"/>
              </w:rPr>
              <w:t>Income (loss) from continuing operations before provision for income taxes</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(1,314)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1,457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(8,148)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(10,934)</w:t>
            </w:r>
          </w:p>
        </w:tc>
        <w:tc>
          <w:tcPr>
            <w:tcW w:w="0" w:type="dxa"/>
            <w:vAlign w:val="bottom"/>
          </w:tcPr>
          <w:p>
            <w:pPr>
              <w:spacing w:after="0"/>
              <w:rPr>
                <w:sz w:val="1"/>
                <w:szCs w:val="1"/>
                <w:color w:val="auto"/>
              </w:rPr>
            </w:pPr>
          </w:p>
        </w:tc>
      </w:tr>
      <w:tr>
        <w:trPr>
          <w:trHeight w:val="219"/>
        </w:trPr>
        <w:tc>
          <w:tcPr>
            <w:tcW w:w="5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3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Provision for income taxes</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60" w:type="dxa"/>
            <w:vAlign w:val="bottom"/>
          </w:tcPr>
          <w:p>
            <w:pPr>
              <w:spacing w:after="0"/>
              <w:rPr>
                <w:sz w:val="20"/>
                <w:szCs w:val="20"/>
                <w:color w:val="auto"/>
              </w:rPr>
            </w:pPr>
            <w:r>
              <w:rPr>
                <w:rFonts w:ascii="Arial" w:cs="Arial" w:eastAsia="Arial" w:hAnsi="Arial"/>
                <w:sz w:val="16"/>
                <w:szCs w:val="16"/>
                <w:color w:val="auto"/>
              </w:rPr>
              <w:t>Income (loss) from continuing operations</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(1,383)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(8,408)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(11,177)</w:t>
            </w:r>
          </w:p>
        </w:tc>
        <w:tc>
          <w:tcPr>
            <w:tcW w:w="0" w:type="dxa"/>
            <w:vAlign w:val="bottom"/>
          </w:tcPr>
          <w:p>
            <w:pPr>
              <w:spacing w:after="0"/>
              <w:rPr>
                <w:sz w:val="1"/>
                <w:szCs w:val="1"/>
                <w:color w:val="auto"/>
              </w:rPr>
            </w:pPr>
          </w:p>
        </w:tc>
      </w:tr>
      <w:tr>
        <w:trPr>
          <w:trHeight w:val="219"/>
        </w:trPr>
        <w:tc>
          <w:tcPr>
            <w:tcW w:w="5360" w:type="dxa"/>
            <w:vAlign w:val="bottom"/>
            <w:shd w:val="clear" w:color="auto" w:fill="CFF0FC"/>
          </w:tcPr>
          <w:p>
            <w:pPr>
              <w:spacing w:after="0"/>
              <w:rPr>
                <w:sz w:val="20"/>
                <w:szCs w:val="20"/>
                <w:color w:val="auto"/>
              </w:rPr>
            </w:pPr>
            <w:r>
              <w:rPr>
                <w:rFonts w:ascii="Arial" w:cs="Arial" w:eastAsia="Arial" w:hAnsi="Arial"/>
                <w:sz w:val="16"/>
                <w:szCs w:val="16"/>
                <w:color w:val="auto"/>
              </w:rPr>
              <w:t>Income (loss) from discontinued operations</w:t>
            </w: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(1,118)</w:t>
            </w: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6"/>
                <w:szCs w:val="16"/>
                <w:color w:val="auto"/>
              </w:rPr>
              <w:t>Net income (loss)</w:t>
            </w: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5360" w:type="dxa"/>
            <w:vAlign w:val="bottom"/>
            <w:vMerge w:val="continue"/>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(1,383)</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1,554</w:t>
            </w:r>
          </w:p>
        </w:tc>
        <w:tc>
          <w:tcPr>
            <w:tcW w:w="160" w:type="dxa"/>
            <w:vAlign w:val="bottom"/>
          </w:tcPr>
          <w:p>
            <w:pPr>
              <w:spacing w:after="0"/>
              <w:rPr>
                <w:sz w:val="21"/>
                <w:szCs w:val="21"/>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(8,408)</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(12,295)</w:t>
            </w:r>
          </w:p>
        </w:tc>
        <w:tc>
          <w:tcPr>
            <w:tcW w:w="0" w:type="dxa"/>
            <w:vAlign w:val="bottom"/>
          </w:tcPr>
          <w:p>
            <w:pPr>
              <w:spacing w:after="0"/>
              <w:rPr>
                <w:sz w:val="1"/>
                <w:szCs w:val="1"/>
                <w:color w:val="auto"/>
              </w:rPr>
            </w:pPr>
          </w:p>
        </w:tc>
      </w:tr>
      <w:tr>
        <w:trPr>
          <w:trHeight w:val="200"/>
        </w:trPr>
        <w:tc>
          <w:tcPr>
            <w:tcW w:w="53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per share -basic and diluted</w:t>
            </w:r>
          </w:p>
        </w:tc>
        <w:tc>
          <w:tcPr>
            <w:tcW w:w="15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r>
      <w:tr>
        <w:trPr>
          <w:trHeight w:val="230"/>
        </w:trPr>
        <w:tc>
          <w:tcPr>
            <w:tcW w:w="4340" w:type="dxa"/>
            <w:vAlign w:val="bottom"/>
          </w:tcPr>
          <w:p>
            <w:pPr>
              <w:ind w:left="140"/>
              <w:spacing w:after="0"/>
              <w:rPr>
                <w:sz w:val="20"/>
                <w:szCs w:val="20"/>
                <w:color w:val="auto"/>
              </w:rPr>
            </w:pPr>
            <w:r>
              <w:rPr>
                <w:rFonts w:ascii="Arial" w:cs="Arial" w:eastAsia="Arial" w:hAnsi="Arial"/>
                <w:sz w:val="18"/>
                <w:szCs w:val="18"/>
                <w:color w:val="auto"/>
              </w:rPr>
              <w:t>Income (loss) from continuing operations</w:t>
            </w:r>
          </w:p>
        </w:tc>
        <w:tc>
          <w:tcPr>
            <w:tcW w:w="154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(0.03)</w:t>
            </w:r>
          </w:p>
        </w:tc>
        <w:tc>
          <w:tcPr>
            <w:tcW w:w="64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0.03</w:t>
            </w:r>
          </w:p>
        </w:tc>
        <w:tc>
          <w:tcPr>
            <w:tcW w:w="6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(0.17)</w:t>
            </w:r>
          </w:p>
        </w:tc>
        <w:tc>
          <w:tcPr>
            <w:tcW w:w="62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(0.23)</w:t>
            </w:r>
          </w:p>
        </w:tc>
      </w:tr>
      <w:tr>
        <w:trPr>
          <w:trHeight w:val="230"/>
        </w:trPr>
        <w:tc>
          <w:tcPr>
            <w:tcW w:w="43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Income (loss) from discontinued operations</w:t>
            </w:r>
          </w:p>
        </w:tc>
        <w:tc>
          <w:tcPr>
            <w:tcW w:w="1540" w:type="dxa"/>
            <w:vAlign w:val="bottom"/>
            <w:shd w:val="clear" w:color="auto" w:fill="CFF0FC"/>
          </w:tcPr>
          <w:p>
            <w:pPr>
              <w:jc w:val="right"/>
              <w:ind w:right="3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ind w:right="3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(0.02)</w:t>
            </w:r>
          </w:p>
        </w:tc>
      </w:tr>
      <w:tr>
        <w:trPr>
          <w:trHeight w:val="230"/>
        </w:trPr>
        <w:tc>
          <w:tcPr>
            <w:tcW w:w="4340" w:type="dxa"/>
            <w:vAlign w:val="bottom"/>
          </w:tcPr>
          <w:p>
            <w:pPr>
              <w:ind w:left="140"/>
              <w:spacing w:after="0"/>
              <w:rPr>
                <w:sz w:val="20"/>
                <w:szCs w:val="20"/>
                <w:color w:val="auto"/>
              </w:rPr>
            </w:pPr>
            <w:r>
              <w:rPr>
                <w:rFonts w:ascii="Arial" w:cs="Arial" w:eastAsia="Arial" w:hAnsi="Arial"/>
                <w:sz w:val="18"/>
                <w:szCs w:val="18"/>
                <w:color w:val="auto"/>
              </w:rPr>
              <w:t>Net income (loss) per share</w:t>
            </w:r>
          </w:p>
        </w:tc>
        <w:tc>
          <w:tcPr>
            <w:tcW w:w="154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(0.03)</w:t>
            </w:r>
          </w:p>
        </w:tc>
        <w:tc>
          <w:tcPr>
            <w:tcW w:w="64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0.03</w:t>
            </w:r>
          </w:p>
        </w:tc>
        <w:tc>
          <w:tcPr>
            <w:tcW w:w="6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(0.17)</w:t>
            </w:r>
          </w:p>
        </w:tc>
        <w:tc>
          <w:tcPr>
            <w:tcW w:w="62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(0.25)</w:t>
            </w:r>
          </w:p>
        </w:tc>
      </w:tr>
      <w:tr>
        <w:trPr>
          <w:trHeight w:val="230"/>
        </w:trPr>
        <w:tc>
          <w:tcPr>
            <w:tcW w:w="434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number of common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ind w:left="260"/>
              <w:spacing w:after="0"/>
              <w:rPr>
                <w:sz w:val="20"/>
                <w:szCs w:val="20"/>
                <w:color w:val="auto"/>
              </w:rPr>
            </w:pPr>
            <w:r>
              <w:rPr>
                <w:rFonts w:ascii="Arial" w:cs="Arial" w:eastAsia="Arial" w:hAnsi="Arial"/>
                <w:sz w:val="18"/>
                <w:szCs w:val="18"/>
                <w:color w:val="auto"/>
              </w:rPr>
              <w:t>Basic</w:t>
            </w:r>
          </w:p>
        </w:tc>
        <w:tc>
          <w:tcPr>
            <w:tcW w:w="3700" w:type="dxa"/>
            <w:vAlign w:val="bottom"/>
          </w:tcPr>
          <w:p>
            <w:pPr>
              <w:jc w:val="right"/>
              <w:ind w:right="459"/>
              <w:spacing w:after="0"/>
              <w:rPr>
                <w:sz w:val="20"/>
                <w:szCs w:val="20"/>
                <w:color w:val="auto"/>
              </w:rPr>
            </w:pPr>
            <w:r>
              <w:rPr>
                <w:rFonts w:ascii="Arial" w:cs="Arial" w:eastAsia="Arial" w:hAnsi="Arial"/>
                <w:sz w:val="16"/>
                <w:szCs w:val="16"/>
                <w:color w:val="auto"/>
              </w:rPr>
              <w:t>49,139</w:t>
            </w:r>
          </w:p>
        </w:tc>
        <w:tc>
          <w:tcPr>
            <w:tcW w:w="1540" w:type="dxa"/>
            <w:vAlign w:val="bottom"/>
          </w:tcPr>
          <w:p>
            <w:pPr>
              <w:jc w:val="right"/>
              <w:ind w:right="459"/>
              <w:spacing w:after="0"/>
              <w:rPr>
                <w:sz w:val="20"/>
                <w:szCs w:val="20"/>
                <w:color w:val="auto"/>
              </w:rPr>
            </w:pPr>
            <w:r>
              <w:rPr>
                <w:rFonts w:ascii="Arial" w:cs="Arial" w:eastAsia="Arial" w:hAnsi="Arial"/>
                <w:sz w:val="16"/>
                <w:szCs w:val="16"/>
                <w:color w:val="auto"/>
              </w:rPr>
              <w:t>48,789</w:t>
            </w:r>
          </w:p>
        </w:tc>
        <w:tc>
          <w:tcPr>
            <w:tcW w:w="1540" w:type="dxa"/>
            <w:vAlign w:val="bottom"/>
          </w:tcPr>
          <w:p>
            <w:pPr>
              <w:jc w:val="right"/>
              <w:ind w:right="459"/>
              <w:spacing w:after="0"/>
              <w:rPr>
                <w:sz w:val="20"/>
                <w:szCs w:val="20"/>
                <w:color w:val="auto"/>
              </w:rPr>
            </w:pPr>
            <w:r>
              <w:rPr>
                <w:rFonts w:ascii="Arial" w:cs="Arial" w:eastAsia="Arial" w:hAnsi="Arial"/>
                <w:sz w:val="16"/>
                <w:szCs w:val="16"/>
                <w:color w:val="auto"/>
              </w:rPr>
              <w:t>49,089</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48,740</w:t>
            </w:r>
          </w:p>
        </w:tc>
      </w:tr>
      <w:tr>
        <w:trPr>
          <w:trHeight w:val="230"/>
        </w:trPr>
        <w:tc>
          <w:tcPr>
            <w:tcW w:w="3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3700" w:type="dxa"/>
            <w:vAlign w:val="bottom"/>
            <w:shd w:val="clear" w:color="auto" w:fill="CFF0FC"/>
          </w:tcPr>
          <w:p>
            <w:pPr>
              <w:jc w:val="right"/>
              <w:ind w:right="459"/>
              <w:spacing w:after="0"/>
              <w:rPr>
                <w:sz w:val="20"/>
                <w:szCs w:val="20"/>
                <w:color w:val="auto"/>
              </w:rPr>
            </w:pPr>
            <w:r>
              <w:rPr>
                <w:rFonts w:ascii="Arial" w:cs="Arial" w:eastAsia="Arial" w:hAnsi="Arial"/>
                <w:sz w:val="16"/>
                <w:szCs w:val="16"/>
                <w:color w:val="auto"/>
              </w:rPr>
              <w:t>49,139</w:t>
            </w:r>
          </w:p>
        </w:tc>
        <w:tc>
          <w:tcPr>
            <w:tcW w:w="1540" w:type="dxa"/>
            <w:vAlign w:val="bottom"/>
            <w:shd w:val="clear" w:color="auto" w:fill="CFF0FC"/>
          </w:tcPr>
          <w:p>
            <w:pPr>
              <w:jc w:val="right"/>
              <w:ind w:right="459"/>
              <w:spacing w:after="0"/>
              <w:rPr>
                <w:sz w:val="20"/>
                <w:szCs w:val="20"/>
                <w:color w:val="auto"/>
              </w:rPr>
            </w:pPr>
            <w:r>
              <w:rPr>
                <w:rFonts w:ascii="Arial" w:cs="Arial" w:eastAsia="Arial" w:hAnsi="Arial"/>
                <w:sz w:val="16"/>
                <w:szCs w:val="16"/>
                <w:color w:val="auto"/>
              </w:rPr>
              <w:t>49,415</w:t>
            </w:r>
          </w:p>
        </w:tc>
        <w:tc>
          <w:tcPr>
            <w:tcW w:w="1540" w:type="dxa"/>
            <w:vAlign w:val="bottom"/>
            <w:shd w:val="clear" w:color="auto" w:fill="CFF0FC"/>
          </w:tcPr>
          <w:p>
            <w:pPr>
              <w:jc w:val="right"/>
              <w:ind w:right="459"/>
              <w:spacing w:after="0"/>
              <w:rPr>
                <w:sz w:val="20"/>
                <w:szCs w:val="20"/>
                <w:color w:val="auto"/>
              </w:rPr>
            </w:pPr>
            <w:r>
              <w:rPr>
                <w:rFonts w:ascii="Arial" w:cs="Arial" w:eastAsia="Arial" w:hAnsi="Arial"/>
                <w:sz w:val="16"/>
                <w:szCs w:val="16"/>
                <w:color w:val="auto"/>
              </w:rPr>
              <w:t>49,089</w:t>
            </w: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48,740</w:t>
            </w:r>
          </w:p>
        </w:tc>
      </w:tr>
    </w:tbl>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73" w:right="239" w:bottom="1440" w:gutter="0" w:footer="0" w:header="0"/>
        </w:sectPr>
      </w:pPr>
    </w:p>
    <w:bookmarkStart w:id="11" w:name="page12"/>
    <w:bookmarkEnd w:id="11"/>
    <w:p>
      <w:pPr>
        <w:jc w:val="center"/>
        <w:ind w:right="120"/>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CONSOLIDATED BALANCE SHEETS</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January 30, 2016 and January 31, 2015</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January 30,</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40" w:type="dxa"/>
            <w:vAlign w:val="bottom"/>
            <w:gridSpan w:val="2"/>
          </w:tcPr>
          <w:p>
            <w:pPr>
              <w:ind w:left="280"/>
              <w:spacing w:after="0"/>
              <w:rPr>
                <w:sz w:val="20"/>
                <w:szCs w:val="20"/>
                <w:color w:val="auto"/>
              </w:rPr>
            </w:pPr>
            <w:r>
              <w:rPr>
                <w:rFonts w:ascii="Arial" w:cs="Arial" w:eastAsia="Arial" w:hAnsi="Arial"/>
                <w:sz w:val="14"/>
                <w:szCs w:val="14"/>
                <w:color w:val="auto"/>
              </w:rPr>
              <w:t>January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340" w:type="dxa"/>
            <w:vAlign w:val="bottom"/>
            <w:tcBorders>
              <w:bottom w:val="single" w:sz="8" w:color="auto"/>
            </w:tcBorders>
          </w:tcPr>
          <w:p>
            <w:pPr>
              <w:jc w:val="right"/>
              <w:ind w:right="146"/>
              <w:spacing w:after="0"/>
              <w:rPr>
                <w:sz w:val="20"/>
                <w:szCs w:val="20"/>
                <w:color w:val="auto"/>
              </w:rPr>
            </w:pPr>
            <w:r>
              <w:rPr>
                <w:rFonts w:ascii="Arial" w:cs="Arial" w:eastAsia="Arial" w:hAnsi="Arial"/>
                <w:sz w:val="14"/>
                <w:szCs w:val="14"/>
                <w:color w:val="auto"/>
              </w:rPr>
              <w:t>2016</w:t>
            </w:r>
          </w:p>
        </w:tc>
        <w:tc>
          <w:tcPr>
            <w:tcW w:w="6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772"/>
              <w:spacing w:after="0"/>
              <w:rPr>
                <w:sz w:val="20"/>
                <w:szCs w:val="20"/>
                <w:color w:val="auto"/>
              </w:rPr>
            </w:pPr>
            <w:r>
              <w:rPr>
                <w:rFonts w:ascii="Arial" w:cs="Arial" w:eastAsia="Arial" w:hAnsi="Arial"/>
                <w:sz w:val="14"/>
                <w:szCs w:val="14"/>
                <w:color w:val="auto"/>
              </w:rPr>
              <w:t>2015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6980" w:type="dxa"/>
            <w:vAlign w:val="bottom"/>
            <w:gridSpan w:val="2"/>
          </w:tcPr>
          <w:p>
            <w:pPr>
              <w:spacing w:after="0"/>
              <w:rPr>
                <w:sz w:val="20"/>
                <w:szCs w:val="20"/>
                <w:color w:val="auto"/>
              </w:rPr>
            </w:pPr>
            <w:r>
              <w:rPr>
                <w:rFonts w:ascii="Arial" w:cs="Arial" w:eastAsia="Arial" w:hAnsi="Arial"/>
                <w:sz w:val="18"/>
                <w:szCs w:val="18"/>
                <w:color w:val="auto"/>
              </w:rPr>
              <w:t>ASSETS</w:t>
            </w:r>
          </w:p>
        </w:tc>
        <w:tc>
          <w:tcPr>
            <w:tcW w:w="1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9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340" w:type="dxa"/>
            <w:vAlign w:val="bottom"/>
          </w:tcPr>
          <w:p>
            <w:pPr>
              <w:jc w:val="right"/>
              <w:ind w:right="1186"/>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5,170</w:t>
            </w:r>
          </w:p>
        </w:tc>
        <w:tc>
          <w:tcPr>
            <w:tcW w:w="340" w:type="dxa"/>
            <w:vAlign w:val="bottom"/>
          </w:tcPr>
          <w:p>
            <w:pPr>
              <w:spacing w:after="0"/>
              <w:rPr>
                <w:sz w:val="19"/>
                <w:szCs w:val="19"/>
                <w:color w:val="auto"/>
              </w:rPr>
            </w:pPr>
          </w:p>
        </w:tc>
        <w:tc>
          <w:tcPr>
            <w:tcW w:w="380" w:type="dxa"/>
            <w:vAlign w:val="bottom"/>
            <w:gridSpan w:val="2"/>
          </w:tcPr>
          <w:p>
            <w:pPr>
              <w:jc w:val="right"/>
              <w:ind w:right="250"/>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4,586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Inventories</w:t>
            </w:r>
          </w:p>
        </w:tc>
        <w:tc>
          <w:tcPr>
            <w:tcW w:w="13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125,014</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115,220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Other current assets</w:t>
            </w:r>
          </w:p>
        </w:tc>
        <w:tc>
          <w:tcPr>
            <w:tcW w:w="1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12,975</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12,532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3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124,962</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120,328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Intangible assets</w:t>
            </w:r>
          </w:p>
        </w:tc>
        <w:tc>
          <w:tcPr>
            <w:tcW w:w="1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2,669</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3,308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3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3,557</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3,907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assets</w:t>
            </w:r>
          </w:p>
        </w:tc>
        <w:tc>
          <w:tcPr>
            <w:tcW w:w="1340" w:type="dxa"/>
            <w:vAlign w:val="bottom"/>
            <w:tcBorders>
              <w:top w:val="single" w:sz="8" w:color="auto"/>
              <w:bottom w:val="single" w:sz="8" w:color="auto"/>
            </w:tcBorders>
            <w:shd w:val="clear" w:color="auto" w:fill="CFF0FC"/>
          </w:tcPr>
          <w:p>
            <w:pPr>
              <w:jc w:val="right"/>
              <w:ind w:right="1186"/>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274,347</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Arial" w:cs="Arial" w:eastAsia="Arial" w:hAnsi="Arial"/>
                <w:sz w:val="10"/>
                <w:szCs w:val="10"/>
                <w:color w:val="auto"/>
                <w:w w:val="71"/>
              </w:rPr>
              <w:t>$</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259,881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LIABILITIES AND STOCKHOLDERS' EQUITY</w:t>
            </w:r>
          </w:p>
        </w:tc>
        <w:tc>
          <w:tcPr>
            <w:tcW w:w="13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9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1340" w:type="dxa"/>
            <w:vAlign w:val="bottom"/>
            <w:shd w:val="clear" w:color="auto" w:fill="CFF0FC"/>
          </w:tcPr>
          <w:p>
            <w:pPr>
              <w:jc w:val="right"/>
              <w:ind w:right="1186"/>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103,147</w:t>
            </w:r>
          </w:p>
        </w:tc>
        <w:tc>
          <w:tcPr>
            <w:tcW w:w="3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50"/>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99,049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Long-term debt</w:t>
            </w:r>
          </w:p>
        </w:tc>
        <w:tc>
          <w:tcPr>
            <w:tcW w:w="1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26,158</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33,506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Borrowings under credit facility</w:t>
            </w:r>
          </w:p>
        </w:tc>
        <w:tc>
          <w:tcPr>
            <w:tcW w:w="13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41,984</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Deferred gain on sale-leaseback</w:t>
            </w:r>
          </w:p>
        </w:tc>
        <w:tc>
          <w:tcPr>
            <w:tcW w:w="1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14,654</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16,119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13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88,404</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92,390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Pr>
          <w:p>
            <w:pPr>
              <w:ind w:left="240"/>
              <w:spacing w:after="0"/>
              <w:rPr>
                <w:sz w:val="20"/>
                <w:szCs w:val="20"/>
                <w:color w:val="auto"/>
              </w:rPr>
            </w:pPr>
            <w:r>
              <w:rPr>
                <w:rFonts w:ascii="Arial" w:cs="Arial" w:eastAsia="Arial" w:hAnsi="Arial"/>
                <w:sz w:val="18"/>
                <w:szCs w:val="18"/>
                <w:color w:val="auto"/>
              </w:rPr>
              <w:t>Total liabilities and stockholders' equity</w:t>
            </w:r>
          </w:p>
        </w:tc>
        <w:tc>
          <w:tcPr>
            <w:tcW w:w="1340" w:type="dxa"/>
            <w:vAlign w:val="bottom"/>
            <w:tcBorders>
              <w:bottom w:val="single" w:sz="8" w:color="auto"/>
            </w:tcBorders>
          </w:tcPr>
          <w:p>
            <w:pPr>
              <w:jc w:val="right"/>
              <w:ind w:right="1186"/>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274,347</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250"/>
              <w:spacing w:after="0"/>
              <w:rPr>
                <w:sz w:val="20"/>
                <w:szCs w:val="20"/>
                <w:color w:val="auto"/>
              </w:rPr>
            </w:pPr>
            <w:r>
              <w:rPr>
                <w:rFonts w:ascii="Arial" w:cs="Arial" w:eastAsia="Arial" w:hAnsi="Arial"/>
                <w:sz w:val="10"/>
                <w:szCs w:val="10"/>
                <w:color w:val="auto"/>
                <w:w w:val="71"/>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259,881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2" w:name="page13"/>
    <w:bookmarkEnd w:id="12"/>
    <w:p>
      <w:pPr>
        <w:jc w:val="center"/>
        <w:ind w:right="100"/>
        <w:spacing w:after="0"/>
        <w:rPr>
          <w:sz w:val="20"/>
          <w:szCs w:val="20"/>
          <w:color w:val="auto"/>
        </w:rPr>
      </w:pPr>
      <w:r>
        <w:rPr>
          <w:rFonts w:ascii="Arial" w:cs="Arial" w:eastAsia="Arial" w:hAnsi="Arial"/>
          <w:sz w:val="20"/>
          <w:szCs w:val="20"/>
          <w:i w:val="1"/>
          <w:iCs w:val="1"/>
          <w:color w:val="auto"/>
        </w:rPr>
        <w:t>CERTAIN COLUMNS IN THE FOLLOWING TABLES MAY NOT FOOT DUE TO ROUNDING.</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100" w:type="dxa"/>
            <w:vAlign w:val="bottom"/>
            <w:gridSpan w:val="18"/>
          </w:tcPr>
          <w:p>
            <w:pPr>
              <w:jc w:val="center"/>
              <w:ind w:left="1322"/>
              <w:spacing w:after="0"/>
              <w:rPr>
                <w:sz w:val="20"/>
                <w:szCs w:val="20"/>
                <w:color w:val="auto"/>
              </w:rPr>
            </w:pPr>
            <w:r>
              <w:rPr>
                <w:rFonts w:ascii="Arial" w:cs="Arial" w:eastAsia="Arial" w:hAnsi="Arial"/>
                <w:sz w:val="14"/>
                <w:szCs w:val="14"/>
                <w:b w:val="1"/>
                <w:bCs w:val="1"/>
                <w:color w:val="auto"/>
              </w:rPr>
              <w:t>GAAP TO NON-GAAP RECONCILIATION OF NET INCOME (LOSS)</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8"/>
        </w:trPr>
        <w:tc>
          <w:tcPr>
            <w:tcW w:w="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gridSpan w:val="7"/>
          </w:tcPr>
          <w:p>
            <w:pPr>
              <w:ind w:left="60"/>
              <w:spacing w:after="0"/>
              <w:rPr>
                <w:sz w:val="20"/>
                <w:szCs w:val="20"/>
                <w:color w:val="auto"/>
              </w:rPr>
            </w:pPr>
            <w:r>
              <w:rPr>
                <w:rFonts w:ascii="Arial" w:cs="Arial" w:eastAsia="Arial" w:hAnsi="Arial"/>
                <w:sz w:val="14"/>
                <w:szCs w:val="14"/>
                <w:color w:val="auto"/>
                <w:w w:val="89"/>
              </w:rPr>
              <w:t>For the three months ended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gridSpan w:val="8"/>
          </w:tcPr>
          <w:p>
            <w:pPr>
              <w:jc w:val="right"/>
              <w:ind w:right="280"/>
              <w:spacing w:after="0"/>
              <w:rPr>
                <w:sz w:val="20"/>
                <w:szCs w:val="20"/>
                <w:color w:val="auto"/>
              </w:rPr>
            </w:pPr>
            <w:r>
              <w:rPr>
                <w:rFonts w:ascii="Arial" w:cs="Arial" w:eastAsia="Arial" w:hAnsi="Arial"/>
                <w:sz w:val="14"/>
                <w:szCs w:val="14"/>
                <w:color w:val="auto"/>
              </w:rPr>
              <w:t>For the year ended</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760" w:type="dxa"/>
            <w:vAlign w:val="bottom"/>
            <w:gridSpan w:val="7"/>
          </w:tcPr>
          <w:p>
            <w:pPr>
              <w:jc w:val="center"/>
              <w:spacing w:after="0"/>
              <w:rPr>
                <w:sz w:val="20"/>
                <w:szCs w:val="20"/>
                <w:color w:val="auto"/>
              </w:rPr>
            </w:pPr>
            <w:r>
              <w:rPr>
                <w:rFonts w:ascii="Arial" w:cs="Arial" w:eastAsia="Arial" w:hAnsi="Arial"/>
                <w:sz w:val="14"/>
                <w:szCs w:val="14"/>
                <w:color w:val="auto"/>
                <w:w w:val="90"/>
              </w:rPr>
              <w:t>January 30, 2016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8"/>
          </w:tcPr>
          <w:p>
            <w:pPr>
              <w:ind w:left="180"/>
              <w:spacing w:after="0"/>
              <w:rPr>
                <w:sz w:val="20"/>
                <w:szCs w:val="20"/>
                <w:color w:val="auto"/>
              </w:rPr>
            </w:pPr>
            <w:r>
              <w:rPr>
                <w:rFonts w:ascii="Arial" w:cs="Arial" w:eastAsia="Arial" w:hAnsi="Arial"/>
                <w:sz w:val="14"/>
                <w:szCs w:val="14"/>
                <w:color w:val="auto"/>
              </w:rPr>
              <w:t>January 31, 2015</w:t>
            </w:r>
          </w:p>
        </w:tc>
        <w:tc>
          <w:tcPr>
            <w:tcW w:w="280" w:type="dxa"/>
            <w:vAlign w:val="bottom"/>
          </w:tcPr>
          <w:p>
            <w:pPr>
              <w:spacing w:after="0"/>
              <w:rPr>
                <w:sz w:val="14"/>
                <w:szCs w:val="14"/>
                <w:color w:val="auto"/>
              </w:rPr>
            </w:pPr>
          </w:p>
        </w:tc>
        <w:tc>
          <w:tcPr>
            <w:tcW w:w="1360" w:type="dxa"/>
            <w:vAlign w:val="bottom"/>
            <w:gridSpan w:val="9"/>
          </w:tcPr>
          <w:p>
            <w:pPr>
              <w:jc w:val="right"/>
              <w:ind w:right="380"/>
              <w:spacing w:after="0"/>
              <w:rPr>
                <w:sz w:val="20"/>
                <w:szCs w:val="20"/>
                <w:color w:val="auto"/>
              </w:rPr>
            </w:pPr>
            <w:r>
              <w:rPr>
                <w:rFonts w:ascii="Arial" w:cs="Arial" w:eastAsia="Arial" w:hAnsi="Arial"/>
                <w:sz w:val="14"/>
                <w:szCs w:val="14"/>
                <w:color w:val="auto"/>
                <w:w w:val="88"/>
              </w:rPr>
              <w:t>January 30, 2016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6"/>
          </w:tcPr>
          <w:p>
            <w:pPr>
              <w:jc w:val="center"/>
              <w:ind w:right="340"/>
              <w:spacing w:after="0"/>
              <w:rPr>
                <w:sz w:val="20"/>
                <w:szCs w:val="20"/>
                <w:color w:val="auto"/>
              </w:rPr>
            </w:pPr>
            <w:r>
              <w:rPr>
                <w:rFonts w:ascii="Arial" w:cs="Arial" w:eastAsia="Arial" w:hAnsi="Arial"/>
                <w:sz w:val="14"/>
                <w:szCs w:val="14"/>
                <w:color w:val="auto"/>
                <w:w w:val="90"/>
              </w:rPr>
              <w:t>January 31, 2015</w:t>
            </w:r>
          </w:p>
        </w:tc>
        <w:tc>
          <w:tcPr>
            <w:tcW w:w="0" w:type="dxa"/>
            <w:vAlign w:val="bottom"/>
          </w:tcPr>
          <w:p>
            <w:pPr>
              <w:spacing w:after="0"/>
              <w:rPr>
                <w:sz w:val="1"/>
                <w:szCs w:val="1"/>
                <w:color w:val="auto"/>
              </w:rPr>
            </w:pPr>
          </w:p>
        </w:tc>
      </w:tr>
      <w:tr>
        <w:trPr>
          <w:trHeight w:val="137"/>
        </w:trPr>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3"/>
          </w:tcPr>
          <w:p>
            <w:pPr>
              <w:ind w:left="40"/>
              <w:spacing w:after="0" w:line="137" w:lineRule="exact"/>
              <w:rPr>
                <w:sz w:val="20"/>
                <w:szCs w:val="20"/>
                <w:color w:val="auto"/>
              </w:rPr>
            </w:pPr>
            <w:r>
              <w:rPr>
                <w:rFonts w:ascii="Arial" w:cs="Arial" w:eastAsia="Arial" w:hAnsi="Arial"/>
                <w:sz w:val="14"/>
                <w:szCs w:val="14"/>
                <w:color w:val="auto"/>
              </w:rPr>
              <w:t>Per diluted</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3"/>
          </w:tcPr>
          <w:p>
            <w:pPr>
              <w:jc w:val="center"/>
              <w:ind w:right="44"/>
              <w:spacing w:after="0" w:line="137" w:lineRule="exact"/>
              <w:rPr>
                <w:sz w:val="20"/>
                <w:szCs w:val="20"/>
                <w:color w:val="auto"/>
              </w:rPr>
            </w:pPr>
            <w:r>
              <w:rPr>
                <w:rFonts w:ascii="Arial" w:cs="Arial" w:eastAsia="Arial" w:hAnsi="Arial"/>
                <w:sz w:val="14"/>
                <w:szCs w:val="14"/>
                <w:color w:val="auto"/>
                <w:w w:val="92"/>
              </w:rPr>
              <w:t>Per diluted</w:t>
            </w:r>
          </w:p>
        </w:tc>
        <w:tc>
          <w:tcPr>
            <w:tcW w:w="1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3"/>
          </w:tcPr>
          <w:p>
            <w:pPr>
              <w:jc w:val="center"/>
              <w:ind w:right="120"/>
              <w:spacing w:after="0" w:line="137" w:lineRule="exact"/>
              <w:rPr>
                <w:sz w:val="20"/>
                <w:szCs w:val="20"/>
                <w:color w:val="auto"/>
              </w:rPr>
            </w:pPr>
            <w:r>
              <w:rPr>
                <w:rFonts w:ascii="Arial" w:cs="Arial" w:eastAsia="Arial" w:hAnsi="Arial"/>
                <w:sz w:val="14"/>
                <w:szCs w:val="14"/>
                <w:color w:val="auto"/>
                <w:w w:val="92"/>
              </w:rPr>
              <w:t>Per diluted</w:t>
            </w: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right"/>
              <w:ind w:right="120"/>
              <w:spacing w:after="0" w:line="137" w:lineRule="exact"/>
              <w:rPr>
                <w:sz w:val="20"/>
                <w:szCs w:val="20"/>
                <w:color w:val="auto"/>
              </w:rPr>
            </w:pPr>
            <w:r>
              <w:rPr>
                <w:rFonts w:ascii="Arial" w:cs="Arial" w:eastAsia="Arial" w:hAnsi="Arial"/>
                <w:sz w:val="14"/>
                <w:szCs w:val="14"/>
                <w:color w:val="auto"/>
                <w:w w:val="92"/>
              </w:rPr>
              <w:t>Per diluted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38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million, except per share data)</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ind w:right="242"/>
              <w:spacing w:after="0"/>
              <w:rPr>
                <w:sz w:val="20"/>
                <w:szCs w:val="20"/>
                <w:color w:val="auto"/>
              </w:rPr>
            </w:pPr>
            <w:r>
              <w:rPr>
                <w:rFonts w:ascii="Arial" w:cs="Arial" w:eastAsia="Arial" w:hAnsi="Arial"/>
                <w:sz w:val="14"/>
                <w:szCs w:val="14"/>
                <w:color w:val="auto"/>
              </w:rPr>
              <w:t>share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jc w:val="right"/>
              <w:ind w:right="11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jc w:val="center"/>
              <w:ind w:right="340"/>
              <w:spacing w:after="0"/>
              <w:rPr>
                <w:sz w:val="20"/>
                <w:szCs w:val="20"/>
                <w:color w:val="auto"/>
              </w:rPr>
            </w:pPr>
            <w:r>
              <w:rPr>
                <w:rFonts w:ascii="Arial" w:cs="Arial" w:eastAsia="Arial" w:hAnsi="Arial"/>
                <w:sz w:val="14"/>
                <w:szCs w:val="14"/>
                <w:color w:val="auto"/>
                <w:w w:val="85"/>
              </w:rPr>
              <w:t>share</w:t>
            </w:r>
          </w:p>
        </w:tc>
        <w:tc>
          <w:tcPr>
            <w:tcW w:w="380" w:type="dxa"/>
            <w:vAlign w:val="bottom"/>
            <w:gridSpan w:val="2"/>
          </w:tcPr>
          <w:p>
            <w:pPr>
              <w:jc w:val="right"/>
              <w:ind w:right="6"/>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4"/>
          </w:tcPr>
          <w:p>
            <w:pPr>
              <w:jc w:val="center"/>
              <w:ind w:right="200"/>
              <w:spacing w:after="0"/>
              <w:rPr>
                <w:sz w:val="20"/>
                <w:szCs w:val="20"/>
                <w:color w:val="auto"/>
              </w:rPr>
            </w:pPr>
            <w:r>
              <w:rPr>
                <w:rFonts w:ascii="Arial" w:cs="Arial" w:eastAsia="Arial" w:hAnsi="Arial"/>
                <w:sz w:val="14"/>
                <w:szCs w:val="14"/>
                <w:color w:val="auto"/>
                <w:w w:val="85"/>
              </w:rPr>
              <w:t>share</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jc w:val="right"/>
              <w:ind w:right="225"/>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right"/>
              <w:ind w:right="380"/>
              <w:spacing w:after="0"/>
              <w:rPr>
                <w:sz w:val="20"/>
                <w:szCs w:val="20"/>
                <w:color w:val="auto"/>
              </w:rPr>
            </w:pPr>
            <w:r>
              <w:rPr>
                <w:rFonts w:ascii="Arial" w:cs="Arial" w:eastAsia="Arial" w:hAnsi="Arial"/>
                <w:sz w:val="14"/>
                <w:szCs w:val="14"/>
                <w:color w:val="auto"/>
              </w:rPr>
              <w:t>share</w:t>
            </w:r>
          </w:p>
        </w:tc>
        <w:tc>
          <w:tcPr>
            <w:tcW w:w="0" w:type="dxa"/>
            <w:vAlign w:val="bottom"/>
          </w:tcPr>
          <w:p>
            <w:pPr>
              <w:spacing w:after="0"/>
              <w:rPr>
                <w:sz w:val="1"/>
                <w:szCs w:val="1"/>
                <w:color w:val="auto"/>
              </w:rPr>
            </w:pPr>
          </w:p>
        </w:tc>
      </w:tr>
      <w:tr>
        <w:trPr>
          <w:trHeight w:val="142"/>
        </w:trPr>
        <w:tc>
          <w:tcPr>
            <w:tcW w:w="4380" w:type="dxa"/>
            <w:vAlign w:val="bottom"/>
            <w:gridSpan w:val="3"/>
            <w:vMerge w:val="continue"/>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380" w:type="dxa"/>
            <w:vAlign w:val="bottom"/>
            <w:gridSpan w:val="3"/>
          </w:tcPr>
          <w:p>
            <w:pPr>
              <w:spacing w:after="0"/>
              <w:rPr>
                <w:sz w:val="20"/>
                <w:szCs w:val="20"/>
                <w:color w:val="auto"/>
              </w:rPr>
            </w:pPr>
            <w:r>
              <w:rPr>
                <w:rFonts w:ascii="Arial" w:cs="Arial" w:eastAsia="Arial" w:hAnsi="Arial"/>
                <w:sz w:val="14"/>
                <w:szCs w:val="14"/>
                <w:b w:val="1"/>
                <w:bCs w:val="1"/>
                <w:color w:val="auto"/>
              </w:rPr>
              <w:t>Income (loss) from continuing operations</w:t>
            </w: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440" w:type="dxa"/>
            <w:vAlign w:val="bottom"/>
            <w:gridSpan w:val="2"/>
          </w:tcPr>
          <w:p>
            <w:pPr>
              <w:jc w:val="right"/>
              <w:ind w:right="100"/>
              <w:spacing w:after="0"/>
              <w:rPr>
                <w:sz w:val="20"/>
                <w:szCs w:val="20"/>
                <w:color w:val="auto"/>
              </w:rPr>
            </w:pPr>
            <w:r>
              <w:rPr>
                <w:rFonts w:ascii="Arial" w:cs="Arial" w:eastAsia="Arial" w:hAnsi="Arial"/>
                <w:sz w:val="14"/>
                <w:szCs w:val="14"/>
                <w:color w:val="auto"/>
              </w:rPr>
              <w:t>(1.4)</w:t>
            </w:r>
          </w:p>
        </w:tc>
        <w:tc>
          <w:tcPr>
            <w:tcW w:w="80" w:type="dxa"/>
            <w:vAlign w:val="bottom"/>
          </w:tcPr>
          <w:p>
            <w:pPr>
              <w:jc w:val="center"/>
              <w:spacing w:after="0"/>
              <w:rPr>
                <w:sz w:val="20"/>
                <w:szCs w:val="20"/>
                <w:color w:val="auto"/>
              </w:rPr>
            </w:pPr>
            <w:r>
              <w:rPr>
                <w:rFonts w:ascii="Arial" w:cs="Arial" w:eastAsia="Arial" w:hAnsi="Arial"/>
                <w:sz w:val="14"/>
                <w:szCs w:val="14"/>
                <w:color w:val="auto"/>
                <w:w w:val="76"/>
              </w:rPr>
              <w:t>$</w:t>
            </w: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(0.03)</w:t>
            </w:r>
          </w:p>
        </w:tc>
        <w:tc>
          <w:tcPr>
            <w:tcW w:w="28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4"/>
                <w:szCs w:val="14"/>
                <w:color w:val="auto"/>
              </w:rPr>
              <w:t>1.4</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0.03</w:t>
            </w:r>
          </w:p>
        </w:tc>
        <w:tc>
          <w:tcPr>
            <w:tcW w:w="120" w:type="dxa"/>
            <w:vAlign w:val="bottom"/>
          </w:tcPr>
          <w:p>
            <w:pPr>
              <w:spacing w:after="0"/>
              <w:rPr>
                <w:sz w:val="24"/>
                <w:szCs w:val="24"/>
                <w:color w:val="auto"/>
              </w:rPr>
            </w:pPr>
          </w:p>
        </w:tc>
        <w:tc>
          <w:tcPr>
            <w:tcW w:w="280" w:type="dxa"/>
            <w:vAlign w:val="bottom"/>
          </w:tcPr>
          <w:p>
            <w:pPr>
              <w:jc w:val="right"/>
              <w:ind w:right="143"/>
              <w:spacing w:after="0"/>
              <w:rPr>
                <w:sz w:val="20"/>
                <w:szCs w:val="20"/>
                <w:color w:val="auto"/>
              </w:rPr>
            </w:pPr>
            <w:r>
              <w:rPr>
                <w:rFonts w:ascii="Arial" w:cs="Arial" w:eastAsia="Arial" w:hAnsi="Arial"/>
                <w:sz w:val="10"/>
                <w:szCs w:val="10"/>
                <w:color w:val="auto"/>
                <w:w w:val="71"/>
              </w:rPr>
              <w:t>$</w:t>
            </w:r>
          </w:p>
        </w:tc>
        <w:tc>
          <w:tcPr>
            <w:tcW w:w="320" w:type="dxa"/>
            <w:vAlign w:val="bottom"/>
            <w:gridSpan w:val="3"/>
          </w:tcPr>
          <w:p>
            <w:pPr>
              <w:jc w:val="right"/>
              <w:spacing w:after="0"/>
              <w:rPr>
                <w:sz w:val="20"/>
                <w:szCs w:val="20"/>
                <w:color w:val="auto"/>
              </w:rPr>
            </w:pPr>
            <w:r>
              <w:rPr>
                <w:rFonts w:ascii="Arial" w:cs="Arial" w:eastAsia="Arial" w:hAnsi="Arial"/>
                <w:sz w:val="14"/>
                <w:szCs w:val="14"/>
                <w:color w:val="auto"/>
                <w:w w:val="97"/>
              </w:rPr>
              <w:t>(8.4)</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60" w:type="dxa"/>
            <w:vAlign w:val="bottom"/>
            <w:gridSpan w:val="4"/>
          </w:tcPr>
          <w:p>
            <w:pPr>
              <w:jc w:val="right"/>
              <w:ind w:right="40"/>
              <w:spacing w:after="0"/>
              <w:rPr>
                <w:sz w:val="20"/>
                <w:szCs w:val="20"/>
                <w:color w:val="auto"/>
              </w:rPr>
            </w:pPr>
            <w:r>
              <w:rPr>
                <w:rFonts w:ascii="Arial" w:cs="Arial" w:eastAsia="Arial" w:hAnsi="Arial"/>
                <w:sz w:val="14"/>
                <w:szCs w:val="14"/>
                <w:color w:val="auto"/>
              </w:rPr>
              <w:t>(0.17)</w:t>
            </w:r>
          </w:p>
        </w:tc>
        <w:tc>
          <w:tcPr>
            <w:tcW w:w="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(11.2)</w:t>
            </w:r>
          </w:p>
        </w:tc>
        <w:tc>
          <w:tcPr>
            <w:tcW w:w="100" w:type="dxa"/>
            <w:vAlign w:val="bottom"/>
          </w:tcPr>
          <w:p>
            <w:pPr>
              <w:jc w:val="center"/>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40"/>
              <w:spacing w:after="0"/>
              <w:rPr>
                <w:sz w:val="20"/>
                <w:szCs w:val="20"/>
                <w:color w:val="auto"/>
              </w:rPr>
            </w:pPr>
            <w:r>
              <w:rPr>
                <w:rFonts w:ascii="Arial" w:cs="Arial" w:eastAsia="Arial" w:hAnsi="Arial"/>
                <w:sz w:val="14"/>
                <w:szCs w:val="14"/>
                <w:color w:val="auto"/>
              </w:rPr>
              <w:t>(0.23)</w:t>
            </w:r>
          </w:p>
        </w:tc>
        <w:tc>
          <w:tcPr>
            <w:tcW w:w="0" w:type="dxa"/>
            <w:vAlign w:val="bottom"/>
          </w:tcPr>
          <w:p>
            <w:pPr>
              <w:spacing w:after="0"/>
              <w:rPr>
                <w:sz w:val="1"/>
                <w:szCs w:val="1"/>
                <w:color w:val="auto"/>
              </w:rPr>
            </w:pPr>
          </w:p>
        </w:tc>
      </w:tr>
      <w:tr>
        <w:trPr>
          <w:trHeight w:val="203"/>
        </w:trPr>
        <w:tc>
          <w:tcPr>
            <w:tcW w:w="8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4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tcBorders>
              <w:lef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tcBorders>
              <w:left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gridSpan w:val="3"/>
          </w:tcPr>
          <w:p>
            <w:pPr>
              <w:spacing w:after="0"/>
              <w:rPr>
                <w:sz w:val="20"/>
                <w:szCs w:val="20"/>
                <w:color w:val="auto"/>
              </w:rPr>
            </w:pPr>
            <w:r>
              <w:rPr>
                <w:rFonts w:ascii="Arial" w:cs="Arial" w:eastAsia="Arial" w:hAnsi="Arial"/>
                <w:sz w:val="14"/>
                <w:szCs w:val="14"/>
                <w:color w:val="auto"/>
              </w:rPr>
              <w:t>Add back: Actual income tax provision</w:t>
            </w:r>
          </w:p>
        </w:tc>
        <w:tc>
          <w:tcPr>
            <w:tcW w:w="42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0.1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gridSpan w:val="3"/>
          </w:tcPr>
          <w:p>
            <w:pPr>
              <w:jc w:val="right"/>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0.2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4380" w:type="dxa"/>
            <w:vAlign w:val="bottom"/>
            <w:gridSpan w:val="3"/>
            <w:shd w:val="clear" w:color="auto" w:fill="CFF0FC"/>
          </w:tcPr>
          <w:p>
            <w:pPr>
              <w:ind w:left="260"/>
              <w:spacing w:after="0"/>
              <w:rPr>
                <w:sz w:val="20"/>
                <w:szCs w:val="20"/>
                <w:color w:val="auto"/>
              </w:rPr>
            </w:pPr>
            <w:r>
              <w:rPr>
                <w:rFonts w:ascii="Arial" w:cs="Arial" w:eastAsia="Arial" w:hAnsi="Arial"/>
                <w:sz w:val="14"/>
                <w:szCs w:val="14"/>
                <w:color w:val="auto"/>
              </w:rPr>
              <w:t>Income tax benefit (provision), assuming normal tax rate of 40%</w:t>
            </w:r>
          </w:p>
        </w:tc>
        <w:tc>
          <w:tcPr>
            <w:tcW w:w="420" w:type="dxa"/>
            <w:vAlign w:val="bottom"/>
            <w:shd w:val="clear" w:color="auto" w:fill="CFF0FC"/>
          </w:tcPr>
          <w:p>
            <w:pPr>
              <w:spacing w:after="0"/>
              <w:rPr>
                <w:sz w:val="24"/>
                <w:szCs w:val="2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0.5</w:t>
            </w:r>
          </w:p>
        </w:tc>
        <w:tc>
          <w:tcPr>
            <w:tcW w:w="160" w:type="dxa"/>
            <w:vAlign w:val="bottom"/>
            <w:tcBorders>
              <w:right w:val="single" w:sz="8" w:color="CFF0FC"/>
            </w:tcBorders>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820" w:type="dxa"/>
            <w:vAlign w:val="bottom"/>
            <w:tcBorders>
              <w:right w:val="single" w:sz="8" w:color="CFF0FC"/>
            </w:tcBorders>
            <w:gridSpan w:val="3"/>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660" w:type="dxa"/>
            <w:vAlign w:val="bottom"/>
            <w:gridSpan w:val="3"/>
            <w:shd w:val="clear" w:color="auto" w:fill="CFF0FC"/>
          </w:tcPr>
          <w:p>
            <w:pPr>
              <w:jc w:val="right"/>
              <w:ind w:right="23"/>
              <w:spacing w:after="0"/>
              <w:rPr>
                <w:sz w:val="20"/>
                <w:szCs w:val="20"/>
                <w:color w:val="auto"/>
              </w:rPr>
            </w:pPr>
            <w:r>
              <w:rPr>
                <w:rFonts w:ascii="Arial" w:cs="Arial" w:eastAsia="Arial" w:hAnsi="Arial"/>
                <w:sz w:val="14"/>
                <w:szCs w:val="14"/>
                <w:color w:val="auto"/>
              </w:rPr>
              <w:t>(0.6)</w:t>
            </w:r>
          </w:p>
        </w:tc>
        <w:tc>
          <w:tcPr>
            <w:tcW w:w="1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320" w:type="dxa"/>
            <w:vAlign w:val="bottom"/>
            <w:tcBorders>
              <w:right w:val="single" w:sz="8" w:color="CFF0FC"/>
            </w:tcBorders>
            <w:gridSpan w:val="3"/>
            <w:shd w:val="clear" w:color="auto" w:fill="CFF0FC"/>
          </w:tcPr>
          <w:p>
            <w:pPr>
              <w:jc w:val="right"/>
              <w:spacing w:after="0"/>
              <w:rPr>
                <w:sz w:val="20"/>
                <w:szCs w:val="20"/>
                <w:color w:val="auto"/>
              </w:rPr>
            </w:pPr>
            <w:r>
              <w:rPr>
                <w:rFonts w:ascii="Arial" w:cs="Arial" w:eastAsia="Arial" w:hAnsi="Arial"/>
                <w:sz w:val="14"/>
                <w:szCs w:val="14"/>
                <w:color w:val="auto"/>
              </w:rPr>
              <w:t>3.3</w:t>
            </w:r>
          </w:p>
        </w:tc>
        <w:tc>
          <w:tcPr>
            <w:tcW w:w="8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78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24"/>
                <w:szCs w:val="24"/>
                <w:color w:val="auto"/>
              </w:rPr>
            </w:pPr>
          </w:p>
        </w:tc>
        <w:tc>
          <w:tcPr>
            <w:tcW w:w="100" w:type="dxa"/>
            <w:vAlign w:val="bottom"/>
            <w:tcBorders>
              <w:left w:val="single" w:sz="8" w:color="CFF0FC"/>
            </w:tcBorders>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w:t>
            </w:r>
          </w:p>
        </w:tc>
        <w:tc>
          <w:tcPr>
            <w:tcW w:w="14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left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00" w:type="dxa"/>
            <w:vAlign w:val="bottom"/>
            <w:tcBorders>
              <w:bottom w:val="single" w:sz="8" w:color="CFF0FC"/>
            </w:tcBorders>
          </w:tcPr>
          <w:p>
            <w:pPr>
              <w:spacing w:after="0"/>
              <w:rPr>
                <w:sz w:val="17"/>
                <w:szCs w:val="17"/>
                <w:color w:val="auto"/>
              </w:rPr>
            </w:pPr>
          </w:p>
        </w:tc>
        <w:tc>
          <w:tcPr>
            <w:tcW w:w="1160" w:type="dxa"/>
            <w:vAlign w:val="bottom"/>
            <w:tcBorders>
              <w:bottom w:val="single" w:sz="8" w:color="CFF0FC"/>
            </w:tcBorders>
          </w:tcPr>
          <w:p>
            <w:pPr>
              <w:spacing w:after="0"/>
              <w:rPr>
                <w:sz w:val="17"/>
                <w:szCs w:val="17"/>
                <w:color w:val="auto"/>
              </w:rPr>
            </w:pPr>
          </w:p>
        </w:tc>
        <w:tc>
          <w:tcPr>
            <w:tcW w:w="2420" w:type="dxa"/>
            <w:vAlign w:val="bottom"/>
            <w:tcBorders>
              <w:bottom w:val="single" w:sz="8" w:color="CFF0FC"/>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4380" w:type="dxa"/>
            <w:vAlign w:val="bottom"/>
            <w:gridSpan w:val="3"/>
            <w:shd w:val="clear" w:color="auto" w:fill="CFF0FC"/>
          </w:tcPr>
          <w:p>
            <w:pPr>
              <w:spacing w:after="0"/>
              <w:rPr>
                <w:sz w:val="20"/>
                <w:szCs w:val="20"/>
                <w:color w:val="auto"/>
              </w:rPr>
            </w:pPr>
            <w:r>
              <w:rPr>
                <w:rFonts w:ascii="Arial" w:cs="Arial" w:eastAsia="Arial" w:hAnsi="Arial"/>
                <w:sz w:val="14"/>
                <w:szCs w:val="14"/>
                <w:b w:val="1"/>
                <w:bCs w:val="1"/>
                <w:color w:val="auto"/>
              </w:rPr>
              <w:t>Adjusted income(loss) from continuing operations</w:t>
            </w:r>
          </w:p>
        </w:tc>
        <w:tc>
          <w:tcPr>
            <w:tcW w:w="420" w:type="dxa"/>
            <w:vAlign w:val="bottom"/>
            <w:shd w:val="clear" w:color="auto" w:fill="CFF0FC"/>
          </w:tcPr>
          <w:p>
            <w:pPr>
              <w:jc w:val="right"/>
              <w:ind w:right="268"/>
              <w:spacing w:after="0"/>
              <w:rPr>
                <w:sz w:val="20"/>
                <w:szCs w:val="20"/>
                <w:color w:val="auto"/>
              </w:rPr>
            </w:pPr>
            <w:r>
              <w:rPr>
                <w:rFonts w:ascii="Arial" w:cs="Arial" w:eastAsia="Arial" w:hAnsi="Arial"/>
                <w:sz w:val="14"/>
                <w:szCs w:val="14"/>
                <w:color w:val="auto"/>
                <w:w w:val="76"/>
              </w:rPr>
              <w:t>$</w:t>
            </w:r>
          </w:p>
        </w:tc>
        <w:tc>
          <w:tcPr>
            <w:tcW w:w="44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(0.8)</w:t>
            </w:r>
          </w:p>
        </w:tc>
        <w:tc>
          <w:tcPr>
            <w:tcW w:w="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76"/>
              </w:rPr>
              <w:t>$</w:t>
            </w:r>
          </w:p>
        </w:tc>
        <w:tc>
          <w:tcPr>
            <w:tcW w:w="820" w:type="dxa"/>
            <w:vAlign w:val="bottom"/>
            <w:tcBorders>
              <w:right w:val="single" w:sz="8" w:color="CFF0FC"/>
            </w:tcBorders>
            <w:gridSpan w:val="3"/>
            <w:shd w:val="clear" w:color="auto" w:fill="CFF0FC"/>
          </w:tcPr>
          <w:p>
            <w:pPr>
              <w:jc w:val="right"/>
              <w:spacing w:after="0"/>
              <w:rPr>
                <w:sz w:val="20"/>
                <w:szCs w:val="20"/>
                <w:color w:val="auto"/>
              </w:rPr>
            </w:pPr>
            <w:r>
              <w:rPr>
                <w:rFonts w:ascii="Arial" w:cs="Arial" w:eastAsia="Arial" w:hAnsi="Arial"/>
                <w:sz w:val="14"/>
                <w:szCs w:val="14"/>
                <w:color w:val="auto"/>
              </w:rPr>
              <w:t>(0.02)</w:t>
            </w:r>
          </w:p>
        </w:tc>
        <w:tc>
          <w:tcPr>
            <w:tcW w:w="280" w:type="dxa"/>
            <w:vAlign w:val="bottom"/>
            <w:gridSpan w:val="2"/>
            <w:shd w:val="clear" w:color="auto" w:fill="CFF0FC"/>
          </w:tcPr>
          <w:p>
            <w:pPr>
              <w:jc w:val="center"/>
              <w:spacing w:after="0"/>
              <w:rPr>
                <w:sz w:val="20"/>
                <w:szCs w:val="20"/>
                <w:color w:val="auto"/>
              </w:rPr>
            </w:pPr>
            <w:r>
              <w:rPr>
                <w:rFonts w:ascii="Arial" w:cs="Arial" w:eastAsia="Arial" w:hAnsi="Arial"/>
                <w:sz w:val="14"/>
                <w:szCs w:val="14"/>
                <w:color w:val="auto"/>
              </w:rPr>
              <w:t>$</w:t>
            </w:r>
          </w:p>
        </w:tc>
        <w:tc>
          <w:tcPr>
            <w:tcW w:w="54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0.9</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24"/>
                <w:szCs w:val="24"/>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0.02</w:t>
            </w:r>
          </w:p>
        </w:tc>
        <w:tc>
          <w:tcPr>
            <w:tcW w:w="120" w:type="dxa"/>
            <w:vAlign w:val="bottom"/>
            <w:shd w:val="clear" w:color="auto" w:fill="CFF0FC"/>
          </w:tcPr>
          <w:p>
            <w:pPr>
              <w:spacing w:after="0"/>
              <w:rPr>
                <w:sz w:val="24"/>
                <w:szCs w:val="24"/>
                <w:color w:val="auto"/>
              </w:rPr>
            </w:pPr>
          </w:p>
        </w:tc>
        <w:tc>
          <w:tcPr>
            <w:tcW w:w="280" w:type="dxa"/>
            <w:vAlign w:val="bottom"/>
            <w:shd w:val="clear" w:color="auto" w:fill="CFF0FC"/>
          </w:tcPr>
          <w:p>
            <w:pPr>
              <w:jc w:val="right"/>
              <w:ind w:right="143"/>
              <w:spacing w:after="0"/>
              <w:rPr>
                <w:sz w:val="20"/>
                <w:szCs w:val="20"/>
                <w:color w:val="auto"/>
              </w:rPr>
            </w:pPr>
            <w:r>
              <w:rPr>
                <w:rFonts w:ascii="Arial" w:cs="Arial" w:eastAsia="Arial" w:hAnsi="Arial"/>
                <w:sz w:val="10"/>
                <w:szCs w:val="10"/>
                <w:color w:val="auto"/>
                <w:w w:val="71"/>
              </w:rPr>
              <w:t>$</w:t>
            </w:r>
          </w:p>
        </w:tc>
        <w:tc>
          <w:tcPr>
            <w:tcW w:w="320" w:type="dxa"/>
            <w:vAlign w:val="bottom"/>
            <w:tcBorders>
              <w:right w:val="single" w:sz="8" w:color="CFF0FC"/>
            </w:tcBorders>
            <w:gridSpan w:val="3"/>
            <w:shd w:val="clear" w:color="auto" w:fill="CFF0FC"/>
          </w:tcPr>
          <w:p>
            <w:pPr>
              <w:jc w:val="right"/>
              <w:spacing w:after="0"/>
              <w:rPr>
                <w:sz w:val="20"/>
                <w:szCs w:val="20"/>
                <w:color w:val="auto"/>
              </w:rPr>
            </w:pPr>
            <w:r>
              <w:rPr>
                <w:rFonts w:ascii="Arial" w:cs="Arial" w:eastAsia="Arial" w:hAnsi="Arial"/>
                <w:sz w:val="14"/>
                <w:szCs w:val="14"/>
                <w:color w:val="auto"/>
                <w:w w:val="97"/>
              </w:rPr>
              <w:t>(4.9)</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860" w:type="dxa"/>
            <w:vAlign w:val="bottom"/>
            <w:gridSpan w:val="4"/>
            <w:shd w:val="clear" w:color="auto" w:fill="CFF0FC"/>
          </w:tcPr>
          <w:p>
            <w:pPr>
              <w:jc w:val="right"/>
              <w:ind w:right="40"/>
              <w:spacing w:after="0"/>
              <w:rPr>
                <w:sz w:val="20"/>
                <w:szCs w:val="20"/>
                <w:color w:val="auto"/>
              </w:rPr>
            </w:pPr>
            <w:r>
              <w:rPr>
                <w:rFonts w:ascii="Arial" w:cs="Arial" w:eastAsia="Arial" w:hAnsi="Arial"/>
                <w:sz w:val="14"/>
                <w:szCs w:val="14"/>
                <w:color w:val="auto"/>
              </w:rPr>
              <w:t>(0.10)</w:t>
            </w:r>
          </w:p>
        </w:tc>
        <w:tc>
          <w:tcPr>
            <w:tcW w:w="300" w:type="dxa"/>
            <w:vAlign w:val="bottom"/>
            <w:tcBorders>
              <w:lef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w:t>
            </w:r>
          </w:p>
        </w:tc>
        <w:tc>
          <w:tcPr>
            <w:tcW w:w="860" w:type="dxa"/>
            <w:vAlign w:val="bottom"/>
            <w:gridSpan w:val="3"/>
            <w:shd w:val="clear" w:color="auto" w:fill="CFF0FC"/>
          </w:tcPr>
          <w:p>
            <w:pPr>
              <w:jc w:val="right"/>
              <w:ind w:right="40"/>
              <w:spacing w:after="0"/>
              <w:rPr>
                <w:sz w:val="20"/>
                <w:szCs w:val="20"/>
                <w:color w:val="auto"/>
              </w:rPr>
            </w:pPr>
            <w:r>
              <w:rPr>
                <w:rFonts w:ascii="Arial" w:cs="Arial" w:eastAsia="Arial" w:hAnsi="Arial"/>
                <w:sz w:val="14"/>
                <w:szCs w:val="14"/>
                <w:color w:val="auto"/>
              </w:rPr>
              <w:t>(0.13)</w:t>
            </w:r>
          </w:p>
        </w:tc>
        <w:tc>
          <w:tcPr>
            <w:tcW w:w="0" w:type="dxa"/>
            <w:vAlign w:val="bottom"/>
          </w:tcPr>
          <w:p>
            <w:pPr>
              <w:spacing w:after="0"/>
              <w:rPr>
                <w:sz w:val="1"/>
                <w:szCs w:val="1"/>
                <w:color w:val="auto"/>
              </w:rPr>
            </w:pPr>
          </w:p>
        </w:tc>
      </w:tr>
      <w:tr>
        <w:trPr>
          <w:trHeight w:val="419"/>
        </w:trPr>
        <w:tc>
          <w:tcPr>
            <w:tcW w:w="4380" w:type="dxa"/>
            <w:vAlign w:val="bottom"/>
            <w:gridSpan w:val="3"/>
          </w:tcPr>
          <w:p>
            <w:pPr>
              <w:spacing w:after="0"/>
              <w:rPr>
                <w:sz w:val="20"/>
                <w:szCs w:val="20"/>
                <w:color w:val="auto"/>
              </w:rPr>
            </w:pPr>
            <w:r>
              <w:rPr>
                <w:rFonts w:ascii="Arial" w:cs="Arial" w:eastAsia="Arial" w:hAnsi="Arial"/>
                <w:sz w:val="14"/>
                <w:szCs w:val="14"/>
                <w:b w:val="1"/>
                <w:bCs w:val="1"/>
                <w:color w:val="auto"/>
              </w:rPr>
              <w:t>Income (loss) from discontinued operations</w:t>
            </w:r>
          </w:p>
        </w:tc>
        <w:tc>
          <w:tcPr>
            <w:tcW w:w="4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80" w:type="dxa"/>
            <w:vAlign w:val="bottom"/>
          </w:tcPr>
          <w:p>
            <w:pPr>
              <w:jc w:val="center"/>
              <w:ind w:right="28"/>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(1.1)</w:t>
            </w:r>
          </w:p>
        </w:tc>
        <w:tc>
          <w:tcPr>
            <w:tcW w:w="100" w:type="dxa"/>
            <w:vAlign w:val="bottom"/>
          </w:tcPr>
          <w:p>
            <w:pPr>
              <w:jc w:val="center"/>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40"/>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20"/>
        </w:trPr>
        <w:tc>
          <w:tcPr>
            <w:tcW w:w="4380" w:type="dxa"/>
            <w:vAlign w:val="bottom"/>
            <w:gridSpan w:val="3"/>
            <w:vMerge w:val="restart"/>
            <w:shd w:val="clear" w:color="auto" w:fill="CFF0FC"/>
          </w:tcPr>
          <w:p>
            <w:pPr>
              <w:spacing w:after="0"/>
              <w:rPr>
                <w:sz w:val="20"/>
                <w:szCs w:val="20"/>
                <w:color w:val="auto"/>
              </w:rPr>
            </w:pPr>
            <w:r>
              <w:rPr>
                <w:rFonts w:ascii="Arial" w:cs="Arial" w:eastAsia="Arial" w:hAnsi="Arial"/>
                <w:sz w:val="14"/>
                <w:szCs w:val="14"/>
                <w:b w:val="1"/>
                <w:bCs w:val="1"/>
                <w:color w:val="auto"/>
              </w:rPr>
              <w:t>Adjusted net income (loss), non-GAAP basis</w:t>
            </w: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tcBorders>
              <w:left w:val="single" w:sz="8" w:color="CFF0FC"/>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380" w:type="dxa"/>
            <w:vAlign w:val="bottom"/>
            <w:gridSpan w:val="3"/>
            <w:vMerge w:val="continue"/>
            <w:shd w:val="clear" w:color="auto" w:fill="CFF0FC"/>
          </w:tcPr>
          <w:p>
            <w:pPr>
              <w:spacing w:after="0"/>
              <w:rPr>
                <w:sz w:val="24"/>
                <w:szCs w:val="24"/>
                <w:color w:val="auto"/>
              </w:rPr>
            </w:pPr>
          </w:p>
        </w:tc>
        <w:tc>
          <w:tcPr>
            <w:tcW w:w="420" w:type="dxa"/>
            <w:vAlign w:val="bottom"/>
            <w:shd w:val="clear" w:color="auto" w:fill="CFF0FC"/>
          </w:tcPr>
          <w:p>
            <w:pPr>
              <w:jc w:val="right"/>
              <w:ind w:right="268"/>
              <w:spacing w:after="0"/>
              <w:rPr>
                <w:sz w:val="20"/>
                <w:szCs w:val="20"/>
                <w:color w:val="auto"/>
              </w:rPr>
            </w:pPr>
            <w:r>
              <w:rPr>
                <w:rFonts w:ascii="Arial" w:cs="Arial" w:eastAsia="Arial" w:hAnsi="Arial"/>
                <w:sz w:val="14"/>
                <w:szCs w:val="14"/>
                <w:color w:val="auto"/>
                <w:w w:val="76"/>
              </w:rPr>
              <w:t>$</w:t>
            </w:r>
          </w:p>
        </w:tc>
        <w:tc>
          <w:tcPr>
            <w:tcW w:w="44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(0.8)</w:t>
            </w:r>
          </w:p>
        </w:tc>
        <w:tc>
          <w:tcPr>
            <w:tcW w:w="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76"/>
              </w:rPr>
              <w:t>$</w:t>
            </w:r>
          </w:p>
        </w:tc>
        <w:tc>
          <w:tcPr>
            <w:tcW w:w="820" w:type="dxa"/>
            <w:vAlign w:val="bottom"/>
            <w:tcBorders>
              <w:right w:val="single" w:sz="8" w:color="CFF0FC"/>
            </w:tcBorders>
            <w:gridSpan w:val="3"/>
            <w:shd w:val="clear" w:color="auto" w:fill="CFF0FC"/>
          </w:tcPr>
          <w:p>
            <w:pPr>
              <w:jc w:val="right"/>
              <w:spacing w:after="0"/>
              <w:rPr>
                <w:sz w:val="20"/>
                <w:szCs w:val="20"/>
                <w:color w:val="auto"/>
              </w:rPr>
            </w:pPr>
            <w:r>
              <w:rPr>
                <w:rFonts w:ascii="Arial" w:cs="Arial" w:eastAsia="Arial" w:hAnsi="Arial"/>
                <w:sz w:val="14"/>
                <w:szCs w:val="14"/>
                <w:color w:val="auto"/>
              </w:rPr>
              <w:t>(0.02)</w:t>
            </w:r>
          </w:p>
        </w:tc>
        <w:tc>
          <w:tcPr>
            <w:tcW w:w="280" w:type="dxa"/>
            <w:vAlign w:val="bottom"/>
            <w:gridSpan w:val="2"/>
            <w:shd w:val="clear" w:color="auto" w:fill="CFF0FC"/>
          </w:tcPr>
          <w:p>
            <w:pPr>
              <w:jc w:val="center"/>
              <w:spacing w:after="0"/>
              <w:rPr>
                <w:sz w:val="20"/>
                <w:szCs w:val="20"/>
                <w:color w:val="auto"/>
              </w:rPr>
            </w:pPr>
            <w:r>
              <w:rPr>
                <w:rFonts w:ascii="Arial" w:cs="Arial" w:eastAsia="Arial" w:hAnsi="Arial"/>
                <w:sz w:val="14"/>
                <w:szCs w:val="14"/>
                <w:color w:val="auto"/>
              </w:rPr>
              <w:t>$</w:t>
            </w:r>
          </w:p>
        </w:tc>
        <w:tc>
          <w:tcPr>
            <w:tcW w:w="54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1.0</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24"/>
                <w:szCs w:val="24"/>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0.02</w:t>
            </w:r>
          </w:p>
        </w:tc>
        <w:tc>
          <w:tcPr>
            <w:tcW w:w="120" w:type="dxa"/>
            <w:vAlign w:val="bottom"/>
            <w:shd w:val="clear" w:color="auto" w:fill="CFF0FC"/>
          </w:tcPr>
          <w:p>
            <w:pPr>
              <w:spacing w:after="0"/>
              <w:rPr>
                <w:sz w:val="24"/>
                <w:szCs w:val="24"/>
                <w:color w:val="auto"/>
              </w:rPr>
            </w:pPr>
          </w:p>
        </w:tc>
        <w:tc>
          <w:tcPr>
            <w:tcW w:w="280" w:type="dxa"/>
            <w:vAlign w:val="bottom"/>
            <w:shd w:val="clear" w:color="auto" w:fill="CFF0FC"/>
          </w:tcPr>
          <w:p>
            <w:pPr>
              <w:jc w:val="right"/>
              <w:ind w:right="143"/>
              <w:spacing w:after="0"/>
              <w:rPr>
                <w:sz w:val="20"/>
                <w:szCs w:val="20"/>
                <w:color w:val="auto"/>
              </w:rPr>
            </w:pPr>
            <w:r>
              <w:rPr>
                <w:rFonts w:ascii="Arial" w:cs="Arial" w:eastAsia="Arial" w:hAnsi="Arial"/>
                <w:sz w:val="10"/>
                <w:szCs w:val="10"/>
                <w:color w:val="auto"/>
                <w:w w:val="71"/>
              </w:rPr>
              <w:t>$</w:t>
            </w:r>
          </w:p>
        </w:tc>
        <w:tc>
          <w:tcPr>
            <w:tcW w:w="320" w:type="dxa"/>
            <w:vAlign w:val="bottom"/>
            <w:tcBorders>
              <w:right w:val="single" w:sz="8" w:color="CFF0FC"/>
            </w:tcBorders>
            <w:gridSpan w:val="3"/>
            <w:shd w:val="clear" w:color="auto" w:fill="CFF0FC"/>
          </w:tcPr>
          <w:p>
            <w:pPr>
              <w:jc w:val="right"/>
              <w:spacing w:after="0"/>
              <w:rPr>
                <w:sz w:val="20"/>
                <w:szCs w:val="20"/>
                <w:color w:val="auto"/>
              </w:rPr>
            </w:pPr>
            <w:r>
              <w:rPr>
                <w:rFonts w:ascii="Arial" w:cs="Arial" w:eastAsia="Arial" w:hAnsi="Arial"/>
                <w:sz w:val="14"/>
                <w:szCs w:val="14"/>
                <w:color w:val="auto"/>
                <w:w w:val="97"/>
              </w:rPr>
              <w:t>(4.9)</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860" w:type="dxa"/>
            <w:vAlign w:val="bottom"/>
            <w:gridSpan w:val="4"/>
            <w:shd w:val="clear" w:color="auto" w:fill="CFF0FC"/>
          </w:tcPr>
          <w:p>
            <w:pPr>
              <w:jc w:val="right"/>
              <w:ind w:right="40"/>
              <w:spacing w:after="0"/>
              <w:rPr>
                <w:sz w:val="20"/>
                <w:szCs w:val="20"/>
                <w:color w:val="auto"/>
              </w:rPr>
            </w:pPr>
            <w:r>
              <w:rPr>
                <w:rFonts w:ascii="Arial" w:cs="Arial" w:eastAsia="Arial" w:hAnsi="Arial"/>
                <w:sz w:val="14"/>
                <w:szCs w:val="14"/>
                <w:color w:val="auto"/>
              </w:rPr>
              <w:t>(0.10)</w:t>
            </w:r>
          </w:p>
        </w:tc>
        <w:tc>
          <w:tcPr>
            <w:tcW w:w="300" w:type="dxa"/>
            <w:vAlign w:val="bottom"/>
            <w:tcBorders>
              <w:lef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w:t>
            </w:r>
          </w:p>
        </w:tc>
        <w:tc>
          <w:tcPr>
            <w:tcW w:w="860" w:type="dxa"/>
            <w:vAlign w:val="bottom"/>
            <w:gridSpan w:val="3"/>
            <w:shd w:val="clear" w:color="auto" w:fill="CFF0FC"/>
          </w:tcPr>
          <w:p>
            <w:pPr>
              <w:jc w:val="right"/>
              <w:ind w:right="40"/>
              <w:spacing w:after="0"/>
              <w:rPr>
                <w:sz w:val="20"/>
                <w:szCs w:val="20"/>
                <w:color w:val="auto"/>
              </w:rPr>
            </w:pPr>
            <w:r>
              <w:rPr>
                <w:rFonts w:ascii="Arial" w:cs="Arial" w:eastAsia="Arial" w:hAnsi="Arial"/>
                <w:sz w:val="14"/>
                <w:szCs w:val="14"/>
                <w:color w:val="auto"/>
              </w:rPr>
              <w:t>(0.16)</w:t>
            </w:r>
          </w:p>
        </w:tc>
        <w:tc>
          <w:tcPr>
            <w:tcW w:w="0" w:type="dxa"/>
            <w:vAlign w:val="bottom"/>
          </w:tcPr>
          <w:p>
            <w:pPr>
              <w:spacing w:after="0"/>
              <w:rPr>
                <w:sz w:val="1"/>
                <w:szCs w:val="1"/>
                <w:color w:val="auto"/>
              </w:rPr>
            </w:pPr>
          </w:p>
        </w:tc>
      </w:tr>
      <w:tr>
        <w:trPr>
          <w:trHeight w:val="20"/>
        </w:trPr>
        <w:tc>
          <w:tcPr>
            <w:tcW w:w="80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tcBorders>
          </w:tcPr>
          <w:p>
            <w:pPr>
              <w:spacing w:after="0" w:line="20" w:lineRule="exact"/>
              <w:rPr>
                <w:sz w:val="1"/>
                <w:szCs w:val="1"/>
                <w:color w:val="auto"/>
              </w:rPr>
            </w:pPr>
          </w:p>
        </w:tc>
        <w:tc>
          <w:tcPr>
            <w:tcW w:w="24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1"/>
        </w:trPr>
        <w:tc>
          <w:tcPr>
            <w:tcW w:w="4380" w:type="dxa"/>
            <w:vAlign w:val="bottom"/>
            <w:gridSpan w:val="3"/>
            <w:shd w:val="clear" w:color="auto" w:fill="CFF0FC"/>
          </w:tcPr>
          <w:p>
            <w:pPr>
              <w:spacing w:after="0"/>
              <w:rPr>
                <w:sz w:val="20"/>
                <w:szCs w:val="20"/>
                <w:color w:val="auto"/>
              </w:rPr>
            </w:pPr>
            <w:r>
              <w:rPr>
                <w:rFonts w:ascii="Arial" w:cs="Arial" w:eastAsia="Arial" w:hAnsi="Arial"/>
                <w:sz w:val="14"/>
                <w:szCs w:val="14"/>
                <w:color w:val="auto"/>
                <w:w w:val="99"/>
              </w:rPr>
              <w:t>Weighted average number of common shares outstanding on a diluted</w:t>
            </w:r>
          </w:p>
        </w:tc>
        <w:tc>
          <w:tcPr>
            <w:tcW w:w="4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tcBorders>
              <w:right w:val="single" w:sz="8" w:color="CFF0FC"/>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00" w:type="dxa"/>
            <w:vAlign w:val="bottom"/>
            <w:tcBorders>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tcBorders>
              <w:right w:val="single" w:sz="8" w:color="CFF0FC"/>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tcBorders>
              <w:left w:val="single" w:sz="8" w:color="CFF0FC"/>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tcBorders>
              <w:left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438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basis</w:t>
            </w:r>
          </w:p>
        </w:tc>
        <w:tc>
          <w:tcPr>
            <w:tcW w:w="4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tcBorders>
              <w:right w:val="single" w:sz="8" w:color="CFF0FC"/>
            </w:tcBorders>
            <w:gridSpan w:val="3"/>
            <w:shd w:val="clear" w:color="auto" w:fill="CFF0FC"/>
          </w:tcPr>
          <w:p>
            <w:pPr>
              <w:jc w:val="right"/>
              <w:spacing w:after="0"/>
              <w:rPr>
                <w:sz w:val="20"/>
                <w:szCs w:val="20"/>
                <w:color w:val="auto"/>
              </w:rPr>
            </w:pPr>
            <w:r>
              <w:rPr>
                <w:rFonts w:ascii="Arial" w:cs="Arial" w:eastAsia="Arial" w:hAnsi="Arial"/>
                <w:sz w:val="14"/>
                <w:szCs w:val="14"/>
                <w:color w:val="auto"/>
              </w:rPr>
              <w:t>49.1</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49.4</w:t>
            </w: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49.1</w:t>
            </w:r>
          </w:p>
        </w:tc>
        <w:tc>
          <w:tcPr>
            <w:tcW w:w="80" w:type="dxa"/>
            <w:vAlign w:val="bottom"/>
            <w:shd w:val="clear" w:color="auto" w:fill="CFF0FC"/>
          </w:tcPr>
          <w:p>
            <w:pPr>
              <w:spacing w:after="0"/>
              <w:rPr>
                <w:sz w:val="14"/>
                <w:szCs w:val="14"/>
                <w:color w:val="auto"/>
              </w:rPr>
            </w:pPr>
          </w:p>
        </w:tc>
        <w:tc>
          <w:tcPr>
            <w:tcW w:w="100" w:type="dxa"/>
            <w:vAlign w:val="bottom"/>
            <w:tcBorders>
              <w:left w:val="single" w:sz="8" w:color="CFF0FC"/>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48.7</w:t>
            </w:r>
          </w:p>
        </w:tc>
        <w:tc>
          <w:tcPr>
            <w:tcW w:w="100" w:type="dxa"/>
            <w:vAlign w:val="bottom"/>
            <w:tcBorders>
              <w:left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740" w:type="dxa"/>
            <w:vAlign w:val="bottom"/>
            <w:gridSpan w:val="28"/>
          </w:tcPr>
          <w:p>
            <w:pPr>
              <w:jc w:val="right"/>
              <w:ind w:right="640"/>
              <w:spacing w:after="0"/>
              <w:rPr>
                <w:sz w:val="20"/>
                <w:szCs w:val="20"/>
                <w:color w:val="auto"/>
              </w:rPr>
            </w:pPr>
            <w:r>
              <w:rPr>
                <w:rFonts w:ascii="Arial" w:cs="Arial" w:eastAsia="Arial" w:hAnsi="Arial"/>
                <w:sz w:val="16"/>
                <w:szCs w:val="16"/>
                <w:b w:val="1"/>
                <w:bCs w:val="1"/>
                <w:color w:val="auto"/>
              </w:rPr>
              <w:t>GAAP TO NON-GAAP RECONCILIATION OF EBITDA FROM CONTINUING OPERATIONS</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920" w:type="dxa"/>
            <w:vAlign w:val="bottom"/>
            <w:gridSpan w:val="10"/>
          </w:tcPr>
          <w:p>
            <w:pPr>
              <w:spacing w:after="0"/>
              <w:rPr>
                <w:sz w:val="20"/>
                <w:szCs w:val="20"/>
                <w:color w:val="auto"/>
              </w:rPr>
            </w:pPr>
            <w:r>
              <w:rPr>
                <w:rFonts w:ascii="Arial" w:cs="Arial" w:eastAsia="Arial" w:hAnsi="Arial"/>
                <w:sz w:val="14"/>
                <w:szCs w:val="14"/>
                <w:color w:val="auto"/>
              </w:rPr>
              <w:t>For the three months ended</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60" w:type="dxa"/>
            <w:vAlign w:val="bottom"/>
            <w:gridSpan w:val="7"/>
          </w:tcPr>
          <w:p>
            <w:pPr>
              <w:jc w:val="right"/>
              <w:ind w:right="100"/>
              <w:spacing w:after="0"/>
              <w:rPr>
                <w:sz w:val="20"/>
                <w:szCs w:val="20"/>
                <w:color w:val="auto"/>
              </w:rPr>
            </w:pPr>
            <w:r>
              <w:rPr>
                <w:rFonts w:ascii="Arial" w:cs="Arial" w:eastAsia="Arial" w:hAnsi="Arial"/>
                <w:sz w:val="14"/>
                <w:szCs w:val="14"/>
                <w:color w:val="auto"/>
                <w:w w:val="96"/>
              </w:rPr>
              <w:t>For the year ended</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5"/>
          </w:tcPr>
          <w:p>
            <w:pPr>
              <w:jc w:val="right"/>
              <w:ind w:right="300"/>
              <w:spacing w:after="0"/>
              <w:rPr>
                <w:sz w:val="20"/>
                <w:szCs w:val="20"/>
                <w:color w:val="auto"/>
              </w:rPr>
            </w:pPr>
            <w:r>
              <w:rPr>
                <w:rFonts w:ascii="Arial" w:cs="Arial" w:eastAsia="Arial" w:hAnsi="Arial"/>
                <w:sz w:val="14"/>
                <w:szCs w:val="14"/>
                <w:color w:val="auto"/>
              </w:rPr>
              <w:t>January 30, 2016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5"/>
          </w:tcPr>
          <w:p>
            <w:pPr>
              <w:jc w:val="right"/>
              <w:ind w:right="63"/>
              <w:spacing w:after="0"/>
              <w:rPr>
                <w:sz w:val="20"/>
                <w:szCs w:val="20"/>
                <w:color w:val="auto"/>
              </w:rPr>
            </w:pPr>
            <w:r>
              <w:rPr>
                <w:rFonts w:ascii="Arial" w:cs="Arial" w:eastAsia="Arial" w:hAnsi="Arial"/>
                <w:sz w:val="14"/>
                <w:szCs w:val="14"/>
                <w:color w:val="auto"/>
                <w:w w:val="90"/>
              </w:rPr>
              <w:t>January 31, 2015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6"/>
          </w:tcPr>
          <w:p>
            <w:pPr>
              <w:jc w:val="center"/>
              <w:ind w:right="20"/>
              <w:spacing w:after="0"/>
              <w:rPr>
                <w:sz w:val="20"/>
                <w:szCs w:val="20"/>
                <w:color w:val="auto"/>
              </w:rPr>
            </w:pPr>
            <w:r>
              <w:rPr>
                <w:rFonts w:ascii="Arial" w:cs="Arial" w:eastAsia="Arial" w:hAnsi="Arial"/>
                <w:sz w:val="14"/>
                <w:szCs w:val="14"/>
                <w:color w:val="auto"/>
                <w:w w:val="90"/>
              </w:rPr>
              <w:t>January 30, 2016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6"/>
          </w:tcPr>
          <w:p>
            <w:pPr>
              <w:jc w:val="right"/>
              <w:ind w:right="380"/>
              <w:spacing w:after="0"/>
              <w:rPr>
                <w:sz w:val="20"/>
                <w:szCs w:val="20"/>
                <w:color w:val="auto"/>
              </w:rPr>
            </w:pPr>
            <w:r>
              <w:rPr>
                <w:rFonts w:ascii="Arial" w:cs="Arial" w:eastAsia="Arial" w:hAnsi="Arial"/>
                <w:sz w:val="14"/>
                <w:szCs w:val="14"/>
                <w:color w:val="auto"/>
              </w:rPr>
              <w:t>January 31, 2015</w:t>
            </w:r>
          </w:p>
        </w:tc>
        <w:tc>
          <w:tcPr>
            <w:tcW w:w="0" w:type="dxa"/>
            <w:vAlign w:val="bottom"/>
          </w:tcPr>
          <w:p>
            <w:pPr>
              <w:spacing w:after="0"/>
              <w:rPr>
                <w:sz w:val="1"/>
                <w:szCs w:val="1"/>
                <w:color w:val="auto"/>
              </w:rPr>
            </w:pPr>
          </w:p>
        </w:tc>
      </w:tr>
      <w:tr>
        <w:trPr>
          <w:trHeight w:val="183"/>
        </w:trPr>
        <w:tc>
          <w:tcPr>
            <w:tcW w:w="4380" w:type="dxa"/>
            <w:vAlign w:val="bottom"/>
            <w:gridSpan w:val="3"/>
          </w:tcPr>
          <w:p>
            <w:pPr>
              <w:spacing w:after="0" w:line="183" w:lineRule="exact"/>
              <w:rPr>
                <w:sz w:val="20"/>
                <w:szCs w:val="20"/>
                <w:color w:val="auto"/>
              </w:rPr>
            </w:pPr>
            <w:r>
              <w:rPr>
                <w:rFonts w:ascii="Arial" w:cs="Arial" w:eastAsia="Arial" w:hAnsi="Arial"/>
                <w:sz w:val="16"/>
                <w:szCs w:val="16"/>
                <w:i w:val="1"/>
                <w:iCs w:val="1"/>
                <w:color w:val="auto"/>
              </w:rPr>
              <w:t>(in millions)</w:t>
            </w: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shd w:val="clear" w:color="auto" w:fill="000000"/>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gridSpan w:val="3"/>
          </w:tcPr>
          <w:p>
            <w:pPr>
              <w:spacing w:after="0"/>
              <w:rPr>
                <w:sz w:val="20"/>
                <w:szCs w:val="20"/>
                <w:color w:val="auto"/>
              </w:rPr>
            </w:pPr>
            <w:r>
              <w:rPr>
                <w:rFonts w:ascii="Arial" w:cs="Arial" w:eastAsia="Arial" w:hAnsi="Arial"/>
                <w:sz w:val="18"/>
                <w:szCs w:val="18"/>
                <w:b w:val="1"/>
                <w:bCs w:val="1"/>
                <w:color w:val="auto"/>
              </w:rPr>
              <w:t>Net income (loss), GAAP basis</w:t>
            </w: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gridSpan w:val="3"/>
          </w:tcPr>
          <w:p>
            <w:pPr>
              <w:jc w:val="right"/>
              <w:ind w:right="422"/>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(1.4)</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95"/>
              </w:rPr>
              <w:t>1.6</w:t>
            </w:r>
          </w:p>
        </w:tc>
        <w:tc>
          <w:tcPr>
            <w:tcW w:w="32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6"/>
          </w:tcPr>
          <w:p>
            <w:pPr>
              <w:jc w:val="right"/>
              <w:ind w:right="140"/>
              <w:spacing w:after="0"/>
              <w:rPr>
                <w:sz w:val="20"/>
                <w:szCs w:val="20"/>
                <w:color w:val="auto"/>
              </w:rPr>
            </w:pPr>
            <w:r>
              <w:rPr>
                <w:rFonts w:ascii="Arial" w:cs="Arial" w:eastAsia="Arial" w:hAnsi="Arial"/>
                <w:sz w:val="18"/>
                <w:szCs w:val="18"/>
                <w:b w:val="1"/>
                <w:bCs w:val="1"/>
                <w:color w:val="auto"/>
              </w:rPr>
              <w:t>(8.4)</w:t>
            </w:r>
          </w:p>
        </w:tc>
        <w:tc>
          <w:tcPr>
            <w:tcW w:w="420" w:type="dxa"/>
            <w:vAlign w:val="bottom"/>
          </w:tcPr>
          <w:p>
            <w:pPr>
              <w:jc w:val="right"/>
              <w:ind w:right="245"/>
              <w:spacing w:after="0"/>
              <w:rPr>
                <w:sz w:val="20"/>
                <w:szCs w:val="20"/>
                <w:color w:val="auto"/>
              </w:rPr>
            </w:pPr>
            <w:r>
              <w:rPr>
                <w:rFonts w:ascii="Arial" w:cs="Arial" w:eastAsia="Arial" w:hAnsi="Arial"/>
                <w:sz w:val="18"/>
                <w:szCs w:val="18"/>
                <w:b w:val="1"/>
                <w:bCs w:val="1"/>
                <w:color w:val="auto"/>
                <w:w w:val="79"/>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3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Add back:</w:t>
            </w:r>
          </w:p>
        </w:tc>
        <w:tc>
          <w:tcPr>
            <w:tcW w:w="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lef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gridSpan w:val="3"/>
          </w:tcPr>
          <w:p>
            <w:pPr>
              <w:spacing w:after="0"/>
              <w:rPr>
                <w:sz w:val="20"/>
                <w:szCs w:val="20"/>
                <w:color w:val="auto"/>
              </w:rPr>
            </w:pPr>
            <w:r>
              <w:rPr>
                <w:rFonts w:ascii="Arial" w:cs="Arial" w:eastAsia="Arial" w:hAnsi="Arial"/>
                <w:sz w:val="18"/>
                <w:szCs w:val="18"/>
                <w:color w:val="auto"/>
              </w:rPr>
              <w:t>Provision for income taxes</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5"/>
              </w:rPr>
              <w:t>0.1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5"/>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4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0.8</w:t>
            </w: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5"/>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Depreciation and amortization</w:t>
            </w:r>
          </w:p>
        </w:tc>
        <w:tc>
          <w:tcPr>
            <w:tcW w:w="42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6.8</w:t>
            </w:r>
          </w:p>
        </w:tc>
        <w:tc>
          <w:tcPr>
            <w:tcW w:w="100" w:type="dxa"/>
            <w:vAlign w:val="bottom"/>
            <w:tcBorders>
              <w:bottom w:val="single" w:sz="8" w:color="CFF0FC"/>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28.4</w:t>
            </w:r>
          </w:p>
        </w:tc>
        <w:tc>
          <w:tcPr>
            <w:tcW w:w="20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Borders>
              <w:bottom w:val="single" w:sz="8" w:color="CFF0FC"/>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EBITDA, non-GAAP basis</w:t>
            </w:r>
          </w:p>
        </w:tc>
        <w:tc>
          <w:tcPr>
            <w:tcW w:w="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7.3</w:t>
            </w:r>
          </w:p>
        </w:tc>
        <w:tc>
          <w:tcPr>
            <w:tcW w:w="14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9.3</w:t>
            </w: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5"/>
            <w:shd w:val="clear" w:color="auto" w:fill="CFF0FC"/>
          </w:tcPr>
          <w:p>
            <w:pPr>
              <w:jc w:val="right"/>
              <w:spacing w:after="0"/>
              <w:rPr>
                <w:sz w:val="20"/>
                <w:szCs w:val="20"/>
                <w:color w:val="auto"/>
              </w:rPr>
            </w:pPr>
            <w:r>
              <w:rPr>
                <w:rFonts w:ascii="Arial" w:cs="Arial" w:eastAsia="Arial" w:hAnsi="Arial"/>
                <w:sz w:val="18"/>
                <w:szCs w:val="18"/>
                <w:b w:val="1"/>
                <w:bCs w:val="1"/>
                <w:color w:val="auto"/>
              </w:rPr>
              <w:t>23.3</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14.1</w:t>
            </w:r>
          </w:p>
        </w:tc>
        <w:tc>
          <w:tcPr>
            <w:tcW w:w="12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gridSpan w:val="3"/>
          </w:tcPr>
          <w:p>
            <w:pPr>
              <w:spacing w:after="0"/>
              <w:rPr>
                <w:sz w:val="20"/>
                <w:szCs w:val="20"/>
                <w:color w:val="auto"/>
              </w:rPr>
            </w:pPr>
            <w:r>
              <w:rPr>
                <w:rFonts w:ascii="Arial" w:cs="Arial" w:eastAsia="Arial" w:hAnsi="Arial"/>
                <w:sz w:val="18"/>
                <w:szCs w:val="18"/>
                <w:color w:val="auto"/>
              </w:rPr>
              <w:t>Income (loss) from discontinued operations</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5"/>
              </w:rPr>
              <w:t>0.2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b w:val="1"/>
                <w:bCs w:val="1"/>
                <w:color w:val="auto"/>
                <w:w w:val="95"/>
              </w:rPr>
              <w:t>EBITDA from continuing operations, non-GAAP basis</w:t>
            </w:r>
          </w:p>
        </w:tc>
        <w:tc>
          <w:tcPr>
            <w:tcW w:w="4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right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right w:val="single" w:sz="8" w:color="CFF0FC"/>
            </w:tcBorders>
            <w:shd w:val="clear" w:color="auto" w:fill="CFF0FC"/>
          </w:tcPr>
          <w:p>
            <w:pPr>
              <w:jc w:val="right"/>
              <w:ind w:right="422"/>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7.3</w:t>
            </w:r>
          </w:p>
        </w:tc>
        <w:tc>
          <w:tcPr>
            <w:tcW w:w="140" w:type="dxa"/>
            <w:vAlign w:val="bottom"/>
            <w:tcBorders>
              <w:top w:val="single" w:sz="8" w:color="CFF0FC"/>
              <w:right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9.1</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gridSpan w:val="5"/>
            <w:shd w:val="clear" w:color="auto" w:fill="CFF0FC"/>
          </w:tcPr>
          <w:p>
            <w:pPr>
              <w:jc w:val="right"/>
              <w:spacing w:after="0"/>
              <w:rPr>
                <w:sz w:val="20"/>
                <w:szCs w:val="20"/>
                <w:color w:val="auto"/>
              </w:rPr>
            </w:pPr>
            <w:r>
              <w:rPr>
                <w:rFonts w:ascii="Arial" w:cs="Arial" w:eastAsia="Arial" w:hAnsi="Arial"/>
                <w:sz w:val="18"/>
                <w:szCs w:val="18"/>
                <w:b w:val="1"/>
                <w:bCs w:val="1"/>
                <w:color w:val="auto"/>
              </w:rPr>
              <w:t>23.3</w:t>
            </w:r>
          </w:p>
        </w:tc>
        <w:tc>
          <w:tcPr>
            <w:tcW w:w="20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45"/>
              <w:spacing w:after="0"/>
              <w:rPr>
                <w:sz w:val="20"/>
                <w:szCs w:val="20"/>
                <w:color w:val="auto"/>
              </w:rPr>
            </w:pPr>
            <w:r>
              <w:rPr>
                <w:rFonts w:ascii="Arial" w:cs="Arial" w:eastAsia="Arial" w:hAnsi="Arial"/>
                <w:sz w:val="18"/>
                <w:szCs w:val="18"/>
                <w:b w:val="1"/>
                <w:bCs w:val="1"/>
                <w:color w:val="auto"/>
                <w:w w:val="79"/>
              </w:rPr>
              <w:t>$</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15.2</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7"/>
        </w:trPr>
        <w:tc>
          <w:tcPr>
            <w:tcW w:w="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100" w:type="dxa"/>
            <w:vAlign w:val="bottom"/>
            <w:gridSpan w:val="18"/>
          </w:tcPr>
          <w:p>
            <w:pPr>
              <w:jc w:val="center"/>
              <w:ind w:left="1302"/>
              <w:spacing w:after="0"/>
              <w:rPr>
                <w:sz w:val="20"/>
                <w:szCs w:val="20"/>
                <w:color w:val="auto"/>
              </w:rPr>
            </w:pPr>
            <w:r>
              <w:rPr>
                <w:rFonts w:ascii="Arial" w:cs="Arial" w:eastAsia="Arial" w:hAnsi="Arial"/>
                <w:sz w:val="16"/>
                <w:szCs w:val="16"/>
                <w:b w:val="1"/>
                <w:bCs w:val="1"/>
                <w:color w:val="auto"/>
              </w:rPr>
              <w:t>GAAP TO NON-GAAP FREE CASH FLOW RECONCILIATION</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6"/>
          </w:tcPr>
          <w:p>
            <w:pPr>
              <w:jc w:val="right"/>
              <w:ind w:right="780"/>
              <w:spacing w:after="0"/>
              <w:rPr>
                <w:sz w:val="20"/>
                <w:szCs w:val="20"/>
                <w:color w:val="auto"/>
              </w:rPr>
            </w:pPr>
            <w:r>
              <w:rPr>
                <w:rFonts w:ascii="Arial" w:cs="Arial" w:eastAsia="Arial" w:hAnsi="Arial"/>
                <w:sz w:val="14"/>
                <w:szCs w:val="14"/>
                <w:color w:val="auto"/>
              </w:rPr>
              <w:t>Projected</w:t>
            </w:r>
          </w:p>
        </w:tc>
        <w:tc>
          <w:tcPr>
            <w:tcW w:w="0" w:type="dxa"/>
            <w:vAlign w:val="bottom"/>
          </w:tcPr>
          <w:p>
            <w:pPr>
              <w:spacing w:after="0"/>
              <w:rPr>
                <w:sz w:val="1"/>
                <w:szCs w:val="1"/>
                <w:color w:val="auto"/>
              </w:rPr>
            </w:pPr>
          </w:p>
        </w:tc>
      </w:tr>
      <w:tr>
        <w:trPr>
          <w:trHeight w:val="167"/>
        </w:trPr>
        <w:tc>
          <w:tcPr>
            <w:tcW w:w="4380" w:type="dxa"/>
            <w:vAlign w:val="bottom"/>
            <w:gridSpan w:val="3"/>
          </w:tcPr>
          <w:p>
            <w:pPr>
              <w:spacing w:after="0"/>
              <w:rPr>
                <w:sz w:val="20"/>
                <w:szCs w:val="20"/>
                <w:color w:val="auto"/>
              </w:rPr>
            </w:pPr>
            <w:r>
              <w:rPr>
                <w:rFonts w:ascii="Arial" w:cs="Arial" w:eastAsia="Arial" w:hAnsi="Arial"/>
                <w:sz w:val="14"/>
                <w:szCs w:val="14"/>
                <w:i w:val="1"/>
                <w:iCs w:val="1"/>
                <w:color w:val="auto"/>
              </w:rPr>
              <w:t>(in millions)</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5"/>
          </w:tcPr>
          <w:p>
            <w:pPr>
              <w:jc w:val="center"/>
              <w:spacing w:after="0"/>
              <w:rPr>
                <w:sz w:val="20"/>
                <w:szCs w:val="20"/>
                <w:color w:val="auto"/>
              </w:rPr>
            </w:pPr>
            <w:r>
              <w:rPr>
                <w:rFonts w:ascii="Arial" w:cs="Arial" w:eastAsia="Arial" w:hAnsi="Arial"/>
                <w:sz w:val="14"/>
                <w:szCs w:val="14"/>
                <w:color w:val="auto"/>
                <w:w w:val="94"/>
              </w:rPr>
              <w:t>Fiscal 2015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6"/>
          </w:tcPr>
          <w:p>
            <w:pPr>
              <w:jc w:val="right"/>
              <w:ind w:right="100"/>
              <w:spacing w:after="0"/>
              <w:rPr>
                <w:sz w:val="20"/>
                <w:szCs w:val="20"/>
                <w:color w:val="auto"/>
              </w:rPr>
            </w:pPr>
            <w:r>
              <w:rPr>
                <w:rFonts w:ascii="Arial" w:cs="Arial" w:eastAsia="Arial" w:hAnsi="Arial"/>
                <w:sz w:val="14"/>
                <w:szCs w:val="14"/>
                <w:color w:val="auto"/>
                <w:w w:val="92"/>
              </w:rPr>
              <w:t>Fiscal 2014</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6"/>
          </w:tcPr>
          <w:p>
            <w:pPr>
              <w:jc w:val="right"/>
              <w:ind w:right="720"/>
              <w:spacing w:after="0"/>
              <w:rPr>
                <w:sz w:val="20"/>
                <w:szCs w:val="20"/>
                <w:color w:val="auto"/>
              </w:rPr>
            </w:pPr>
            <w:r>
              <w:rPr>
                <w:rFonts w:ascii="Arial" w:cs="Arial" w:eastAsia="Arial" w:hAnsi="Arial"/>
                <w:sz w:val="14"/>
                <w:szCs w:val="14"/>
                <w:color w:val="auto"/>
              </w:rPr>
              <w:t>Fiscal 2016</w:t>
            </w:r>
          </w:p>
        </w:tc>
        <w:tc>
          <w:tcPr>
            <w:tcW w:w="0" w:type="dxa"/>
            <w:vAlign w:val="bottom"/>
          </w:tcPr>
          <w:p>
            <w:pPr>
              <w:spacing w:after="0"/>
              <w:rPr>
                <w:sz w:val="1"/>
                <w:szCs w:val="1"/>
                <w:color w:val="auto"/>
              </w:rPr>
            </w:pPr>
          </w:p>
        </w:tc>
      </w:tr>
      <w:tr>
        <w:trPr>
          <w:trHeight w:val="210"/>
        </w:trPr>
        <w:tc>
          <w:tcPr>
            <w:tcW w:w="438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6"/>
                <w:szCs w:val="16"/>
                <w:b w:val="1"/>
                <w:bCs w:val="1"/>
                <w:color w:val="auto"/>
              </w:rPr>
              <w:t>Cash flow from operating activities (GAAP)</w:t>
            </w:r>
          </w:p>
        </w:tc>
        <w:tc>
          <w:tcPr>
            <w:tcW w:w="4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right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600" w:type="dxa"/>
            <w:vAlign w:val="bottom"/>
            <w:tcBorders>
              <w:top w:val="single" w:sz="8" w:color="auto"/>
              <w:right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gridSpan w:val="4"/>
            <w:shd w:val="clear" w:color="auto" w:fill="CFF0FC"/>
          </w:tcPr>
          <w:p>
            <w:pPr>
              <w:jc w:val="right"/>
              <w:spacing w:after="0"/>
              <w:rPr>
                <w:sz w:val="20"/>
                <w:szCs w:val="20"/>
                <w:color w:val="auto"/>
              </w:rPr>
            </w:pPr>
            <w:r>
              <w:rPr>
                <w:rFonts w:ascii="Arial" w:cs="Arial" w:eastAsia="Arial" w:hAnsi="Arial"/>
                <w:sz w:val="16"/>
                <w:szCs w:val="16"/>
                <w:b w:val="1"/>
                <w:bCs w:val="1"/>
                <w:color w:val="auto"/>
              </w:rPr>
              <w:t>18.4</w:t>
            </w:r>
          </w:p>
        </w:tc>
        <w:tc>
          <w:tcPr>
            <w:tcW w:w="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jc w:val="right"/>
              <w:ind w:right="264"/>
              <w:spacing w:after="0"/>
              <w:rPr>
                <w:sz w:val="20"/>
                <w:szCs w:val="20"/>
                <w:color w:val="auto"/>
              </w:rPr>
            </w:pPr>
            <w:r>
              <w:rPr>
                <w:rFonts w:ascii="Arial" w:cs="Arial" w:eastAsia="Arial" w:hAnsi="Arial"/>
                <w:sz w:val="15"/>
                <w:szCs w:val="15"/>
                <w:b w:val="1"/>
                <w:bCs w:val="1"/>
                <w:color w:val="auto"/>
                <w:w w:val="71"/>
              </w:rPr>
              <w:t>$</w:t>
            </w:r>
          </w:p>
        </w:tc>
        <w:tc>
          <w:tcPr>
            <w:tcW w:w="1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right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13.8</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left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6"/>
                <w:szCs w:val="16"/>
                <w:b w:val="1"/>
                <w:bCs w:val="1"/>
                <w:color w:val="auto"/>
                <w:w w:val="95"/>
              </w:rPr>
              <w:t>$30.0-$35.0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80" w:type="dxa"/>
            <w:vAlign w:val="bottom"/>
            <w:gridSpan w:val="3"/>
          </w:tcPr>
          <w:p>
            <w:pPr>
              <w:spacing w:after="0"/>
              <w:rPr>
                <w:sz w:val="20"/>
                <w:szCs w:val="20"/>
                <w:color w:val="auto"/>
              </w:rPr>
            </w:pPr>
            <w:r>
              <w:rPr>
                <w:rFonts w:ascii="Arial" w:cs="Arial" w:eastAsia="Arial" w:hAnsi="Arial"/>
                <w:sz w:val="16"/>
                <w:szCs w:val="16"/>
                <w:color w:val="auto"/>
              </w:rPr>
              <w:t>Capital expenditures, infrastructure projects</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5"/>
          </w:tcPr>
          <w:p>
            <w:pPr>
              <w:jc w:val="right"/>
              <w:spacing w:after="0"/>
              <w:rPr>
                <w:sz w:val="20"/>
                <w:szCs w:val="20"/>
                <w:color w:val="auto"/>
              </w:rPr>
            </w:pPr>
            <w:r>
              <w:rPr>
                <w:rFonts w:ascii="Arial" w:cs="Arial" w:eastAsia="Arial" w:hAnsi="Arial"/>
                <w:sz w:val="16"/>
                <w:szCs w:val="16"/>
                <w:color w:val="auto"/>
              </w:rPr>
              <w:t>(13.3)</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8"/>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80" w:type="dxa"/>
            <w:vAlign w:val="bottom"/>
            <w:tcBorders>
              <w:top w:val="single" w:sz="8" w:color="CFF0FC"/>
            </w:tcBorders>
            <w:gridSpan w:val="3"/>
            <w:shd w:val="clear" w:color="auto" w:fill="CFF0FC"/>
          </w:tcPr>
          <w:p>
            <w:pPr>
              <w:ind w:left="180"/>
              <w:spacing w:after="0"/>
              <w:rPr>
                <w:sz w:val="20"/>
                <w:szCs w:val="20"/>
                <w:color w:val="auto"/>
              </w:rPr>
            </w:pPr>
            <w:r>
              <w:rPr>
                <w:rFonts w:ascii="Arial" w:cs="Arial" w:eastAsia="Arial" w:hAnsi="Arial"/>
                <w:sz w:val="16"/>
                <w:szCs w:val="16"/>
                <w:b w:val="1"/>
                <w:bCs w:val="1"/>
                <w:color w:val="auto"/>
              </w:rPr>
              <w:t>Free Cash Flow before DXL capital expenditures</w:t>
            </w:r>
          </w:p>
        </w:tc>
        <w:tc>
          <w:tcPr>
            <w:tcW w:w="4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right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600" w:type="dxa"/>
            <w:vAlign w:val="bottom"/>
            <w:tcBorders>
              <w:top w:val="single" w:sz="8" w:color="auto"/>
              <w:right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right w:val="single" w:sz="8" w:color="CFF0FC"/>
            </w:tcBorders>
            <w:shd w:val="clear" w:color="auto" w:fill="CFF0FC"/>
          </w:tcPr>
          <w:p>
            <w:pPr>
              <w:spacing w:after="0"/>
              <w:rPr>
                <w:sz w:val="18"/>
                <w:szCs w:val="18"/>
                <w:color w:val="auto"/>
              </w:rPr>
            </w:pPr>
          </w:p>
        </w:tc>
        <w:tc>
          <w:tcPr>
            <w:tcW w:w="2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5.1</w:t>
            </w:r>
          </w:p>
        </w:tc>
        <w:tc>
          <w:tcPr>
            <w:tcW w:w="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jc w:val="right"/>
              <w:ind w:right="264"/>
              <w:spacing w:after="0"/>
              <w:rPr>
                <w:sz w:val="20"/>
                <w:szCs w:val="20"/>
                <w:color w:val="auto"/>
              </w:rPr>
            </w:pPr>
            <w:r>
              <w:rPr>
                <w:rFonts w:ascii="Arial" w:cs="Arial" w:eastAsia="Arial" w:hAnsi="Arial"/>
                <w:sz w:val="15"/>
                <w:szCs w:val="15"/>
                <w:b w:val="1"/>
                <w:bCs w:val="1"/>
                <w:color w:val="auto"/>
                <w:w w:val="71"/>
              </w:rPr>
              <w:t>$</w:t>
            </w:r>
          </w:p>
        </w:tc>
        <w:tc>
          <w:tcPr>
            <w:tcW w:w="1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right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3.3</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left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6"/>
                <w:szCs w:val="16"/>
                <w:b w:val="1"/>
                <w:bCs w:val="1"/>
                <w:color w:val="auto"/>
                <w:w w:val="95"/>
              </w:rPr>
              <w:t>$20.6-$25.6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gridSpan w:val="3"/>
          </w:tcPr>
          <w:p>
            <w:pPr>
              <w:spacing w:after="0"/>
              <w:rPr>
                <w:sz w:val="20"/>
                <w:szCs w:val="20"/>
                <w:color w:val="auto"/>
              </w:rPr>
            </w:pPr>
            <w:r>
              <w:rPr>
                <w:rFonts w:ascii="Arial" w:cs="Arial" w:eastAsia="Arial" w:hAnsi="Arial"/>
                <w:sz w:val="16"/>
                <w:szCs w:val="16"/>
                <w:color w:val="auto"/>
              </w:rPr>
              <w:t>Capital expenditures for DXL stores</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5"/>
          </w:tcPr>
          <w:p>
            <w:pPr>
              <w:jc w:val="right"/>
              <w:spacing w:after="0"/>
              <w:rPr>
                <w:sz w:val="20"/>
                <w:szCs w:val="20"/>
                <w:color w:val="auto"/>
              </w:rPr>
            </w:pPr>
            <w:r>
              <w:rPr>
                <w:rFonts w:ascii="Arial" w:cs="Arial" w:eastAsia="Arial" w:hAnsi="Arial"/>
                <w:sz w:val="16"/>
                <w:szCs w:val="16"/>
                <w:color w:val="auto"/>
              </w:rPr>
              <w:t>(20.1)</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8"/>
              <w:spacing w:after="0"/>
              <w:rPr>
                <w:sz w:val="20"/>
                <w:szCs w:val="20"/>
                <w:color w:val="auto"/>
              </w:rPr>
            </w:pPr>
            <w:r>
              <w:rPr>
                <w:rFonts w:ascii="Arial" w:cs="Arial" w:eastAsia="Arial" w:hAnsi="Arial"/>
                <w:sz w:val="16"/>
                <w:szCs w:val="16"/>
                <w:color w:val="auto"/>
              </w:rPr>
              <w:t>(30.4)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gridSpan w:val="3"/>
            <w:vMerge w:val="restart"/>
          </w:tcPr>
          <w:p>
            <w:pPr>
              <w:ind w:left="180"/>
              <w:spacing w:after="0"/>
              <w:rPr>
                <w:sz w:val="20"/>
                <w:szCs w:val="20"/>
                <w:color w:val="auto"/>
              </w:rPr>
            </w:pPr>
            <w:r>
              <w:rPr>
                <w:rFonts w:ascii="Arial" w:cs="Arial" w:eastAsia="Arial" w:hAnsi="Arial"/>
                <w:sz w:val="16"/>
                <w:szCs w:val="16"/>
                <w:b w:val="1"/>
                <w:bCs w:val="1"/>
                <w:color w:val="auto"/>
              </w:rPr>
              <w:t>Free Cash Flow (non-GAAP)</w:t>
            </w: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gridSpan w:val="4"/>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380" w:type="dxa"/>
            <w:vAlign w:val="bottom"/>
            <w:gridSpan w:val="3"/>
            <w:vMerge w:val="continue"/>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6"/>
                <w:szCs w:val="16"/>
                <w:b w:val="1"/>
                <w:bCs w:val="1"/>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5"/>
          </w:tcPr>
          <w:p>
            <w:pPr>
              <w:jc w:val="right"/>
              <w:spacing w:after="0"/>
              <w:rPr>
                <w:sz w:val="20"/>
                <w:szCs w:val="20"/>
                <w:color w:val="auto"/>
              </w:rPr>
            </w:pPr>
            <w:r>
              <w:rPr>
                <w:rFonts w:ascii="Arial" w:cs="Arial" w:eastAsia="Arial" w:hAnsi="Arial"/>
                <w:sz w:val="16"/>
                <w:szCs w:val="16"/>
                <w:b w:val="1"/>
                <w:bCs w:val="1"/>
                <w:color w:val="auto"/>
              </w:rPr>
              <w:t>(15.0)</w:t>
            </w:r>
          </w:p>
        </w:tc>
        <w:tc>
          <w:tcPr>
            <w:tcW w:w="220" w:type="dxa"/>
            <w:vAlign w:val="bottom"/>
            <w:vMerge w:val="continue"/>
          </w:tcPr>
          <w:p>
            <w:pPr>
              <w:spacing w:after="0"/>
              <w:rPr>
                <w:sz w:val="18"/>
                <w:szCs w:val="18"/>
                <w:color w:val="auto"/>
              </w:rPr>
            </w:pPr>
          </w:p>
        </w:tc>
        <w:tc>
          <w:tcPr>
            <w:tcW w:w="420" w:type="dxa"/>
            <w:vAlign w:val="bottom"/>
          </w:tcPr>
          <w:p>
            <w:pPr>
              <w:jc w:val="right"/>
              <w:ind w:right="264"/>
              <w:spacing w:after="0"/>
              <w:rPr>
                <w:sz w:val="20"/>
                <w:szCs w:val="20"/>
                <w:color w:val="auto"/>
              </w:rPr>
            </w:pPr>
            <w:r>
              <w:rPr>
                <w:rFonts w:ascii="Arial" w:cs="Arial" w:eastAsia="Arial" w:hAnsi="Arial"/>
                <w:sz w:val="15"/>
                <w:szCs w:val="15"/>
                <w:b w:val="1"/>
                <w:bCs w:val="1"/>
                <w:color w:val="auto"/>
                <w:w w:val="71"/>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8"/>
              <w:spacing w:after="0"/>
              <w:rPr>
                <w:sz w:val="20"/>
                <w:szCs w:val="20"/>
                <w:color w:val="auto"/>
              </w:rPr>
            </w:pPr>
            <w:r>
              <w:rPr>
                <w:rFonts w:ascii="Arial" w:cs="Arial" w:eastAsia="Arial" w:hAnsi="Arial"/>
                <w:sz w:val="16"/>
                <w:szCs w:val="16"/>
                <w:b w:val="1"/>
                <w:bCs w:val="1"/>
                <w:color w:val="auto"/>
              </w:rPr>
              <w:t>(27.1)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$0.0-$5.0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10</w:t>
      </w:r>
    </w:p>
    <w:sectPr>
      <w:pgSz w:w="11900" w:h="16838" w:orient="portrait"/>
      <w:cols w:equalWidth="0" w:num="1">
        <w:col w:w="11520"/>
      </w:cols>
      <w:pgMar w:left="240" w:top="122"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2019-12-05T20:13:25Z</dcterms:created>
  <dcterms:modified xsi:type="dcterms:W3CDTF">2019-12-05T20:13:25Z</dcterms:modified>
</cp:coreProperties>
</file>