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4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37)*</w:t>
      </w:r>
    </w:p>
    <w:p>
      <w:pPr>
        <w:spacing w:after="0" w:line="20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9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September 26, 2001</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subject of this Schedule 13D, and is filing this schedule because of Rule 13d-1(b) or (4), check the following box.</w:t>
      </w:r>
    </w:p>
    <w:p>
      <w:pPr>
        <w:spacing w:after="0" w:line="178"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2" w:lineRule="exact"/>
        <w:rPr>
          <w:sz w:val="24"/>
          <w:szCs w:val="24"/>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w:t>
      </w:r>
    </w:p>
    <w:p>
      <w:pPr>
        <w:spacing w:after="0" w:line="6"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740"/>
              <w:spacing w:after="0"/>
              <w:rPr>
                <w:sz w:val="20"/>
                <w:szCs w:val="20"/>
                <w:color w:val="auto"/>
              </w:rPr>
            </w:pPr>
            <w:r>
              <w:rPr>
                <w:rFonts w:ascii="Courier New" w:cs="Courier New" w:eastAsia="Courier New" w:hAnsi="Courier New"/>
                <w:sz w:val="18"/>
                <w:szCs w:val="18"/>
                <w:color w:val="auto"/>
              </w:rPr>
              <w:t>Seymour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3</w:t>
      </w:r>
    </w:p>
    <w:p>
      <w:pPr>
        <w:spacing w:after="0" w:line="207" w:lineRule="exact"/>
        <w:rPr>
          <w:sz w:val="24"/>
          <w:szCs w:val="24"/>
          <w:color w:val="auto"/>
        </w:rPr>
      </w:pPr>
    </w:p>
    <w:p>
      <w:pPr>
        <w:ind w:left="540" w:right="377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ectPr>
          <w:pgSz w:w="11900" w:h="16855" w:orient="portrait"/>
          <w:cols w:equalWidth="0" w:num="1">
            <w:col w:w="10219"/>
          </w:cols>
          <w:pgMar w:left="240" w:top="1440"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380" w:type="dxa"/>
            <w:vAlign w:val="bottom"/>
          </w:tcPr>
          <w:p>
            <w:pPr>
              <w:ind w:left="86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23,297</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23,297</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359" w:hanging="852"/>
        <w:spacing w:after="0" w:line="470" w:lineRule="auto"/>
        <w:tabs>
          <w:tab w:leader="none" w:pos="5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23,297 SEE ITEM 5</w:t>
      </w:r>
    </w:p>
    <w:p>
      <w:pPr>
        <w:spacing w:after="0" w:line="11" w:lineRule="exact"/>
        <w:rPr>
          <w:rFonts w:ascii="Courier New" w:cs="Courier New" w:eastAsia="Courier New" w:hAnsi="Courier New"/>
          <w:sz w:val="18"/>
          <w:szCs w:val="18"/>
          <w:color w:val="auto"/>
        </w:rPr>
      </w:pPr>
    </w:p>
    <w:p>
      <w:pPr>
        <w:ind w:left="640" w:right="2319" w:hanging="632"/>
        <w:spacing w:after="0" w:line="470"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Evelyn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540" w:right="377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  SEE ITEM 5</w:t>
      </w:r>
    </w:p>
    <w:p>
      <w:pPr>
        <w:spacing w:after="0" w:line="206"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ectPr>
          <w:pgSz w:w="11900" w:h="16838" w:orient="portrait"/>
          <w:cols w:equalWidth="0" w:num="1">
            <w:col w:w="10219"/>
          </w:cols>
          <w:pgMar w:left="240" w:top="339" w:right="1440" w:bottom="0" w:gutter="0" w:footer="0" w:header="0"/>
        </w:sectPr>
      </w:pPr>
    </w:p>
    <w:bookmarkStart w:id="2" w:name="page3"/>
    <w:bookmarkEnd w:id="2"/>
    <w:p>
      <w:pPr>
        <w:ind w:left="54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Jewelcor Management, Inc.</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Federal Identification No.</w:t>
      </w:r>
      <w:r>
        <w:rPr>
          <w:sz w:val="20"/>
          <w:szCs w:val="20"/>
          <w:color w:val="auto"/>
        </w:rPr>
        <w:tab/>
      </w:r>
      <w:r>
        <w:rPr>
          <w:rFonts w:ascii="Courier New" w:cs="Courier New" w:eastAsia="Courier New" w:hAnsi="Courier New"/>
          <w:sz w:val="16"/>
          <w:szCs w:val="16"/>
          <w:color w:val="auto"/>
        </w:rPr>
        <w:t>23-2331228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536" w:lineRule="auto"/>
        <w:tabs>
          <w:tab w:leader="none" w:pos="5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540" w:right="3779" w:hanging="532"/>
        <w:spacing w:after="0" w:line="235"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3,027,416</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3,027,416</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3,027,416</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21.0%</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S.H. Holdings,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p>
    <w:p>
      <w:pPr>
        <w:sectPr>
          <w:pgSz w:w="11900" w:h="16838" w:orient="portrait"/>
          <w:cols w:equalWidth="0" w:num="1">
            <w:col w:w="10219"/>
          </w:cols>
          <w:pgMar w:left="240" w:top="136" w:right="1440" w:bottom="0" w:gutter="0" w:footer="0" w:header="0"/>
        </w:sectPr>
      </w:pPr>
    </w:p>
    <w:bookmarkStart w:id="3" w:name="page4"/>
    <w:bookmarkEnd w:id="3"/>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540" w:right="3779" w:hanging="532"/>
        <w:spacing w:after="0" w:line="235"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 Delaware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Jewelcor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540" w:right="3779" w:hanging="532"/>
        <w:spacing w:after="0" w:line="235"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Pennsylvania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ectPr>
          <w:pgSz w:w="11900" w:h="16942" w:orient="portrait"/>
          <w:cols w:equalWidth="0" w:num="1">
            <w:col w:w="10219"/>
          </w:cols>
          <w:pgMar w:left="240" w:top="339" w:right="1440" w:bottom="0" w:gutter="0" w:footer="0" w:header="0"/>
        </w:sectPr>
      </w:pPr>
    </w:p>
    <w:bookmarkStart w:id="4" w:name="page5"/>
    <w:bookmarkEnd w:id="4"/>
    <w:p>
      <w:pPr>
        <w:ind w:left="540" w:right="2319" w:hanging="532"/>
        <w:spacing w:after="0" w:line="470"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3260" w:type="dxa"/>
            <w:vAlign w:val="bottom"/>
          </w:tcPr>
          <w:p>
            <w:pPr>
              <w:ind w:left="40"/>
              <w:spacing w:after="0"/>
              <w:rPr>
                <w:sz w:val="20"/>
                <w:szCs w:val="20"/>
                <w:color w:val="auto"/>
              </w:rPr>
            </w:pPr>
            <w:r>
              <w:rPr>
                <w:rFonts w:ascii="Courier New" w:cs="Courier New" w:eastAsia="Courier New" w:hAnsi="Courier New"/>
                <w:sz w:val="18"/>
                <w:szCs w:val="18"/>
                <w:color w:val="auto"/>
                <w:w w:val="98"/>
              </w:rPr>
              <w:t>Account f/b/o Chelsea Holtzman</w:t>
            </w: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3260" w:type="dxa"/>
            <w:vAlign w:val="bottom"/>
          </w:tcPr>
          <w:p>
            <w:pPr>
              <w:ind w:left="40"/>
              <w:spacing w:after="0"/>
              <w:rPr>
                <w:sz w:val="20"/>
                <w:szCs w:val="20"/>
                <w:color w:val="auto"/>
              </w:rPr>
            </w:pPr>
            <w:r>
              <w:rPr>
                <w:rFonts w:ascii="Courier New" w:cs="Courier New" w:eastAsia="Courier New" w:hAnsi="Courier New"/>
                <w:sz w:val="18"/>
                <w:szCs w:val="18"/>
                <w:color w:val="auto"/>
                <w:w w:val="98"/>
              </w:rPr>
              <w:t>APPROPRIATE BOX IF A MEMBER OF</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2" w:lineRule="exact"/>
        <w:rPr>
          <w:sz w:val="20"/>
          <w:szCs w:val="20"/>
          <w:color w:val="auto"/>
        </w:rPr>
      </w:pPr>
    </w:p>
    <w:p>
      <w:pPr>
        <w:ind w:left="540" w:right="3779" w:hanging="532"/>
        <w:spacing w:after="0" w:line="235"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ectPr>
          <w:pgSz w:w="11900" w:h="16838" w:orient="portrait"/>
          <w:cols w:equalWidth="0" w:num="1">
            <w:col w:w="10219"/>
          </w:cols>
          <w:pgMar w:left="240" w:top="344" w:right="1440"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322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SS. OR I.R.S. IDENTIFICATION</w:t>
            </w:r>
          </w:p>
        </w:tc>
        <w:tc>
          <w:tcPr>
            <w:tcW w:w="2480" w:type="dxa"/>
            <w:vAlign w:val="bottom"/>
          </w:tcPr>
          <w:p>
            <w:pPr>
              <w:ind w:left="40"/>
              <w:spacing w:after="0"/>
              <w:rPr>
                <w:sz w:val="20"/>
                <w:szCs w:val="20"/>
                <w:color w:val="auto"/>
              </w:rPr>
            </w:pPr>
            <w:r>
              <w:rPr>
                <w:rFonts w:ascii="Courier New" w:cs="Courier New" w:eastAsia="Courier New" w:hAnsi="Courier New"/>
                <w:sz w:val="18"/>
                <w:szCs w:val="18"/>
                <w:color w:val="auto"/>
              </w:rPr>
              <w:t>NO. OF ABOVE PERSON</w:t>
            </w:r>
          </w:p>
        </w:tc>
        <w:tc>
          <w:tcPr>
            <w:tcW w:w="720" w:type="dxa"/>
            <w:vAlign w:val="bottom"/>
          </w:tcPr>
          <w:p>
            <w:pPr>
              <w:spacing w:after="0"/>
              <w:rPr>
                <w:sz w:val="17"/>
                <w:szCs w:val="17"/>
                <w:color w:val="auto"/>
              </w:rPr>
            </w:pPr>
          </w:p>
        </w:tc>
      </w:tr>
      <w:tr>
        <w:trPr>
          <w:trHeight w:val="405"/>
        </w:trPr>
        <w:tc>
          <w:tcPr>
            <w:tcW w:w="32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44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Account f/b/o Percy Holtzman</w:t>
            </w:r>
          </w:p>
        </w:tc>
        <w:tc>
          <w:tcPr>
            <w:tcW w:w="720" w:type="dxa"/>
            <w:vAlign w:val="bottom"/>
          </w:tcPr>
          <w:p>
            <w:pPr>
              <w:spacing w:after="0"/>
              <w:rPr>
                <w:sz w:val="24"/>
                <w:szCs w:val="24"/>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0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w:t>
            </w:r>
          </w:p>
        </w:tc>
        <w:tc>
          <w:tcPr>
            <w:tcW w:w="2480" w:type="dxa"/>
            <w:vAlign w:val="bottom"/>
          </w:tcPr>
          <w:p>
            <w:pPr>
              <w:ind w:left="40"/>
              <w:spacing w:after="0"/>
              <w:rPr>
                <w:sz w:val="20"/>
                <w:szCs w:val="20"/>
                <w:color w:val="auto"/>
              </w:rPr>
            </w:pPr>
            <w:r>
              <w:rPr>
                <w:rFonts w:ascii="Courier New" w:cs="Courier New" w:eastAsia="Courier New" w:hAnsi="Courier New"/>
                <w:sz w:val="18"/>
                <w:szCs w:val="18"/>
                <w:color w:val="auto"/>
              </w:rPr>
              <w:t>A 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2" w:lineRule="exact"/>
        <w:rPr>
          <w:sz w:val="20"/>
          <w:szCs w:val="20"/>
          <w:color w:val="auto"/>
        </w:rPr>
      </w:pPr>
    </w:p>
    <w:p>
      <w:pPr>
        <w:ind w:left="540" w:right="3779" w:hanging="532"/>
        <w:spacing w:after="0" w:line="235"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.02%</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Rivers</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2" w:lineRule="exact"/>
        <w:rPr>
          <w:sz w:val="20"/>
          <w:szCs w:val="20"/>
          <w:color w:val="auto"/>
        </w:rPr>
      </w:pPr>
    </w:p>
    <w:p>
      <w:pPr>
        <w:ind w:left="540" w:right="3779" w:hanging="532"/>
        <w:spacing w:after="0" w:line="235" w:lineRule="auto"/>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15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VOTING POWER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Temple</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2" w:lineRule="exact"/>
        <w:rPr>
          <w:sz w:val="20"/>
          <w:szCs w:val="20"/>
          <w:color w:val="auto"/>
        </w:rPr>
      </w:pPr>
    </w:p>
    <w:p>
      <w:pPr>
        <w:ind w:left="540" w:right="3779" w:hanging="532"/>
        <w:spacing w:after="0" w:line="235" w:lineRule="auto"/>
        <w:tabs>
          <w:tab w:leader="none" w:pos="5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640" w:right="3359" w:hanging="632"/>
        <w:spacing w:after="0" w:line="470" w:lineRule="auto"/>
        <w:tabs>
          <w:tab w:leader="none" w:pos="535"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36" w:right="1440" w:bottom="537" w:gutter="0" w:footer="0" w:header="0"/>
        </w:sectPr>
      </w:pPr>
    </w:p>
    <w:bookmarkStart w:id="7" w:name="page8"/>
    <w:bookmarkEnd w:id="7"/>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Olivia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Garcia</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PF</w:t>
      </w:r>
    </w:p>
    <w:p>
      <w:pPr>
        <w:spacing w:after="0" w:line="207" w:lineRule="exact"/>
        <w:rPr>
          <w:sz w:val="20"/>
          <w:szCs w:val="20"/>
          <w:color w:val="auto"/>
        </w:rPr>
      </w:pPr>
    </w:p>
    <w:p>
      <w:pPr>
        <w:ind w:left="540" w:right="3779" w:hanging="532"/>
        <w:spacing w:after="0" w:line="235"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640" w:right="3359" w:hanging="632"/>
        <w:spacing w:after="0" w:line="470" w:lineRule="auto"/>
        <w:tabs>
          <w:tab w:leader="none" w:pos="535"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.06%</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Account f/b/o Sterling Garcia</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CHECK BOX IF DISCLOSURE OF LEGAL PROCEEDINGS IS REQUIRED</w:t>
      </w:r>
    </w:p>
    <w:p>
      <w:pPr>
        <w:sectPr>
          <w:pgSz w:w="11900" w:h="16838" w:orient="portrait"/>
          <w:cols w:equalWidth="0" w:num="1">
            <w:col w:w="10219"/>
          </w:cols>
          <w:pgMar w:left="240" w:top="946" w:right="1440" w:bottom="0" w:gutter="0" w:footer="0" w:header="0"/>
        </w:sectPr>
      </w:pPr>
    </w:p>
    <w:bookmarkStart w:id="8" w:name="page9"/>
    <w:bookmarkEnd w:id="8"/>
    <w:p>
      <w:pPr>
        <w:ind w:left="540"/>
        <w:spacing w:after="0"/>
        <w:rPr>
          <w:sz w:val="20"/>
          <w:szCs w:val="20"/>
          <w:color w:val="auto"/>
        </w:rPr>
      </w:pPr>
      <w:r>
        <w:rPr>
          <w:rFonts w:ascii="Courier New" w:cs="Courier New" w:eastAsia="Courier New" w:hAnsi="Courier New"/>
          <w:sz w:val="18"/>
          <w:szCs w:val="18"/>
          <w:color w:val="auto"/>
        </w:rPr>
        <w:t>PURSUANT TO ITEMS 2(d) or 2 (E)</w:t>
      </w:r>
    </w:p>
    <w:p>
      <w:pPr>
        <w:spacing w:after="0" w:line="207" w:lineRule="exact"/>
        <w:rPr>
          <w:sz w:val="20"/>
          <w:szCs w:val="20"/>
          <w:color w:val="auto"/>
        </w:rPr>
      </w:pPr>
    </w:p>
    <w:p>
      <w:pPr>
        <w:ind w:left="540" w:right="5899" w:hanging="532"/>
        <w:spacing w:after="0" w:line="470" w:lineRule="auto"/>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2939" w:firstLine="527"/>
        <w:spacing w:after="0" w:line="268" w:lineRule="auto"/>
        <w:rPr>
          <w:sz w:val="20"/>
          <w:szCs w:val="20"/>
          <w:color w:val="auto"/>
        </w:rPr>
      </w:pPr>
      <w:r>
        <w:rPr>
          <w:rFonts w:ascii="Courier New" w:cs="Courier New" w:eastAsia="Courier New" w:hAnsi="Courier New"/>
          <w:sz w:val="16"/>
          <w:szCs w:val="16"/>
          <w:color w:val="auto"/>
        </w:rPr>
        <w:t>This amendment to the previously filed Statement on Schedule 13D ("Schedule 13D") relates to the common stock (the "Common Stock")</w:t>
      </w:r>
    </w:p>
    <w:p>
      <w:pPr>
        <w:ind w:right="2939"/>
        <w:spacing w:after="0" w:line="290" w:lineRule="auto"/>
        <w:rPr>
          <w:sz w:val="20"/>
          <w:szCs w:val="20"/>
          <w:color w:val="auto"/>
        </w:rPr>
      </w:pPr>
      <w:r>
        <w:rPr>
          <w:rFonts w:ascii="Courier New" w:cs="Courier New" w:eastAsia="Courier New" w:hAnsi="Courier New"/>
          <w:sz w:val="16"/>
          <w:szCs w:val="16"/>
          <w:color w:val="auto"/>
        </w:rPr>
        <w:t>of Designs, Inc. (the "Company"). The principal executive offices of the Company are located at 66 B Street, Needham, Massachusetts 02194.</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3 is hereby supplementally amended as follows:</w:t>
      </w:r>
    </w:p>
    <w:p>
      <w:pPr>
        <w:spacing w:after="0" w:line="207"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On September 21, 2001, Jewelcor Management, Inc. ("JMI") purchased 2,000 shares of Common Stock at a total cost (including fees) of $4,181.00 from funds borrowed by JMI against its margin account with Bear Stearns Securities.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4 is hereby supplementally amended as follows:</w:t>
      </w:r>
    </w:p>
    <w:p>
      <w:pPr>
        <w:spacing w:after="0" w:line="207" w:lineRule="exact"/>
        <w:rPr>
          <w:sz w:val="20"/>
          <w:szCs w:val="20"/>
          <w:color w:val="auto"/>
        </w:rPr>
      </w:pPr>
    </w:p>
    <w:p>
      <w:pPr>
        <w:ind w:right="3259" w:firstLine="843"/>
        <w:spacing w:after="0" w:line="268" w:lineRule="auto"/>
        <w:rPr>
          <w:sz w:val="20"/>
          <w:szCs w:val="20"/>
          <w:color w:val="auto"/>
        </w:rPr>
      </w:pPr>
      <w:r>
        <w:rPr>
          <w:rFonts w:ascii="Courier New" w:cs="Courier New" w:eastAsia="Courier New" w:hAnsi="Courier New"/>
          <w:sz w:val="16"/>
          <w:szCs w:val="16"/>
          <w:color w:val="auto"/>
        </w:rPr>
        <w:t>On September 26, 2001, the JMI executed a letter agreement (the "Letter Agreement") whereby the Company and JMI agreed to extend the term of the Consulting Agreement between the parties dated April 29, 2000 (the "Consulting Agreement"). Pursuant</w:t>
      </w:r>
    </w:p>
    <w:p>
      <w:pPr>
        <w:spacing w:after="0" w:line="1"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to the Letter Agreement, the term of the Consulting Agreement was extended for an additional year commencing on April 29, 2001 and ending on April 28, 2002. During this extended term, JMI will receive consideration from the Company consisting of 61,856 shares of the Company's Common Stock and reimbursement of actual and direct out-of-pocket expenses.</w:t>
      </w:r>
    </w:p>
    <w:p>
      <w:pPr>
        <w:spacing w:after="0" w:line="210" w:lineRule="exact"/>
        <w:rPr>
          <w:sz w:val="20"/>
          <w:szCs w:val="20"/>
          <w:color w:val="auto"/>
        </w:rPr>
      </w:pPr>
    </w:p>
    <w:p>
      <w:pPr>
        <w:ind w:right="2939" w:firstLine="843"/>
        <w:spacing w:after="0" w:line="279" w:lineRule="auto"/>
        <w:rPr>
          <w:sz w:val="20"/>
          <w:szCs w:val="20"/>
          <w:color w:val="auto"/>
        </w:rPr>
      </w:pPr>
      <w:r>
        <w:rPr>
          <w:rFonts w:ascii="Courier New" w:cs="Courier New" w:eastAsia="Courier New" w:hAnsi="Courier New"/>
          <w:sz w:val="16"/>
          <w:szCs w:val="16"/>
          <w:color w:val="auto"/>
        </w:rPr>
        <w:t>The foregoing summary of the Letter Agreement is qualified by reference to the entirety of the Letter Agreement, a copy of which is attached hereto as Exhibit A and incorporated herein by reference.</w:t>
      </w:r>
    </w:p>
    <w:p>
      <w:pPr>
        <w:sectPr>
          <w:pgSz w:w="11900" w:h="16838" w:orient="portrait"/>
          <w:cols w:equalWidth="0" w:num="1">
            <w:col w:w="10219"/>
          </w:cols>
          <w:pgMar w:left="240" w:top="136"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5 is hereby supplementally amended as follows:</w:t>
      </w:r>
    </w:p>
    <w:p>
      <w:pPr>
        <w:spacing w:after="0" w:line="207"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As of September 26, 2001, JMI beneficially owns an aggregate of 3,027,416 shares of Common Stock. Based upon the Company's Form 10-Q filed on September 18, 2001 which indicates that there are 14,490,809 shares of Common Stock outstanding, JMI beneficially owns approximately 21.0% of said outstanding shares.</w:t>
      </w:r>
    </w:p>
    <w:p>
      <w:pPr>
        <w:spacing w:after="0" w:line="209"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As of September 21, 2001, the Reporting Persons own an aggregate of 3,080,713 shares of Common Stock which, based on there being 14,490,809 shares of Common Stock outstanding, represents approximately 21.3% of said outstanding shares.</w:t>
      </w:r>
    </w:p>
    <w:p>
      <w:pPr>
        <w:spacing w:after="0" w:line="207" w:lineRule="exact"/>
        <w:rPr>
          <w:sz w:val="20"/>
          <w:szCs w:val="20"/>
          <w:color w:val="auto"/>
        </w:rPr>
      </w:pPr>
    </w:p>
    <w:p>
      <w:pPr>
        <w:ind w:right="2099" w:firstLine="1054"/>
        <w:spacing w:after="0" w:line="279" w:lineRule="auto"/>
        <w:rPr>
          <w:sz w:val="20"/>
          <w:szCs w:val="20"/>
          <w:color w:val="auto"/>
        </w:rPr>
      </w:pPr>
      <w:r>
        <w:rPr>
          <w:rFonts w:ascii="Courier New" w:cs="Courier New" w:eastAsia="Courier New" w:hAnsi="Courier New"/>
          <w:sz w:val="16"/>
          <w:szCs w:val="16"/>
          <w:color w:val="auto"/>
        </w:rPr>
        <w:t>The responses of the Reporting Person to Items (7) through (11) of the cover pages to this Schedule 13D relating to the beneficial ownership of shares of Common Stock of the Issuer are incorporated herein by reference.</w:t>
      </w:r>
    </w:p>
    <w:p>
      <w:pPr>
        <w:spacing w:after="0" w:line="178"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Information with respect to each of the Reporting Persons is given solely by such Reporting Person and no Reporting Person shall have responsibility for the accuracy or completeness of information supplied by another Reporting Person.</w:t>
      </w:r>
    </w:p>
    <w:p>
      <w:pPr>
        <w:spacing w:after="0" w:line="207"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The Reporting Persons are filing this Schedule 13D because such Reporting Persons may be deemed to be members of a group for purposes of Section 13(d) of the Securities Exchange Act of 1934, as amended, (the "Exchange Act"). Each Reporting Person disclaims beneficial ownership of any Common Stock beneficially owned by any other Reporting Person, except that Mr. Holtzman acknowledges beneficial ownership of the Common Stock owned by JMI.</w:t>
      </w:r>
    </w:p>
    <w:p>
      <w:pPr>
        <w:spacing w:after="0" w:line="200" w:lineRule="exact"/>
        <w:rPr>
          <w:sz w:val="20"/>
          <w:szCs w:val="20"/>
          <w:color w:val="auto"/>
        </w:rPr>
      </w:pPr>
    </w:p>
    <w:p>
      <w:pPr>
        <w:spacing w:after="0" w:line="214"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6 is hereby supplementally amended as follows:</w:t>
      </w:r>
    </w:p>
    <w:p>
      <w:pPr>
        <w:spacing w:after="0" w:line="207" w:lineRule="exact"/>
        <w:rPr>
          <w:sz w:val="20"/>
          <w:szCs w:val="20"/>
          <w:color w:val="auto"/>
        </w:rPr>
      </w:pPr>
    </w:p>
    <w:p>
      <w:pPr>
        <w:ind w:right="2939" w:firstLine="843"/>
        <w:spacing w:after="0" w:line="271" w:lineRule="auto"/>
        <w:rPr>
          <w:sz w:val="20"/>
          <w:szCs w:val="20"/>
          <w:color w:val="auto"/>
        </w:rPr>
      </w:pPr>
      <w:r>
        <w:rPr>
          <w:rFonts w:ascii="Courier New" w:cs="Courier New" w:eastAsia="Courier New" w:hAnsi="Courier New"/>
          <w:sz w:val="16"/>
          <w:szCs w:val="16"/>
          <w:color w:val="auto"/>
        </w:rPr>
        <w:t>On September 26, 2001, the JMI executed a letter agreement (the "Letter Agreement") whereby the Company and JMI agreed to extend the term of the Consulting Agreement between the parties dated April 29, 2000 (the "Consulting Agreement").See Item 4 above. The foregoing summary of the Letter Agreement is qualified by reference to the entirety of the Letter Agreement, a copy of which is attached hereto as Exhibit A and incorporated herein by reference.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7 is hereby supplementally amended as follows:</w:t>
      </w:r>
    </w:p>
    <w:p>
      <w:pPr>
        <w:spacing w:after="0" w:line="207" w:lineRule="exact"/>
        <w:rPr>
          <w:sz w:val="20"/>
          <w:szCs w:val="20"/>
          <w:color w:val="auto"/>
        </w:rPr>
      </w:pPr>
    </w:p>
    <w:p>
      <w:pPr>
        <w:ind w:right="3899" w:firstLine="843"/>
        <w:spacing w:after="0" w:line="235" w:lineRule="auto"/>
        <w:rPr>
          <w:sz w:val="20"/>
          <w:szCs w:val="20"/>
          <w:color w:val="auto"/>
        </w:rPr>
      </w:pPr>
      <w:r>
        <w:rPr>
          <w:rFonts w:ascii="Courier New" w:cs="Courier New" w:eastAsia="Courier New" w:hAnsi="Courier New"/>
          <w:sz w:val="18"/>
          <w:szCs w:val="18"/>
          <w:color w:val="auto"/>
        </w:rPr>
        <w:t>Letter Agreement between the Company and JMI, a copy of which is attached hereto as Exhibit 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reasonable inquiry and to the best of their knowledge,</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September 26, 2001</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sectPr>
          <w:pgSz w:w="11900" w:h="16838" w:orient="portrait"/>
          <w:cols w:equalWidth="0" w:num="1">
            <w:col w:w="10219"/>
          </w:cols>
          <w:pgMar w:left="240" w:top="136" w:right="1440" w:bottom="0" w:gutter="0" w:footer="0" w:header="0"/>
        </w:sectPr>
      </w:pPr>
    </w:p>
    <w:bookmarkStart w:id="10" w:name="page11"/>
    <w:bookmarkEnd w:id="10"/>
    <w:p>
      <w:pPr>
        <w:ind w:left="1660"/>
        <w:spacing w:after="0"/>
        <w:rPr>
          <w:sz w:val="20"/>
          <w:szCs w:val="20"/>
          <w:color w:val="auto"/>
        </w:rPr>
      </w:pPr>
      <w:r>
        <w:rPr>
          <w:rFonts w:ascii="Courier New" w:cs="Courier New" w:eastAsia="Courier New" w:hAnsi="Courier New"/>
          <w:sz w:val="18"/>
          <w:szCs w:val="18"/>
          <w:color w:val="auto"/>
        </w:rPr>
        <w:t>Title: President</w:t>
      </w:r>
    </w:p>
    <w:p>
      <w:pPr>
        <w:spacing w:after="0" w:line="201"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By: /s/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1660"/>
        <w:spacing w:after="0"/>
        <w:rPr>
          <w:sz w:val="20"/>
          <w:szCs w:val="20"/>
          <w:color w:val="auto"/>
        </w:rPr>
      </w:pPr>
      <w:r>
        <w:rPr>
          <w:rFonts w:ascii="Courier New" w:cs="Courier New" w:eastAsia="Courier New" w:hAnsi="Courier New"/>
          <w:sz w:val="18"/>
          <w:szCs w:val="18"/>
          <w:color w:val="auto"/>
        </w:rPr>
        <w:t>Title: President</w:t>
      </w:r>
    </w:p>
    <w:p>
      <w:pPr>
        <w:spacing w:after="0" w:line="206"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Custodial Account F/B/O Chelsea Holtzman</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 Evelyn Holtzman</w:t>
      </w:r>
    </w:p>
    <w:p>
      <w:pPr>
        <w:ind w:left="1660"/>
        <w:spacing w:after="0" w:line="238" w:lineRule="auto"/>
        <w:rPr>
          <w:sz w:val="20"/>
          <w:szCs w:val="20"/>
          <w:color w:val="auto"/>
        </w:rPr>
      </w:pPr>
      <w:r>
        <w:rPr>
          <w:rFonts w:ascii="Courier New" w:cs="Courier New" w:eastAsia="Courier New" w:hAnsi="Courier New"/>
          <w:sz w:val="18"/>
          <w:szCs w:val="18"/>
          <w:color w:val="auto"/>
        </w:rPr>
        <w:t>Evelyn Holtzman, Custodian</w:t>
      </w:r>
    </w:p>
    <w:p>
      <w:pPr>
        <w:spacing w:after="0" w:line="202"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Custodial Account F/B/O Percy Holtzman</w:t>
      </w:r>
    </w:p>
    <w:p>
      <w:pPr>
        <w:ind w:left="1660"/>
        <w:spacing w:after="0" w:line="238" w:lineRule="auto"/>
        <w:rPr>
          <w:sz w:val="20"/>
          <w:szCs w:val="20"/>
          <w:color w:val="auto"/>
        </w:rPr>
      </w:pPr>
      <w:r>
        <w:rPr>
          <w:rFonts w:ascii="Courier New" w:cs="Courier New" w:eastAsia="Courier New" w:hAnsi="Courier New"/>
          <w:sz w:val="18"/>
          <w:szCs w:val="18"/>
          <w:color w:val="auto"/>
        </w:rPr>
        <w:t>/s/ Seymour Holtzman</w:t>
      </w:r>
    </w:p>
    <w:p>
      <w:pPr>
        <w:ind w:left="1660"/>
        <w:spacing w:after="0"/>
        <w:rPr>
          <w:sz w:val="20"/>
          <w:szCs w:val="20"/>
          <w:color w:val="auto"/>
        </w:rPr>
      </w:pPr>
      <w:r>
        <w:rPr>
          <w:rFonts w:ascii="Courier New" w:cs="Courier New" w:eastAsia="Courier New" w:hAnsi="Courier New"/>
          <w:sz w:val="18"/>
          <w:szCs w:val="18"/>
          <w:color w:val="auto"/>
        </w:rPr>
        <w:t>Seymour Holtzman, Custodian</w:t>
      </w:r>
    </w:p>
    <w:p>
      <w:pPr>
        <w:spacing w:after="0" w:line="206"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Custodial Account F/B/O Rivers Holtzman</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Seymour Holtzman, Custodian</w:t>
      </w:r>
    </w:p>
    <w:p>
      <w:pPr>
        <w:spacing w:after="0" w:line="20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Custodial Account F/B/O Temple Holtzman</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Seymour Holtzman, Custodian</w:t>
      </w:r>
    </w:p>
    <w:p>
      <w:pPr>
        <w:spacing w:after="0" w:line="202"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Custodial Account F/B/O Olivia Garcia</w:t>
      </w:r>
    </w:p>
    <w:p>
      <w:pPr>
        <w:ind w:left="1660"/>
        <w:spacing w:after="0" w:line="238" w:lineRule="auto"/>
        <w:rPr>
          <w:sz w:val="20"/>
          <w:szCs w:val="20"/>
          <w:color w:val="auto"/>
        </w:rPr>
      </w:pPr>
      <w:r>
        <w:rPr>
          <w:rFonts w:ascii="Courier New" w:cs="Courier New" w:eastAsia="Courier New" w:hAnsi="Courier New"/>
          <w:sz w:val="18"/>
          <w:szCs w:val="18"/>
          <w:color w:val="auto"/>
        </w:rPr>
        <w:t>/s/ Seymour Holtzman</w:t>
      </w:r>
    </w:p>
    <w:p>
      <w:pPr>
        <w:ind w:left="1660"/>
        <w:spacing w:after="0"/>
        <w:rPr>
          <w:sz w:val="20"/>
          <w:szCs w:val="20"/>
          <w:color w:val="auto"/>
        </w:rPr>
      </w:pPr>
      <w:r>
        <w:rPr>
          <w:rFonts w:ascii="Courier New" w:cs="Courier New" w:eastAsia="Courier New" w:hAnsi="Courier New"/>
          <w:sz w:val="18"/>
          <w:szCs w:val="18"/>
          <w:color w:val="auto"/>
        </w:rPr>
        <w:t>Seymour Holtzman, Custodian</w:t>
      </w:r>
    </w:p>
    <w:p>
      <w:pPr>
        <w:spacing w:after="0" w:line="206"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Custodial Account F/B/O Sterling Garcia</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Seymour Holtzman, Custodian</w:t>
      </w:r>
    </w:p>
    <w:p>
      <w:pPr>
        <w:sectPr>
          <w:pgSz w:w="11900" w:h="16838" w:orient="portrait"/>
          <w:cols w:equalWidth="0" w:num="1">
            <w:col w:w="9019"/>
          </w:cols>
          <w:pgMar w:left="1440" w:top="136"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As of April 28,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Jewelcor Management, Inc.</w:t>
      </w:r>
    </w:p>
    <w:p>
      <w:pPr>
        <w:spacing w:after="0" w:line="238" w:lineRule="auto"/>
        <w:rPr>
          <w:sz w:val="20"/>
          <w:szCs w:val="20"/>
          <w:color w:val="auto"/>
        </w:rPr>
      </w:pPr>
      <w:r>
        <w:rPr>
          <w:rFonts w:ascii="Courier New" w:cs="Courier New" w:eastAsia="Courier New" w:hAnsi="Courier New"/>
          <w:sz w:val="18"/>
          <w:szCs w:val="18"/>
          <w:color w:val="auto"/>
        </w:rPr>
        <w:t>100 North Wilkes-Barre Boulevard</w:t>
      </w:r>
    </w:p>
    <w:p>
      <w:pPr>
        <w:spacing w:after="0"/>
        <w:tabs>
          <w:tab w:leader="none" w:pos="1880" w:val="left"/>
        </w:tabs>
        <w:rPr>
          <w:sz w:val="20"/>
          <w:szCs w:val="20"/>
          <w:color w:val="auto"/>
        </w:rPr>
      </w:pPr>
      <w:r>
        <w:rPr>
          <w:rFonts w:ascii="Courier New" w:cs="Courier New" w:eastAsia="Courier New" w:hAnsi="Courier New"/>
          <w:sz w:val="18"/>
          <w:szCs w:val="18"/>
          <w:color w:val="auto"/>
        </w:rPr>
        <w:t>Wilkes-Barre, PA</w:t>
        <w:tab/>
        <w:t>18702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This will confirm the agreement between Jewelcor Management, Inc. (the "Independent Contractor") and Designs, Inc. (the "Corporation") regarding the extension of the term of the Consulting Agreement between the Independent Contractor and the Corporation dated as of April 29, 2000 (the "Agreement").</w:t>
      </w:r>
    </w:p>
    <w:p>
      <w:pPr>
        <w:spacing w:after="0" w:line="209" w:lineRule="exact"/>
        <w:rPr>
          <w:sz w:val="20"/>
          <w:szCs w:val="20"/>
          <w:color w:val="auto"/>
        </w:rPr>
      </w:pPr>
    </w:p>
    <w:p>
      <w:pPr>
        <w:ind w:right="2619" w:firstLine="851"/>
        <w:spacing w:after="0" w:line="275" w:lineRule="auto"/>
        <w:tabs>
          <w:tab w:leader="none" w:pos="1159"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of the Agreement shall be extended for an additional period of one (1) year commencing on April 29, 2001 and ending on April 28, 2002. Unless the context otherwise requires, April 28, 2002 shall be the "Expiration Date" of the Agreement as so extended.</w:t>
      </w:r>
    </w:p>
    <w:p>
      <w:pPr>
        <w:spacing w:after="0" w:line="176" w:lineRule="exact"/>
        <w:rPr>
          <w:rFonts w:ascii="Courier New" w:cs="Courier New" w:eastAsia="Courier New" w:hAnsi="Courier New"/>
          <w:sz w:val="16"/>
          <w:szCs w:val="16"/>
          <w:color w:val="auto"/>
        </w:rPr>
      </w:pPr>
    </w:p>
    <w:p>
      <w:pPr>
        <w:ind w:left="1160" w:hanging="309"/>
        <w:spacing w:after="0"/>
        <w:tabs>
          <w:tab w:leader="none" w:pos="116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Section 4 of the Agreement,</w:t>
      </w:r>
    </w:p>
    <w:p>
      <w:pPr>
        <w:spacing w:after="0" w:line="4" w:lineRule="exact"/>
        <w:rPr>
          <w:sz w:val="20"/>
          <w:szCs w:val="20"/>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consideration to be furnished to the Independent Contractor by the Corporation for the Services rendered by the Independent Contractor under the Agreement during the period from April 29, 2001 through April 28, 2002 shall consist of (a) 61,856 non-forfeitable, fully paid and non-assessable shares of the Corporation's Common Stock (the fair value of which Common Stock on May 25, 2001, the date of the approval of the extension of the Agreement as set forth herein, was $240,000 or $3.88 per share) and (b) the reimbursement of actual</w:t>
      </w:r>
    </w:p>
    <w:p>
      <w:pPr>
        <w:spacing w:after="0" w:line="1"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and direct out-of-pocket expenses incurred by the Independent Contractor in the rendering of Services under the Agreement.</w:t>
      </w:r>
    </w:p>
    <w:p>
      <w:pPr>
        <w:spacing w:after="0" w:line="170" w:lineRule="exact"/>
        <w:rPr>
          <w:sz w:val="20"/>
          <w:szCs w:val="20"/>
          <w:color w:val="auto"/>
        </w:rPr>
      </w:pPr>
    </w:p>
    <w:p>
      <w:pPr>
        <w:ind w:right="2739" w:firstLine="843"/>
        <w:spacing w:after="0" w:line="273" w:lineRule="auto"/>
        <w:rPr>
          <w:sz w:val="20"/>
          <w:szCs w:val="20"/>
          <w:color w:val="auto"/>
        </w:rPr>
      </w:pPr>
      <w:r>
        <w:rPr>
          <w:rFonts w:ascii="Courier New" w:cs="Courier New" w:eastAsia="Courier New" w:hAnsi="Courier New"/>
          <w:sz w:val="16"/>
          <w:szCs w:val="16"/>
          <w:color w:val="auto"/>
        </w:rPr>
        <w:t>The remaining terms of the Agreement shall remain in full force and effect without change. For the avoidance of doubt, the parties hereby agree and acknowledge that the foregoing extension does not change the compensation or other rights or obligations of the parties originally provided in the Agreement with respect to any prior period.</w:t>
      </w:r>
    </w:p>
    <w:p>
      <w:pPr>
        <w:spacing w:after="0" w:line="17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ind w:left="5060"/>
        <w:spacing w:after="0"/>
        <w:tabs>
          <w:tab w:leader="none" w:pos="5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__________________</w:t>
      </w:r>
    </w:p>
    <w:p>
      <w:pPr>
        <w:spacing w:after="0" w:line="238" w:lineRule="auto"/>
        <w:rPr>
          <w:sz w:val="20"/>
          <w:szCs w:val="20"/>
          <w:color w:val="auto"/>
        </w:rPr>
      </w:pPr>
      <w:r>
        <w:rPr>
          <w:rFonts w:ascii="Courier New" w:cs="Courier New" w:eastAsia="Courier New" w:hAnsi="Courier New"/>
          <w:sz w:val="18"/>
          <w:szCs w:val="18"/>
          <w:color w:val="auto"/>
        </w:rPr>
        <w:t>Agreed and Accepted: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Jewelcor Management, Inc.</w:t>
      </w:r>
    </w:p>
    <w:p>
      <w:pPr>
        <w:spacing w:after="0" w:line="200" w:lineRule="exact"/>
        <w:rPr>
          <w:sz w:val="20"/>
          <w:szCs w:val="20"/>
          <w:color w:val="auto"/>
        </w:rPr>
      </w:pP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Seymour Holtzman 9/26/2001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bullet"/>
      <w:start w:val="1"/>
    </w:lvl>
  </w:abstractNum>
  <w:abstractNum w:abstractNumId="2">
    <w:nsid w:val="419AC241"/>
    <w:multiLevelType w:val="hybridMultilevel"/>
    <w:lvl w:ilvl="0">
      <w:lvlJc w:val="left"/>
      <w:lvlText w:val="3"/>
      <w:numFmt w:val="bullet"/>
      <w:start w:val="1"/>
    </w:lvl>
  </w:abstractNum>
  <w:abstractNum w:abstractNumId="3">
    <w:nsid w:val="5577F8E1"/>
    <w:multiLevelType w:val="hybridMultilevel"/>
    <w:lvl w:ilvl="0">
      <w:lvlJc w:val="left"/>
      <w:lvlText w:val="4"/>
      <w:numFmt w:val="bullet"/>
      <w:start w:val="1"/>
    </w:lvl>
  </w:abstractNum>
  <w:abstractNum w:abstractNumId="4">
    <w:nsid w:val="440BADFC"/>
    <w:multiLevelType w:val="hybridMultilevel"/>
    <w:lvl w:ilvl="0">
      <w:lvlJc w:val="left"/>
      <w:lvlText w:val="5"/>
      <w:numFmt w:val="bullet"/>
      <w:start w:val="1"/>
    </w:lvl>
  </w:abstractNum>
  <w:abstractNum w:abstractNumId="5">
    <w:nsid w:val="5072367"/>
    <w:multiLevelType w:val="hybridMultilevel"/>
    <w:lvl w:ilvl="0">
      <w:lvlJc w:val="left"/>
      <w:lvlText w:val="%1"/>
      <w:numFmt w:val="decimal"/>
      <w:start w:val="11"/>
    </w:lvl>
  </w:abstractNum>
  <w:abstractNum w:abstractNumId="6">
    <w:nsid w:val="3804823E"/>
    <w:multiLevelType w:val="hybridMultilevel"/>
    <w:lvl w:ilvl="0">
      <w:lvlJc w:val="left"/>
      <w:lvlText w:val="1"/>
      <w:numFmt w:val="bullet"/>
      <w:start w:val="1"/>
    </w:lvl>
  </w:abstractNum>
  <w:abstractNum w:abstractNumId="7">
    <w:nsid w:val="77465F01"/>
    <w:multiLevelType w:val="hybridMultilevel"/>
    <w:lvl w:ilvl="0">
      <w:lvlJc w:val="left"/>
      <w:lvlText w:val="3"/>
      <w:numFmt w:val="bullet"/>
      <w:start w:val="1"/>
    </w:lvl>
  </w:abstractNum>
  <w:abstractNum w:abstractNumId="8">
    <w:nsid w:val="7724C67E"/>
    <w:multiLevelType w:val="hybridMultilevel"/>
    <w:lvl w:ilvl="0">
      <w:lvlJc w:val="left"/>
      <w:lvlText w:val="4"/>
      <w:numFmt w:val="bullet"/>
      <w:start w:val="1"/>
    </w:lvl>
  </w:abstractNum>
  <w:abstractNum w:abstractNumId="9">
    <w:nsid w:val="5C482A97"/>
    <w:multiLevelType w:val="hybridMultilevel"/>
    <w:lvl w:ilvl="0">
      <w:lvlJc w:val="left"/>
      <w:lvlText w:val="5"/>
      <w:numFmt w:val="bullet"/>
      <w:start w:val="1"/>
    </w:lvl>
  </w:abstractNum>
  <w:abstractNum w:abstractNumId="10">
    <w:nsid w:val="2463B9EA"/>
    <w:multiLevelType w:val="hybridMultilevel"/>
    <w:lvl w:ilvl="0">
      <w:lvlJc w:val="left"/>
      <w:lvlText w:val="6"/>
      <w:numFmt w:val="bullet"/>
      <w:start w:val="1"/>
    </w:lvl>
  </w:abstractNum>
  <w:abstractNum w:abstractNumId="11">
    <w:nsid w:val="5E884ADC"/>
    <w:multiLevelType w:val="hybridMultilevel"/>
    <w:lvl w:ilvl="0">
      <w:lvlJc w:val="left"/>
      <w:lvlText w:val="%1"/>
      <w:numFmt w:val="decimal"/>
      <w:start w:val="11"/>
    </w:lvl>
    <w:lvl w:ilvl="1">
      <w:lvlJc w:val="left"/>
      <w:lvlText w:val="-"/>
      <w:numFmt w:val="bullet"/>
      <w:start w:val="1"/>
    </w:lvl>
  </w:abstractNum>
  <w:abstractNum w:abstractNumId="12">
    <w:nsid w:val="51EAD36B"/>
    <w:multiLevelType w:val="hybridMultilevel"/>
    <w:lvl w:ilvl="0">
      <w:lvlJc w:val="left"/>
      <w:lvlText w:val="1"/>
      <w:numFmt w:val="bullet"/>
      <w:start w:val="1"/>
    </w:lvl>
  </w:abstractNum>
  <w:abstractNum w:abstractNumId="13">
    <w:nsid w:val="2D517796"/>
    <w:multiLevelType w:val="hybridMultilevel"/>
    <w:lvl w:ilvl="0">
      <w:lvlJc w:val="left"/>
      <w:lvlText w:val="3"/>
      <w:numFmt w:val="bullet"/>
      <w:start w:val="1"/>
    </w:lvl>
  </w:abstractNum>
  <w:abstractNum w:abstractNumId="14">
    <w:nsid w:val="580BD78F"/>
    <w:multiLevelType w:val="hybridMultilevel"/>
    <w:lvl w:ilvl="0">
      <w:lvlJc w:val="left"/>
      <w:lvlText w:val="4"/>
      <w:numFmt w:val="bullet"/>
      <w:start w:val="1"/>
    </w:lvl>
  </w:abstractNum>
  <w:abstractNum w:abstractNumId="15">
    <w:nsid w:val="153EA438"/>
    <w:multiLevelType w:val="hybridMultilevel"/>
    <w:lvl w:ilvl="0">
      <w:lvlJc w:val="left"/>
      <w:lvlText w:val="5"/>
      <w:numFmt w:val="bullet"/>
      <w:start w:val="1"/>
    </w:lvl>
  </w:abstractNum>
  <w:abstractNum w:abstractNumId="16">
    <w:nsid w:val="3855585C"/>
    <w:multiLevelType w:val="hybridMultilevel"/>
    <w:lvl w:ilvl="0">
      <w:lvlJc w:val="left"/>
      <w:lvlText w:val="6"/>
      <w:numFmt w:val="bullet"/>
      <w:start w:val="1"/>
    </w:lvl>
  </w:abstractNum>
  <w:abstractNum w:abstractNumId="17">
    <w:nsid w:val="70A64E2A"/>
    <w:multiLevelType w:val="hybridMultilevel"/>
    <w:lvl w:ilvl="0">
      <w:lvlJc w:val="left"/>
      <w:lvlText w:val="%1"/>
      <w:numFmt w:val="decimal"/>
      <w:start w:val="11"/>
    </w:lvl>
  </w:abstractNum>
  <w:abstractNum w:abstractNumId="18">
    <w:nsid w:val="6A2342EC"/>
    <w:multiLevelType w:val="hybridMultilevel"/>
    <w:lvl w:ilvl="0">
      <w:lvlJc w:val="left"/>
      <w:lvlText w:val="1"/>
      <w:numFmt w:val="bullet"/>
      <w:start w:val="1"/>
    </w:lvl>
  </w:abstractNum>
  <w:abstractNum w:abstractNumId="19">
    <w:nsid w:val="2A487CB0"/>
    <w:multiLevelType w:val="hybridMultilevel"/>
    <w:lvl w:ilvl="0">
      <w:lvlJc w:val="left"/>
      <w:lvlText w:val="3"/>
      <w:numFmt w:val="bullet"/>
      <w:start w:val="1"/>
    </w:lvl>
  </w:abstractNum>
  <w:abstractNum w:abstractNumId="20">
    <w:nsid w:val="1D4ED43B"/>
    <w:multiLevelType w:val="hybridMultilevel"/>
    <w:lvl w:ilvl="0">
      <w:lvlJc w:val="left"/>
      <w:lvlText w:val="5"/>
      <w:numFmt w:val="bullet"/>
      <w:start w:val="1"/>
    </w:lvl>
  </w:abstractNum>
  <w:abstractNum w:abstractNumId="21">
    <w:nsid w:val="725A06FB"/>
    <w:multiLevelType w:val="hybridMultilevel"/>
    <w:lvl w:ilvl="0">
      <w:lvlJc w:val="left"/>
      <w:lvlText w:val="6"/>
      <w:numFmt w:val="bullet"/>
      <w:start w:val="1"/>
    </w:lvl>
  </w:abstractNum>
  <w:abstractNum w:abstractNumId="22">
    <w:nsid w:val="2CD89A32"/>
    <w:multiLevelType w:val="hybridMultilevel"/>
    <w:lvl w:ilvl="0">
      <w:lvlJc w:val="left"/>
      <w:lvlText w:val="%1"/>
      <w:numFmt w:val="decimal"/>
      <w:start w:val="11"/>
    </w:lvl>
  </w:abstractNum>
  <w:abstractNum w:abstractNumId="23">
    <w:nsid w:val="57E4CCAF"/>
    <w:multiLevelType w:val="hybridMultilevel"/>
    <w:lvl w:ilvl="0">
      <w:lvlJc w:val="left"/>
      <w:lvlText w:val="1"/>
      <w:numFmt w:val="bullet"/>
      <w:start w:val="1"/>
    </w:lvl>
  </w:abstractNum>
  <w:abstractNum w:abstractNumId="24">
    <w:nsid w:val="7A6D8D3C"/>
    <w:multiLevelType w:val="hybridMultilevel"/>
    <w:lvl w:ilvl="0">
      <w:lvlJc w:val="left"/>
      <w:lvlText w:val="3"/>
      <w:numFmt w:val="bullet"/>
      <w:start w:val="1"/>
    </w:lvl>
  </w:abstractNum>
  <w:abstractNum w:abstractNumId="25">
    <w:nsid w:val="4B588F54"/>
    <w:multiLevelType w:val="hybridMultilevel"/>
    <w:lvl w:ilvl="0">
      <w:lvlJc w:val="left"/>
      <w:lvlText w:val="4"/>
      <w:numFmt w:val="bullet"/>
      <w:start w:val="1"/>
    </w:lvl>
  </w:abstractNum>
  <w:abstractNum w:abstractNumId="26">
    <w:nsid w:val="542289EC"/>
    <w:multiLevelType w:val="hybridMultilevel"/>
    <w:lvl w:ilvl="0">
      <w:lvlJc w:val="left"/>
      <w:lvlText w:val="5"/>
      <w:numFmt w:val="bullet"/>
      <w:start w:val="1"/>
    </w:lvl>
  </w:abstractNum>
  <w:abstractNum w:abstractNumId="27">
    <w:nsid w:val="6DE91B18"/>
    <w:multiLevelType w:val="hybridMultilevel"/>
    <w:lvl w:ilvl="0">
      <w:lvlJc w:val="left"/>
      <w:lvlText w:val="6"/>
      <w:numFmt w:val="bullet"/>
      <w:start w:val="1"/>
    </w:lvl>
  </w:abstractNum>
  <w:abstractNum w:abstractNumId="28">
    <w:nsid w:val="38437FDB"/>
    <w:multiLevelType w:val="hybridMultilevel"/>
    <w:lvl w:ilvl="0">
      <w:lvlJc w:val="left"/>
      <w:lvlText w:val="%1"/>
      <w:numFmt w:val="decimal"/>
      <w:start w:val="11"/>
    </w:lvl>
  </w:abstractNum>
  <w:abstractNum w:abstractNumId="29">
    <w:nsid w:val="7644A45C"/>
    <w:multiLevelType w:val="hybridMultilevel"/>
    <w:lvl w:ilvl="0">
      <w:lvlJc w:val="left"/>
      <w:lvlText w:val="%1"/>
      <w:numFmt w:val="decimal"/>
      <w:start w:val="12"/>
    </w:lvl>
  </w:abstractNum>
  <w:abstractNum w:abstractNumId="30">
    <w:nsid w:val="32FFF902"/>
    <w:multiLevelType w:val="hybridMultilevel"/>
    <w:lvl w:ilvl="0">
      <w:lvlJc w:val="left"/>
      <w:lvlText w:val="1"/>
      <w:numFmt w:val="bullet"/>
      <w:start w:val="1"/>
    </w:lvl>
  </w:abstractNum>
  <w:abstractNum w:abstractNumId="31">
    <w:nsid w:val="684A481A"/>
    <w:multiLevelType w:val="hybridMultilevel"/>
    <w:lvl w:ilvl="0">
      <w:lvlJc w:val="left"/>
      <w:lvlText w:val="3"/>
      <w:numFmt w:val="bullet"/>
      <w:start w:val="1"/>
    </w:lvl>
  </w:abstractNum>
  <w:abstractNum w:abstractNumId="32">
    <w:nsid w:val="579478FE"/>
    <w:multiLevelType w:val="hybridMultilevel"/>
    <w:lvl w:ilvl="0">
      <w:lvlJc w:val="left"/>
      <w:lvlText w:val="4"/>
      <w:numFmt w:val="bullet"/>
      <w:start w:val="1"/>
    </w:lvl>
  </w:abstractNum>
  <w:abstractNum w:abstractNumId="33">
    <w:nsid w:val="749ABB43"/>
    <w:multiLevelType w:val="hybridMultilevel"/>
    <w:lvl w:ilvl="0">
      <w:lvlJc w:val="left"/>
      <w:lvlText w:val="5"/>
      <w:numFmt w:val="bullet"/>
      <w:start w:val="1"/>
    </w:lvl>
  </w:abstractNum>
  <w:abstractNum w:abstractNumId="34">
    <w:nsid w:val="3DC240FB"/>
    <w:multiLevelType w:val="hybridMultilevel"/>
    <w:lvl w:ilvl="0">
      <w:lvlJc w:val="left"/>
      <w:lvlText w:val="6"/>
      <w:numFmt w:val="bullet"/>
      <w:start w:val="1"/>
    </w:lvl>
  </w:abstractNum>
  <w:abstractNum w:abstractNumId="35">
    <w:nsid w:val="1BA026FA"/>
    <w:multiLevelType w:val="hybridMultilevel"/>
    <w:lvl w:ilvl="0">
      <w:lvlJc w:val="left"/>
      <w:lvlText w:val="%1"/>
      <w:numFmt w:val="decimal"/>
      <w:start w:val="11"/>
    </w:lvl>
  </w:abstractNum>
  <w:abstractNum w:abstractNumId="36">
    <w:nsid w:val="79A1DEAA"/>
    <w:multiLevelType w:val="hybridMultilevel"/>
    <w:lvl w:ilvl="0">
      <w:lvlJc w:val="left"/>
      <w:lvlText w:val="1"/>
      <w:numFmt w:val="bullet"/>
      <w:start w:val="1"/>
    </w:lvl>
  </w:abstractNum>
  <w:abstractNum w:abstractNumId="37">
    <w:nsid w:val="75C6C33A"/>
    <w:multiLevelType w:val="hybridMultilevel"/>
    <w:lvl w:ilvl="0">
      <w:lvlJc w:val="left"/>
      <w:lvlText w:val="3"/>
      <w:numFmt w:val="bullet"/>
      <w:start w:val="1"/>
    </w:lvl>
  </w:abstractNum>
  <w:abstractNum w:abstractNumId="38">
    <w:nsid w:val="12E685FB"/>
    <w:multiLevelType w:val="hybridMultilevel"/>
    <w:lvl w:ilvl="0">
      <w:lvlJc w:val="left"/>
      <w:lvlText w:val="4"/>
      <w:numFmt w:val="bullet"/>
      <w:start w:val="1"/>
    </w:lvl>
  </w:abstractNum>
  <w:abstractNum w:abstractNumId="39">
    <w:nsid w:val="70C6A529"/>
    <w:multiLevelType w:val="hybridMultilevel"/>
    <w:lvl w:ilvl="0">
      <w:lvlJc w:val="left"/>
      <w:lvlText w:val="5"/>
      <w:numFmt w:val="bullet"/>
      <w:start w:val="1"/>
    </w:lvl>
  </w:abstractNum>
  <w:abstractNum w:abstractNumId="40">
    <w:nsid w:val="520EEDD1"/>
    <w:multiLevelType w:val="hybridMultilevel"/>
    <w:lvl w:ilvl="0">
      <w:lvlJc w:val="left"/>
      <w:lvlText w:val="6"/>
      <w:numFmt w:val="bullet"/>
      <w:start w:val="1"/>
    </w:lvl>
  </w:abstractNum>
  <w:abstractNum w:abstractNumId="41">
    <w:nsid w:val="374A3FE6"/>
    <w:multiLevelType w:val="hybridMultilevel"/>
    <w:lvl w:ilvl="0">
      <w:lvlJc w:val="left"/>
      <w:lvlText w:val="%1"/>
      <w:numFmt w:val="decimal"/>
      <w:start w:val="11"/>
    </w:lvl>
  </w:abstractNum>
  <w:abstractNum w:abstractNumId="42">
    <w:nsid w:val="4F4EF005"/>
    <w:multiLevelType w:val="hybridMultilevel"/>
    <w:lvl w:ilvl="0">
      <w:lvlJc w:val="left"/>
      <w:lvlText w:val="1"/>
      <w:numFmt w:val="bullet"/>
      <w:start w:val="1"/>
    </w:lvl>
  </w:abstractNum>
  <w:abstractNum w:abstractNumId="43">
    <w:nsid w:val="23F9C13C"/>
    <w:multiLevelType w:val="hybridMultilevel"/>
    <w:lvl w:ilvl="0">
      <w:lvlJc w:val="left"/>
      <w:lvlText w:val="3"/>
      <w:numFmt w:val="bullet"/>
      <w:start w:val="1"/>
    </w:lvl>
  </w:abstractNum>
  <w:abstractNum w:abstractNumId="44">
    <w:nsid w:val="649BB77C"/>
    <w:multiLevelType w:val="hybridMultilevel"/>
    <w:lvl w:ilvl="0">
      <w:lvlJc w:val="left"/>
      <w:lvlText w:val="4"/>
      <w:numFmt w:val="bullet"/>
      <w:start w:val="1"/>
    </w:lvl>
  </w:abstractNum>
  <w:abstractNum w:abstractNumId="45">
    <w:nsid w:val="275AC794"/>
    <w:multiLevelType w:val="hybridMultilevel"/>
    <w:lvl w:ilvl="0">
      <w:lvlJc w:val="left"/>
      <w:lvlText w:val="5"/>
      <w:numFmt w:val="bullet"/>
      <w:start w:val="1"/>
    </w:lvl>
  </w:abstractNum>
  <w:abstractNum w:abstractNumId="46">
    <w:nsid w:val="39386575"/>
    <w:multiLevelType w:val="hybridMultilevel"/>
    <w:lvl w:ilvl="0">
      <w:lvlJc w:val="left"/>
      <w:lvlText w:val="6"/>
      <w:numFmt w:val="bullet"/>
      <w:start w:val="1"/>
    </w:lvl>
  </w:abstractNum>
  <w:abstractNum w:abstractNumId="47">
    <w:nsid w:val="1CF10FD8"/>
    <w:multiLevelType w:val="hybridMultilevel"/>
    <w:lvl w:ilvl="0">
      <w:lvlJc w:val="left"/>
      <w:lvlText w:val="%1"/>
      <w:numFmt w:val="decimal"/>
      <w:start w:val="11"/>
    </w:lvl>
  </w:abstractNum>
  <w:abstractNum w:abstractNumId="48">
    <w:nsid w:val="180115BE"/>
    <w:multiLevelType w:val="hybridMultilevel"/>
    <w:lvl w:ilvl="0">
      <w:lvlJc w:val="left"/>
      <w:lvlText w:val="1"/>
      <w:numFmt w:val="bullet"/>
      <w:start w:val="1"/>
    </w:lvl>
  </w:abstractNum>
  <w:abstractNum w:abstractNumId="49">
    <w:nsid w:val="235BA861"/>
    <w:multiLevelType w:val="hybridMultilevel"/>
    <w:lvl w:ilvl="0">
      <w:lvlJc w:val="left"/>
      <w:lvlText w:val="3"/>
      <w:numFmt w:val="bullet"/>
      <w:start w:val="1"/>
    </w:lvl>
  </w:abstractNum>
  <w:abstractNum w:abstractNumId="50">
    <w:nsid w:val="47398C89"/>
    <w:multiLevelType w:val="hybridMultilevel"/>
    <w:lvl w:ilvl="0">
      <w:lvlJc w:val="left"/>
      <w:lvlText w:val="4"/>
      <w:numFmt w:val="bullet"/>
      <w:start w:val="1"/>
    </w:lvl>
  </w:abstractNum>
  <w:abstractNum w:abstractNumId="51">
    <w:nsid w:val="354FE9F9"/>
    <w:multiLevelType w:val="hybridMultilevel"/>
    <w:lvl w:ilvl="0">
      <w:lvlJc w:val="left"/>
      <w:lvlText w:val="5"/>
      <w:numFmt w:val="bullet"/>
      <w:start w:val="1"/>
    </w:lvl>
  </w:abstractNum>
  <w:abstractNum w:abstractNumId="52">
    <w:nsid w:val="15B5AF5C"/>
    <w:multiLevelType w:val="hybridMultilevel"/>
    <w:lvl w:ilvl="0">
      <w:lvlJc w:val="left"/>
      <w:lvlText w:val="6"/>
      <w:numFmt w:val="bullet"/>
      <w:start w:val="1"/>
    </w:lvl>
  </w:abstractNum>
  <w:abstractNum w:abstractNumId="53">
    <w:nsid w:val="741226BB"/>
    <w:multiLevelType w:val="hybridMultilevel"/>
    <w:lvl w:ilvl="0">
      <w:lvlJc w:val="left"/>
      <w:lvlText w:val="%1"/>
      <w:numFmt w:val="decimal"/>
      <w:start w:val="11"/>
    </w:lvl>
  </w:abstractNum>
  <w:abstractNum w:abstractNumId="54">
    <w:nsid w:val="D34B6A8"/>
    <w:multiLevelType w:val="hybridMultilevel"/>
    <w:lvl w:ilvl="0">
      <w:lvlJc w:val="left"/>
      <w:lvlText w:val="1"/>
      <w:numFmt w:val="bullet"/>
      <w:start w:val="1"/>
    </w:lvl>
  </w:abstractNum>
  <w:abstractNum w:abstractNumId="55">
    <w:nsid w:val="10233C99"/>
    <w:multiLevelType w:val="hybridMultilevel"/>
    <w:lvl w:ilvl="0">
      <w:lvlJc w:val="left"/>
      <w:lvlText w:val="3"/>
      <w:numFmt w:val="bullet"/>
      <w:start w:val="1"/>
    </w:lvl>
  </w:abstractNum>
  <w:abstractNum w:abstractNumId="56">
    <w:nsid w:val="3F6AB60F"/>
    <w:multiLevelType w:val="hybridMultilevel"/>
    <w:lvl w:ilvl="0">
      <w:lvlJc w:val="left"/>
      <w:lvlText w:val="4"/>
      <w:numFmt w:val="bullet"/>
      <w:start w:val="1"/>
    </w:lvl>
  </w:abstractNum>
  <w:abstractNum w:abstractNumId="57">
    <w:nsid w:val="61574095"/>
    <w:multiLevelType w:val="hybridMultilevel"/>
    <w:lvl w:ilvl="0">
      <w:lvlJc w:val="left"/>
      <w:lvlText w:val="5"/>
      <w:numFmt w:val="bullet"/>
      <w:start w:val="1"/>
    </w:lvl>
  </w:abstractNum>
  <w:abstractNum w:abstractNumId="58">
    <w:nsid w:val="7E0C57B1"/>
    <w:multiLevelType w:val="hybridMultilevel"/>
    <w:lvl w:ilvl="0">
      <w:lvlJc w:val="left"/>
      <w:lvlText w:val="6"/>
      <w:numFmt w:val="bullet"/>
      <w:start w:val="1"/>
    </w:lvl>
  </w:abstractNum>
  <w:abstractNum w:abstractNumId="59">
    <w:nsid w:val="77AE35EB"/>
    <w:multiLevelType w:val="hybridMultilevel"/>
    <w:lvl w:ilvl="0">
      <w:lvlJc w:val="left"/>
      <w:lvlText w:val="%1"/>
      <w:numFmt w:val="decimal"/>
      <w:start w:val="11"/>
    </w:lvl>
  </w:abstractNum>
  <w:abstractNum w:abstractNumId="60">
    <w:nsid w:val="579BE4F1"/>
    <w:multiLevelType w:val="hybridMultilevel"/>
    <w:lvl w:ilvl="0">
      <w:lvlJc w:val="left"/>
      <w:lvlText w:val="1"/>
      <w:numFmt w:val="bullet"/>
      <w:start w:val="1"/>
    </w:lvl>
  </w:abstractNum>
  <w:abstractNum w:abstractNumId="61">
    <w:nsid w:val="310C50B3"/>
    <w:multiLevelType w:val="hybridMultilevel"/>
    <w:lvl w:ilvl="0">
      <w:lvlJc w:val="left"/>
      <w:lvlText w:val="3"/>
      <w:numFmt w:val="bullet"/>
      <w:start w:val="1"/>
    </w:lvl>
  </w:abstractNum>
  <w:abstractNum w:abstractNumId="62">
    <w:nsid w:val="5FF87E05"/>
    <w:multiLevelType w:val="hybridMultilevel"/>
    <w:lvl w:ilvl="0">
      <w:lvlJc w:val="left"/>
      <w:lvlText w:val="4"/>
      <w:numFmt w:val="bullet"/>
      <w:start w:val="1"/>
    </w:lvl>
  </w:abstractNum>
  <w:abstractNum w:abstractNumId="63">
    <w:nsid w:val="2F305DEF"/>
    <w:multiLevelType w:val="hybridMultilevel"/>
    <w:lvl w:ilvl="0">
      <w:lvlJc w:val="left"/>
      <w:lvlText w:val="6"/>
      <w:numFmt w:val="bullet"/>
      <w:start w:val="1"/>
    </w:lvl>
  </w:abstractNum>
  <w:abstractNum w:abstractNumId="64">
    <w:nsid w:val="25A70BF7"/>
    <w:multiLevelType w:val="hybridMultilevel"/>
    <w:lvl w:ilvl="0">
      <w:lvlJc w:val="left"/>
      <w:lvlText w:val="%1"/>
      <w:numFmt w:val="decimal"/>
      <w:start w:val="1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2019-12-20T13:31:20Z</dcterms:created>
  <dcterms:modified xsi:type="dcterms:W3CDTF">2019-12-20T13:31:20Z</dcterms:modified>
</cp:coreProperties>
</file>