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0)*</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148711104</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w:t>
      </w:r>
    </w:p>
    <w:p>
      <w:pPr>
        <w:ind w:right="3039" w:firstLine="105"/>
        <w:spacing w:after="0" w:line="235" w:lineRule="auto"/>
        <w:rPr>
          <w:sz w:val="20"/>
          <w:szCs w:val="20"/>
          <w:color w:val="auto"/>
        </w:rPr>
      </w:pPr>
      <w:r>
        <w:rPr>
          <w:rFonts w:ascii="Courier New" w:cs="Courier New" w:eastAsia="Courier New" w:hAnsi="Courier New"/>
          <w:sz w:val="18"/>
          <w:szCs w:val="18"/>
          <w:color w:val="auto"/>
        </w:rPr>
        <w:t>and for any subsequent amendment containing information which would alter the disclosures provided in a prior cover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051526101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REPORTING PERSON</w:t>
      </w:r>
    </w:p>
    <w:p>
      <w:pPr>
        <w:spacing w:after="0" w:line="238" w:lineRule="auto"/>
        <w:rPr>
          <w:sz w:val="20"/>
          <w:szCs w:val="20"/>
          <w:color w:val="auto"/>
        </w:rPr>
      </w:pPr>
      <w:r>
        <w:rPr>
          <w:rFonts w:ascii="Courier New" w:cs="Courier New" w:eastAsia="Courier New" w:hAnsi="Courier New"/>
          <w:sz w:val="18"/>
          <w:szCs w:val="18"/>
          <w:color w:val="auto"/>
        </w:rPr>
        <w:t>S.S. OR I.R.S. INDENTIFICATION NO. OF ABOVE PERSON</w:t>
      </w:r>
    </w:p>
    <w:p>
      <w:pPr>
        <w:spacing w:after="0"/>
        <w:tabs>
          <w:tab w:leader="none" w:pos="3780" w:val="left"/>
        </w:tabs>
        <w:rPr>
          <w:sz w:val="20"/>
          <w:szCs w:val="20"/>
          <w:color w:val="auto"/>
        </w:rPr>
      </w:pPr>
      <w:r>
        <w:rPr>
          <w:rFonts w:ascii="Courier New" w:cs="Courier New" w:eastAsia="Courier New" w:hAnsi="Courier New"/>
          <w:sz w:val="18"/>
          <w:szCs w:val="18"/>
          <w:color w:val="auto"/>
        </w:rPr>
        <w:t>Gardner Lewis Asset Management</w:t>
      </w:r>
      <w:r>
        <w:rPr>
          <w:sz w:val="20"/>
          <w:szCs w:val="20"/>
          <w:color w:val="auto"/>
        </w:rPr>
        <w:tab/>
      </w:r>
      <w:r>
        <w:rPr>
          <w:rFonts w:ascii="Courier New" w:cs="Courier New" w:eastAsia="Courier New" w:hAnsi="Courier New"/>
          <w:sz w:val="16"/>
          <w:szCs w:val="16"/>
          <w:color w:val="auto"/>
        </w:rPr>
        <w:t>23-2778393</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285 Wilmington ? West Chester Pike, Chadds Ford, PA</w:t>
      </w:r>
      <w:r>
        <w:rPr>
          <w:sz w:val="20"/>
          <w:szCs w:val="20"/>
          <w:color w:val="auto"/>
        </w:rPr>
        <w:tab/>
      </w:r>
      <w:r>
        <w:rPr>
          <w:rFonts w:ascii="Courier New" w:cs="Courier New" w:eastAsia="Courier New" w:hAnsi="Courier New"/>
          <w:sz w:val="16"/>
          <w:szCs w:val="16"/>
          <w:color w:val="auto"/>
        </w:rPr>
        <w:t>19317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BENEFICIALLY</w:t>
      </w:r>
    </w:p>
    <w:p>
      <w:pPr>
        <w:spacing w:after="0" w:line="237" w:lineRule="auto"/>
        <w:rPr>
          <w:sz w:val="20"/>
          <w:szCs w:val="20"/>
          <w:color w:val="auto"/>
        </w:rPr>
      </w:pPr>
      <w:r>
        <w:rPr>
          <w:rFonts w:ascii="Courier New" w:cs="Courier New" w:eastAsia="Courier New" w:hAnsi="Courier New"/>
          <w:sz w:val="18"/>
          <w:szCs w:val="18"/>
          <w:color w:val="auto"/>
        </w:rPr>
        <w:t>OWNED BY</w:t>
      </w:r>
    </w:p>
    <w:p>
      <w:pPr>
        <w:spacing w:after="0" w:line="238" w:lineRule="auto"/>
        <w:rPr>
          <w:sz w:val="20"/>
          <w:szCs w:val="20"/>
          <w:color w:val="auto"/>
        </w:rPr>
      </w:pPr>
      <w:r>
        <w:rPr>
          <w:rFonts w:ascii="Courier New" w:cs="Courier New" w:eastAsia="Courier New" w:hAnsi="Courier New"/>
          <w:sz w:val="18"/>
          <w:szCs w:val="18"/>
          <w:color w:val="auto"/>
        </w:rPr>
        <w:t>EACH</w:t>
      </w:r>
    </w:p>
    <w:p>
      <w:pPr>
        <w:sectPr>
          <w:pgSz w:w="11900" w:h="16854" w:orient="portrait"/>
          <w:cols w:equalWidth="0" w:num="1">
            <w:col w:w="10219"/>
          </w:cols>
          <w:pgMar w:left="240" w:top="125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REPORTING</w:t>
      </w:r>
    </w:p>
    <w:p>
      <w:pPr>
        <w:spacing w:after="0" w:line="238" w:lineRule="auto"/>
        <w:rPr>
          <w:sz w:val="20"/>
          <w:szCs w:val="20"/>
          <w:color w:val="auto"/>
        </w:rPr>
      </w:pPr>
      <w:r>
        <w:rPr>
          <w:rFonts w:ascii="Courier New" w:cs="Courier New" w:eastAsia="Courier New" w:hAnsi="Courier New"/>
          <w:sz w:val="18"/>
          <w:szCs w:val="18"/>
          <w:color w:val="auto"/>
        </w:rPr>
        <w:t>PERSON</w:t>
      </w:r>
    </w:p>
    <w:p>
      <w:pPr>
        <w:spacing w:after="0"/>
        <w:rPr>
          <w:sz w:val="20"/>
          <w:szCs w:val="20"/>
          <w:color w:val="auto"/>
        </w:rPr>
      </w:pPr>
      <w:r>
        <w:rPr>
          <w:rFonts w:ascii="Courier New" w:cs="Courier New" w:eastAsia="Courier New" w:hAnsi="Courier New"/>
          <w:sz w:val="18"/>
          <w:szCs w:val="18"/>
          <w:color w:val="auto"/>
        </w:rPr>
        <w:t>WITH</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1,312,004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1,365,604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1,365,604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Turnpike Street Canton, MA 02021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tabs>
          <w:tab w:leader="none" w:pos="2520" w:val="left"/>
        </w:tabs>
        <w:rPr>
          <w:sz w:val="20"/>
          <w:szCs w:val="20"/>
          <w:color w:val="auto"/>
        </w:rPr>
      </w:pPr>
      <w:r>
        <w:rPr>
          <w:rFonts w:ascii="Courier New" w:cs="Courier New" w:eastAsia="Courier New" w:hAnsi="Courier New"/>
          <w:sz w:val="18"/>
          <w:szCs w:val="18"/>
          <w:color w:val="auto"/>
        </w:rPr>
        <w:t>Name of Person Filing.</w:t>
      </w:r>
      <w:r>
        <w:rPr>
          <w:sz w:val="20"/>
          <w:szCs w:val="20"/>
          <w:color w:val="auto"/>
        </w:rPr>
        <w:tab/>
      </w:r>
      <w:r>
        <w:rPr>
          <w:rFonts w:ascii="Courier New" w:cs="Courier New" w:eastAsia="Courier New" w:hAnsi="Courier New"/>
          <w:sz w:val="16"/>
          <w:szCs w:val="16"/>
          <w:color w:val="auto"/>
        </w:rPr>
        <w:t>Gardner Lewis Asset Management, L.P.</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285 Wilmington ? West Chester Pike, Chadds Ford, PA</w:t>
      </w:r>
      <w:r>
        <w:rPr>
          <w:sz w:val="20"/>
          <w:szCs w:val="20"/>
          <w:color w:val="auto"/>
        </w:rPr>
        <w:tab/>
      </w:r>
      <w:r>
        <w:rPr>
          <w:rFonts w:ascii="Courier New" w:cs="Courier New" w:eastAsia="Courier New" w:hAnsi="Courier New"/>
          <w:sz w:val="16"/>
          <w:szCs w:val="16"/>
          <w:color w:val="auto"/>
        </w:rPr>
        <w:t>19317</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USA</w:t>
      </w:r>
    </w:p>
    <w:p>
      <w:pPr>
        <w:spacing w:after="0" w:line="201"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 148711104</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check whether the person filing is a:</w:t>
      </w:r>
    </w:p>
    <w:p>
      <w:pPr>
        <w:ind w:left="220"/>
        <w:spacing w:after="0"/>
        <w:rPr>
          <w:sz w:val="20"/>
          <w:szCs w:val="20"/>
          <w:color w:val="auto"/>
        </w:rPr>
      </w:pPr>
      <w:r>
        <w:rPr>
          <w:rFonts w:ascii="Courier New" w:cs="Courier New" w:eastAsia="Courier New" w:hAnsi="Courier New"/>
          <w:sz w:val="18"/>
          <w:szCs w:val="18"/>
          <w:color w:val="auto"/>
        </w:rPr>
        <w:t>Broker or Dealer registered under Section 15 of the Act.</w:t>
      </w:r>
    </w:p>
    <w:p>
      <w:pPr>
        <w:ind w:left="220"/>
        <w:spacing w:after="0" w:line="238" w:lineRule="auto"/>
        <w:rPr>
          <w:sz w:val="20"/>
          <w:szCs w:val="20"/>
          <w:color w:val="auto"/>
        </w:rPr>
      </w:pPr>
      <w:r>
        <w:rPr>
          <w:rFonts w:ascii="Courier New" w:cs="Courier New" w:eastAsia="Courier New" w:hAnsi="Courier New"/>
          <w:sz w:val="18"/>
          <w:szCs w:val="18"/>
          <w:color w:val="auto"/>
        </w:rPr>
        <w:t>Bank as defined in section 3(a)(6) of the Act</w:t>
      </w:r>
    </w:p>
    <w:p>
      <w:pPr>
        <w:spacing w:after="0" w:line="5" w:lineRule="exact"/>
        <w:rPr>
          <w:sz w:val="20"/>
          <w:szCs w:val="20"/>
          <w:color w:val="auto"/>
        </w:rPr>
      </w:pPr>
    </w:p>
    <w:p>
      <w:pPr>
        <w:ind w:left="220" w:right="3779"/>
        <w:spacing w:after="0" w:line="235" w:lineRule="auto"/>
        <w:rPr>
          <w:sz w:val="20"/>
          <w:szCs w:val="20"/>
          <w:color w:val="auto"/>
        </w:rPr>
      </w:pPr>
      <w:r>
        <w:rPr>
          <w:rFonts w:ascii="Courier New" w:cs="Courier New" w:eastAsia="Courier New" w:hAnsi="Courier New"/>
          <w:sz w:val="18"/>
          <w:szCs w:val="18"/>
          <w:color w:val="auto"/>
        </w:rPr>
        <w:t>Insurance Company as defined in section 3(a)(19) of the Act Investment Company registered under section 8 of</w:t>
      </w:r>
    </w:p>
    <w:p>
      <w:pPr>
        <w:spacing w:after="0"/>
        <w:rPr>
          <w:sz w:val="20"/>
          <w:szCs w:val="20"/>
          <w:color w:val="auto"/>
        </w:rPr>
      </w:pPr>
      <w:r>
        <w:rPr>
          <w:rFonts w:ascii="Courier New" w:cs="Courier New" w:eastAsia="Courier New" w:hAnsi="Courier New"/>
          <w:sz w:val="18"/>
          <w:szCs w:val="18"/>
          <w:color w:val="auto"/>
        </w:rPr>
        <w:t>the Investment Company Act</w:t>
      </w:r>
    </w:p>
    <w:p>
      <w:pPr>
        <w:spacing w:after="0" w:line="4" w:lineRule="exact"/>
        <w:rPr>
          <w:sz w:val="20"/>
          <w:szCs w:val="20"/>
          <w:color w:val="auto"/>
        </w:rPr>
      </w:pPr>
    </w:p>
    <w:p>
      <w:pPr>
        <w:ind w:right="4319" w:firstLine="211"/>
        <w:spacing w:after="0" w:line="235" w:lineRule="auto"/>
        <w:rPr>
          <w:sz w:val="20"/>
          <w:szCs w:val="20"/>
          <w:color w:val="auto"/>
        </w:rPr>
      </w:pPr>
      <w:r>
        <w:rPr>
          <w:rFonts w:ascii="Courier New" w:cs="Courier New" w:eastAsia="Courier New" w:hAnsi="Courier New"/>
          <w:sz w:val="18"/>
          <w:szCs w:val="18"/>
          <w:color w:val="auto"/>
        </w:rPr>
        <w:t>Investment Advisor registered under section 203 of the Investment Advisers Act of 1940</w:t>
      </w:r>
    </w:p>
    <w:p>
      <w:pPr>
        <w:spacing w:after="0" w:line="6" w:lineRule="exact"/>
        <w:rPr>
          <w:sz w:val="20"/>
          <w:szCs w:val="20"/>
          <w:color w:val="auto"/>
        </w:rPr>
      </w:pPr>
    </w:p>
    <w:p>
      <w:pPr>
        <w:ind w:right="3039" w:firstLine="211"/>
        <w:spacing w:after="0" w:line="236" w:lineRule="auto"/>
        <w:rPr>
          <w:sz w:val="20"/>
          <w:szCs w:val="20"/>
          <w:color w:val="auto"/>
        </w:rPr>
      </w:pPr>
      <w:r>
        <w:rPr>
          <w:rFonts w:ascii="Courier New" w:cs="Courier New" w:eastAsia="Courier New" w:hAnsi="Courier New"/>
          <w:sz w:val="18"/>
          <w:szCs w:val="18"/>
          <w:color w:val="auto"/>
        </w:rPr>
        <w:t>Employee Benefit Plan, Pension Fund which is subject to the provisions of the Employee Retirement Income Security Act of 1974 or Endowment Fund; see 240.13d-1(b)(1)(ii)(F)</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Parent Holding Company, in accordance with</w:t>
      </w:r>
    </w:p>
    <w:tbl>
      <w:tblPr>
        <w:tblLayout w:type="fixed"/>
        <w:tblInd w:w="0" w:type="dxa"/>
        <w:tblCellMar>
          <w:top w:w="0" w:type="dxa"/>
          <w:left w:w="0" w:type="dxa"/>
          <w:bottom w:w="0" w:type="dxa"/>
          <w:right w:w="0" w:type="dxa"/>
        </w:tblCellMar>
      </w:tblPr>
      <w:tr>
        <w:trPr>
          <w:trHeight w:val="203"/>
        </w:trPr>
        <w:tc>
          <w:tcPr>
            <w:tcW w:w="3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240.13d-1(b)(1)(ii)(G) (Note: See</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7)</w:t>
            </w:r>
          </w:p>
        </w:tc>
      </w:tr>
      <w:tr>
        <w:trPr>
          <w:trHeight w:val="203"/>
        </w:trPr>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Group,</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in accordance with</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240.13d-1(b)(1)(ii)(H)</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04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64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If the percent of the class</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owned, as of December 31 of the year</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covered</w:t>
            </w:r>
          </w:p>
        </w:tc>
        <w:tc>
          <w:tcPr>
            <w:tcW w:w="6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by the statement, or as of the last day of any month</w:t>
            </w:r>
          </w:p>
        </w:tc>
      </w:tr>
      <w:tr>
        <w:trPr>
          <w:trHeight w:val="203"/>
        </w:trPr>
        <w:tc>
          <w:tcPr>
            <w:tcW w:w="3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described in Rule 13d-1(b)(2), if</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applicable, exceeds five percent,</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provide</w:t>
            </w:r>
          </w:p>
        </w:tc>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following information</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of that date and identify</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those shares which there is</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right to acquire.</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2040" w:type="dxa"/>
            <w:vAlign w:val="bottom"/>
          </w:tcPr>
          <w:p>
            <w:pPr>
              <w:spacing w:after="0"/>
              <w:rPr>
                <w:sz w:val="20"/>
                <w:szCs w:val="20"/>
                <w:color w:val="auto"/>
              </w:rPr>
            </w:pPr>
            <w:r>
              <w:rPr>
                <w:rFonts w:ascii="Courier New" w:cs="Courier New" w:eastAsia="Courier New" w:hAnsi="Courier New"/>
                <w:sz w:val="18"/>
                <w:szCs w:val="18"/>
                <w:color w:val="auto"/>
                <w:w w:val="98"/>
              </w:rPr>
              <w:t>Amount Beneficially</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Owned</w:t>
            </w:r>
          </w:p>
        </w:tc>
        <w:tc>
          <w:tcPr>
            <w:tcW w:w="352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1,365,604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(b)</w:t>
            </w:r>
          </w:p>
        </w:tc>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Percent of Class</w:t>
            </w:r>
          </w:p>
        </w:tc>
        <w:tc>
          <w:tcPr>
            <w:tcW w:w="640" w:type="dxa"/>
            <w:vAlign w:val="bottom"/>
          </w:tcPr>
          <w:p>
            <w:pPr>
              <w:spacing w:after="0"/>
              <w:rPr>
                <w:sz w:val="17"/>
                <w:szCs w:val="17"/>
                <w:color w:val="auto"/>
              </w:rPr>
            </w:pPr>
          </w:p>
        </w:tc>
        <w:tc>
          <w:tcPr>
            <w:tcW w:w="352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rPr>
              <w:t>4.00%</w:t>
            </w:r>
          </w:p>
        </w:tc>
      </w:tr>
    </w:tbl>
    <w:p>
      <w:pPr>
        <w:ind w:left="860" w:hanging="852"/>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tbl>
      <w:tblPr>
        <w:tblLayout w:type="fixed"/>
        <w:tblInd w:w="860" w:type="dxa"/>
        <w:tblCellMar>
          <w:top w:w="0" w:type="dxa"/>
          <w:left w:w="0" w:type="dxa"/>
          <w:bottom w:w="0" w:type="dxa"/>
          <w:right w:w="0" w:type="dxa"/>
        </w:tblCellMar>
      </w:tblPr>
      <w:tr>
        <w:trPr>
          <w:trHeight w:val="203"/>
        </w:trPr>
        <w:tc>
          <w:tcPr>
            <w:tcW w:w="68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w w:val="99"/>
              </w:rPr>
              <w:t>sole power</w:t>
            </w:r>
          </w:p>
        </w:tc>
        <w:tc>
          <w:tcPr>
            <w:tcW w:w="4640" w:type="dxa"/>
            <w:vAlign w:val="bottom"/>
          </w:tcPr>
          <w:p>
            <w:pPr>
              <w:ind w:left="60"/>
              <w:spacing w:after="0"/>
              <w:rPr>
                <w:sz w:val="20"/>
                <w:szCs w:val="20"/>
                <w:color w:val="auto"/>
              </w:rPr>
            </w:pPr>
            <w:r>
              <w:rPr>
                <w:rFonts w:ascii="Courier New" w:cs="Courier New" w:eastAsia="Courier New" w:hAnsi="Courier New"/>
                <w:sz w:val="18"/>
                <w:szCs w:val="18"/>
                <w:color w:val="auto"/>
              </w:rPr>
              <w:t>to vote or to direct the vote</w:t>
            </w:r>
          </w:p>
        </w:tc>
        <w:tc>
          <w:tcPr>
            <w:tcW w:w="1940" w:type="dxa"/>
            <w:vAlign w:val="bottom"/>
          </w:tcPr>
          <w:p>
            <w:pPr>
              <w:ind w:left="160"/>
              <w:spacing w:after="0"/>
              <w:rPr>
                <w:sz w:val="20"/>
                <w:szCs w:val="20"/>
                <w:color w:val="auto"/>
              </w:rPr>
            </w:pPr>
            <w:r>
              <w:rPr>
                <w:rFonts w:ascii="Courier New" w:cs="Courier New" w:eastAsia="Courier New" w:hAnsi="Courier New"/>
                <w:sz w:val="18"/>
                <w:szCs w:val="18"/>
                <w:color w:val="auto"/>
              </w:rPr>
              <w:t>1,312,004</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(ii)</w:t>
            </w:r>
          </w:p>
        </w:tc>
        <w:tc>
          <w:tcPr>
            <w:tcW w:w="5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2,500</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(iii)</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4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dispose or to direct the disposition of</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1,365,604</w:t>
            </w:r>
          </w:p>
        </w:tc>
      </w:tr>
    </w:tbl>
    <w:p>
      <w:pPr>
        <w:spacing w:after="0" w:line="4" w:lineRule="exact"/>
        <w:rPr>
          <w:sz w:val="20"/>
          <w:szCs w:val="20"/>
          <w:color w:val="auto"/>
        </w:rPr>
      </w:pPr>
    </w:p>
    <w:p>
      <w:pPr>
        <w:ind w:right="2519" w:firstLine="851"/>
        <w:spacing w:after="0" w:line="236" w:lineRule="auto"/>
        <w:tabs>
          <w:tab w:leader="none" w:pos="168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 Instruction: For computations regarding securities which represent a right to acquire an underlying security see Rule 13d-3(d)(1).</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4"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w:t>
      </w:r>
    </w:p>
    <w:p>
      <w:pPr>
        <w:spacing w:after="0" w:line="233" w:lineRule="auto"/>
        <w:tabs>
          <w:tab w:leader="none" w:pos="7880" w:val="left"/>
        </w:tabs>
        <w:rPr>
          <w:sz w:val="20"/>
          <w:szCs w:val="20"/>
          <w:color w:val="auto"/>
        </w:rPr>
      </w:pPr>
      <w:r>
        <w:rPr>
          <w:rFonts w:ascii="Courier New" w:cs="Courier New" w:eastAsia="Courier New" w:hAnsi="Courier New"/>
          <w:sz w:val="18"/>
          <w:szCs w:val="18"/>
          <w:color w:val="auto"/>
        </w:rPr>
        <w:t>of more than five percent of the class of securities, check the following</w:t>
        <w:tab/>
        <w:t>_.</w:t>
      </w:r>
    </w:p>
    <w:p>
      <w:pPr>
        <w:spacing w:after="0"/>
        <w:tabs>
          <w:tab w:leader="none" w:pos="1460" w:val="left"/>
        </w:tabs>
        <w:rPr>
          <w:sz w:val="20"/>
          <w:szCs w:val="20"/>
          <w:color w:val="auto"/>
        </w:rPr>
      </w:pPr>
      <w:r>
        <w:rPr>
          <w:rFonts w:ascii="Courier New" w:cs="Courier New" w:eastAsia="Courier New" w:hAnsi="Courier New"/>
          <w:sz w:val="18"/>
          <w:szCs w:val="18"/>
          <w:color w:val="auto"/>
        </w:rPr>
        <w:t>Instruction:</w:t>
      </w:r>
      <w:r>
        <w:rPr>
          <w:sz w:val="20"/>
          <w:szCs w:val="20"/>
          <w:color w:val="auto"/>
        </w:rPr>
        <w:tab/>
      </w:r>
      <w:r>
        <w:rPr>
          <w:rFonts w:ascii="Courier New" w:cs="Courier New" w:eastAsia="Courier New" w:hAnsi="Courier New"/>
          <w:sz w:val="16"/>
          <w:szCs w:val="16"/>
          <w:color w:val="auto"/>
        </w:rPr>
        <w:t>Dissolution of a group requires a response to this item.</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38" w:lineRule="auto"/>
        <w:rPr>
          <w:sz w:val="20"/>
          <w:szCs w:val="20"/>
          <w:color w:val="auto"/>
        </w:rPr>
      </w:pPr>
      <w:r>
        <w:rPr>
          <w:rFonts w:ascii="Courier New" w:cs="Courier New" w:eastAsia="Courier New" w:hAnsi="Courier New"/>
          <w:sz w:val="18"/>
          <w:szCs w:val="18"/>
          <w:color w:val="auto"/>
        </w:rPr>
        <w:t>If any other person is known to have the right to receive or the power to</w:t>
      </w:r>
    </w:p>
    <w:p>
      <w:pPr>
        <w:spacing w:after="0"/>
        <w:rPr>
          <w:sz w:val="20"/>
          <w:szCs w:val="20"/>
          <w:color w:val="auto"/>
        </w:rPr>
      </w:pPr>
      <w:r>
        <w:rPr>
          <w:rFonts w:ascii="Courier New" w:cs="Courier New" w:eastAsia="Courier New" w:hAnsi="Courier New"/>
          <w:sz w:val="18"/>
          <w:szCs w:val="18"/>
          <w:color w:val="auto"/>
        </w:rPr>
        <w:t>direct the receipt of dividends from, or the proceeds from the sale of,</w:t>
      </w:r>
    </w:p>
    <w:p>
      <w:pPr>
        <w:spacing w:after="0" w:line="237" w:lineRule="auto"/>
        <w:rPr>
          <w:sz w:val="20"/>
          <w:szCs w:val="20"/>
          <w:color w:val="auto"/>
        </w:rPr>
      </w:pPr>
      <w:r>
        <w:rPr>
          <w:rFonts w:ascii="Courier New" w:cs="Courier New" w:eastAsia="Courier New" w:hAnsi="Courier New"/>
          <w:sz w:val="18"/>
          <w:szCs w:val="18"/>
          <w:color w:val="auto"/>
        </w:rPr>
        <w:t>such securities, a statement to that effect should be included in response to</w:t>
      </w:r>
    </w:p>
    <w:p>
      <w:pPr>
        <w:spacing w:after="0" w:line="238" w:lineRule="auto"/>
        <w:rPr>
          <w:sz w:val="20"/>
          <w:szCs w:val="20"/>
          <w:color w:val="auto"/>
        </w:rPr>
      </w:pPr>
      <w:r>
        <w:rPr>
          <w:rFonts w:ascii="Courier New" w:cs="Courier New" w:eastAsia="Courier New" w:hAnsi="Courier New"/>
          <w:sz w:val="18"/>
          <w:szCs w:val="18"/>
          <w:color w:val="auto"/>
        </w:rPr>
        <w:t>this item and, if such interest relates to more than five percent of the class,</w:t>
      </w:r>
    </w:p>
    <w:p>
      <w:pPr>
        <w:spacing w:after="0"/>
        <w:rPr>
          <w:sz w:val="20"/>
          <w:szCs w:val="20"/>
          <w:color w:val="auto"/>
        </w:rPr>
      </w:pPr>
      <w:r>
        <w:rPr>
          <w:rFonts w:ascii="Courier New" w:cs="Courier New" w:eastAsia="Courier New" w:hAnsi="Courier New"/>
          <w:sz w:val="18"/>
          <w:szCs w:val="18"/>
          <w:color w:val="auto"/>
        </w:rPr>
        <w:t>such person should be identified. A listing of the shareholders of an investment</w:t>
      </w:r>
    </w:p>
    <w:p>
      <w:pPr>
        <w:spacing w:after="0" w:line="237" w:lineRule="auto"/>
        <w:rPr>
          <w:sz w:val="20"/>
          <w:szCs w:val="20"/>
          <w:color w:val="auto"/>
        </w:rPr>
      </w:pPr>
      <w:r>
        <w:rPr>
          <w:rFonts w:ascii="Courier New" w:cs="Courier New" w:eastAsia="Courier New" w:hAnsi="Courier New"/>
          <w:sz w:val="18"/>
          <w:szCs w:val="18"/>
          <w:color w:val="auto"/>
        </w:rPr>
        <w:t>company registered under the Investment Company Act of 1940 or the beneficiaries</w:t>
      </w:r>
    </w:p>
    <w:p>
      <w:pPr>
        <w:spacing w:after="0"/>
        <w:rPr>
          <w:sz w:val="20"/>
          <w:szCs w:val="20"/>
          <w:color w:val="auto"/>
        </w:rPr>
      </w:pPr>
      <w:r>
        <w:rPr>
          <w:rFonts w:ascii="Courier New" w:cs="Courier New" w:eastAsia="Courier New" w:hAnsi="Courier New"/>
          <w:sz w:val="18"/>
          <w:szCs w:val="18"/>
          <w:color w:val="auto"/>
        </w:rPr>
        <w:t>of employee benefit plan, pension fund or endowment fund is not required.</w:t>
      </w:r>
    </w:p>
    <w:p>
      <w:pPr>
        <w:spacing w:after="0" w:line="20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rPr>
          <w:sz w:val="20"/>
          <w:szCs w:val="20"/>
          <w:color w:val="auto"/>
        </w:rPr>
      </w:pPr>
      <w:r>
        <w:rPr>
          <w:rFonts w:ascii="Courier New" w:cs="Courier New" w:eastAsia="Courier New" w:hAnsi="Courier New"/>
          <w:sz w:val="18"/>
          <w:szCs w:val="18"/>
          <w:color w:val="auto"/>
        </w:rPr>
        <w:t>If a parent holding company has filed this schedule, pursuant to</w:t>
      </w:r>
    </w:p>
    <w:p>
      <w:pPr>
        <w:spacing w:after="0" w:line="4"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w:t>
      </w:r>
    </w:p>
    <w:p>
      <w:pPr>
        <w:spacing w:after="0" w:line="182"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Item 8. Identification and Classification of Members of the Group If a group has filed this schedule pursuant to Rule 13d-1(b)(ii)(H), so indicate under Item 3(h) and attach an exhibit stating the identity and Item 3 classification of each member of the group. If a group has filed this schedule pursuant to Rule 13d-1(c), attach an exhibit stating the identity of each member of the group.</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4" w:lineRule="exact"/>
        <w:rPr>
          <w:sz w:val="20"/>
          <w:szCs w:val="20"/>
          <w:color w:val="auto"/>
        </w:rPr>
      </w:pPr>
    </w:p>
    <w:p>
      <w:pPr>
        <w:ind w:right="261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0219"/>
          </w:cols>
          <w:pgMar w:left="240" w:top="339" w:right="1440" w:bottom="0" w:gutter="0" w:footer="0" w:header="0"/>
        </w:sectPr>
      </w:pPr>
    </w:p>
    <w:bookmarkStart w:id="3" w:name="page4"/>
    <w:bookmarkEnd w:id="3"/>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have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2005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 Whitfield Gardner</w:t>
      </w:r>
    </w:p>
    <w:p>
      <w:pPr>
        <w:spacing w:after="0" w:line="238" w:lineRule="auto"/>
        <w:rPr>
          <w:sz w:val="20"/>
          <w:szCs w:val="20"/>
          <w:color w:val="auto"/>
        </w:rPr>
      </w:pPr>
      <w:r>
        <w:rPr>
          <w:rFonts w:ascii="Courier New" w:cs="Courier New" w:eastAsia="Courier New" w:hAnsi="Courier New"/>
          <w:sz w:val="18"/>
          <w:szCs w:val="18"/>
          <w:color w:val="auto"/>
        </w:rPr>
        <w:t>/s/ Signature</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 Whitfield Gardner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p>
      <w:pPr>
        <w:ind w:left="860"/>
        <w:spacing w:after="0" w:line="238" w:lineRule="auto"/>
        <w:rPr>
          <w:sz w:val="20"/>
          <w:szCs w:val="20"/>
          <w:color w:val="auto"/>
        </w:rPr>
      </w:pPr>
      <w:r>
        <w:rPr>
          <w:rFonts w:ascii="Courier New" w:cs="Courier New" w:eastAsia="Courier New" w:hAnsi="Courier New"/>
          <w:sz w:val="18"/>
          <w:szCs w:val="18"/>
          <w:color w:val="auto"/>
        </w:rPr>
        <w:t>Page 4 of 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and CEO</w:t>
      </w:r>
    </w:p>
    <w:sectPr>
      <w:pgSz w:w="11900" w:h="16838" w:orient="portrait"/>
      <w:cols w:equalWidth="0" w:num="2">
        <w:col w:w="2120" w:space="420"/>
        <w:col w:w="767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1)"/>
      <w:numFmt w:val="lowerRoman"/>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2019-12-20T01:32:56Z</dcterms:created>
  <dcterms:modified xsi:type="dcterms:W3CDTF">2019-12-20T01:32:56Z</dcterms:modified>
</cp:coreProperties>
</file>