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Conacher Lionel F.</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DESTINATION XL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7" w:lineRule="exact"/>
        <w:rPr>
          <w:sz w:val="24"/>
          <w:szCs w:val="24"/>
          <w:color w:val="auto"/>
        </w:rPr>
      </w:pPr>
    </w:p>
    <w:p>
      <w:pPr>
        <w:sectPr>
          <w:pgSz w:w="11900" w:h="16838" w:orient="portrait"/>
          <w:cols w:equalWidth="0" w:num="3">
            <w:col w:w="3200" w:space="720"/>
            <w:col w:w="3660" w:space="155"/>
            <w:col w:w="3345"/>
          </w:cols>
          <w:pgMar w:left="460" w:top="225" w:right="359" w:bottom="1440" w:gutter="0" w:footer="0" w:header="0"/>
          <w:type w:val="continuous"/>
        </w:sectPr>
      </w:pPr>
    </w:p>
    <w:p>
      <w:pPr>
        <w:spacing w:after="0" w:line="26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4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227330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1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$0.01 par value</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03/22/2021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50,000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0.9107</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325,921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$0.8613 to $0.95, inclusive. The Reporting Person undertakes to provide to the Issuer, any security holder of the Issuer, and/or the staff of the Securities and Exchange Commission, upon request, full information regarding the number of shares purchased at each separate price within the ranges set forth in Footnote (1)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rPr>
              <w:t>Robert S. Molloy, Attorney-</w:t>
            </w: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03/23/2021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3"/>
              </w:rPr>
              <w:t>in-Fact for Lionel F. Conacher</w:t>
            </w:r>
          </w:p>
        </w:tc>
        <w:tc>
          <w:tcPr>
            <w:tcW w:w="40" w:type="dxa"/>
            <w:vAlign w:val="bottom"/>
            <w:vMerge w:val="restart"/>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17326"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2021-03-23T08:35:14Z</dcterms:created>
  <dcterms:modified xsi:type="dcterms:W3CDTF">2021-03-23T08:35:14Z</dcterms:modified>
</cp:coreProperties>
</file>