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CANNELL CAPITAL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3"/>
              </w:rPr>
              <w:t>245 MERIWETHER CIRCLE</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0000FF"/>
              </w:rPr>
              <w:t>ALTA</w:t>
            </w:r>
          </w:p>
        </w:tc>
        <w:tc>
          <w:tcPr>
            <w:tcW w:w="1400" w:type="dxa"/>
            <w:vAlign w:val="bottom"/>
          </w:tcPr>
          <w:p>
            <w:pPr>
              <w:ind w:left="340"/>
              <w:spacing w:after="0"/>
              <w:rPr>
                <w:sz w:val="20"/>
                <w:szCs w:val="20"/>
                <w:color w:val="auto"/>
              </w:rPr>
            </w:pPr>
            <w:r>
              <w:rPr>
                <w:rFonts w:ascii="Arial" w:cs="Arial" w:eastAsia="Arial" w:hAnsi="Arial"/>
                <w:sz w:val="18"/>
                <w:szCs w:val="18"/>
                <w:color w:val="0000FF"/>
              </w:rPr>
              <w:t>WY</w:t>
            </w:r>
          </w:p>
        </w:tc>
        <w:tc>
          <w:tcPr>
            <w:tcW w:w="1060" w:type="dxa"/>
            <w:vAlign w:val="bottom"/>
          </w:tcPr>
          <w:p>
            <w:pPr>
              <w:ind w:left="20"/>
              <w:spacing w:after="0"/>
              <w:rPr>
                <w:sz w:val="20"/>
                <w:szCs w:val="20"/>
                <w:color w:val="auto"/>
              </w:rPr>
            </w:pPr>
            <w:r>
              <w:rPr>
                <w:rFonts w:ascii="Arial" w:cs="Arial" w:eastAsia="Arial" w:hAnsi="Arial"/>
                <w:sz w:val="18"/>
                <w:szCs w:val="18"/>
                <w:color w:val="0000FF"/>
              </w:rPr>
              <w:t>83414</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4,919,277</w:t>
            </w:r>
          </w:p>
        </w:tc>
        <w:tc>
          <w:tcPr>
            <w:tcW w:w="1060" w:type="dxa"/>
            <w:vAlign w:val="bottom"/>
            <w:tcBorders>
              <w:bottom w:val="single" w:sz="8" w:color="2C2C2C"/>
            </w:tcBorders>
          </w:tcPr>
          <w:p>
            <w:pPr>
              <w:ind w:left="720"/>
              <w:spacing w:after="0" w:line="324" w:lineRule="exact"/>
              <w:rPr>
                <w:sz w:val="20"/>
                <w:szCs w:val="20"/>
                <w:color w:val="auto"/>
              </w:rPr>
            </w:pPr>
            <w:r>
              <w:rPr>
                <w:rFonts w:ascii="Arial" w:cs="Arial" w:eastAsia="Arial" w:hAnsi="Arial"/>
                <w:sz w:val="35"/>
                <w:szCs w:val="35"/>
                <w:color w:val="0000FF"/>
                <w:w w:val="95"/>
                <w:vertAlign w:val="subscript"/>
              </w:rPr>
              <w:t>I</w:t>
            </w:r>
            <w:r>
              <w:rPr>
                <w:rFonts w:ascii="Arial" w:cs="Arial" w:eastAsia="Arial" w:hAnsi="Arial"/>
                <w:sz w:val="11"/>
                <w:szCs w:val="11"/>
                <w:color w:val="008000"/>
                <w:w w:val="95"/>
              </w:rPr>
              <w:t>(1)(2)</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By Partnerships and operations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As of September 24, 2018, Tonga Partners, LP, Cuttyhunk II Fund. Tristan Partners, LP, and Tristan Offshore Fund, Ltd (collectively the "Cannell Investment Vehicles") owned in the aggregate 4,919,277 shares of the common stock of Destination XL Group, Inc.</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September 24, 2018, Mr. Cannell beneficially owns 4,919,277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10/02/2018</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5885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2019-12-23T18:34:20Z</dcterms:created>
  <dcterms:modified xsi:type="dcterms:W3CDTF">2019-12-23T18:34:20Z</dcterms:modified>
</cp:coreProperties>
</file>