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MESDAG WILLEM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RED MOUNTAIN CAPITAL 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1999 AVENUE OF THE STARS, STE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2,593,758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30,982</w:t>
            </w:r>
            <w:r>
              <w:rPr>
                <w:rFonts w:ascii="Times;serif" w:hAnsi="Times;serif"/>
                <w:color w:val="008000"/>
                <w:position w:val="7"/>
                <w:sz w:val="16"/>
                <w:sz w:val="20"/>
                <w:shd w:fill="FFFFFF" w:val="clear"/>
              </w:rPr>
              <w:t>(4)</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30,982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524,309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Units (DSUs) issued pursuant to the Director's elected form of compensation for quarterly annual retainer and committee chairperson fee.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per share value is determined by the closing price of the Company's common stock on May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DSU is credited to the Reporting Person under the Company's Director Plan (the "Director Plan"). Each DSU represents ownership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DSUs credited under the Director Plan are payable in the form elected or provided under the Director Plan on the earlier of (i) the Reporting Person's date of separation of service, or (ii) upon death, disability or change in control as defined under the Director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Willem Mesdag (on behalf of himself and the other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4566" TargetMode="External"/><Relationship Id="rId5" Type="http://schemas.openxmlformats.org/officeDocument/2006/relationships/hyperlink" Target="http://www.sec.gov/cgi-bin/browse-edgar?action=getcompany&amp;CIK=0000813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816</Words>
  <Characters>4392</Characters>
  <CharactersWithSpaces>5143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