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AWM Investment Company,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9,399,297.00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9,399,297.00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9,399,297.00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00"/>
          </w:cols>
          <w:pgMar w:left="320" w:top="166" w:right="419" w:bottom="0" w:gutter="0" w:footer="0" w:header="0"/>
        </w:sectPr>
      </w:pPr>
    </w:p>
    <w:p>
      <w:pPr>
        <w:spacing w:after="0" w:line="7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AWM Investment Company, Inc., a Delaware corporation (AWM), is the investment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1,799,797 shares of Common Stock of the Issuer (the Shares) held by CAYMAN, 5,729,930 Shares held by SSFQP and 1,869,570 Shares held by SSPE.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555 TURNPIKE STREET, CANTON, MASSACHUSETTS, 02021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40"/>
        <w:spacing w:after="0" w:line="249" w:lineRule="auto"/>
        <w:rPr>
          <w:sz w:val="20"/>
          <w:szCs w:val="20"/>
          <w:color w:val="auto"/>
        </w:rPr>
      </w:pPr>
      <w:r>
        <w:rPr>
          <w:rFonts w:ascii="Times New Roman" w:cs="Times New Roman" w:eastAsia="Times New Roman" w:hAnsi="Times New Roman"/>
          <w:sz w:val="21"/>
          <w:szCs w:val="21"/>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w:t>
      </w:r>
    </w:p>
    <w:p>
      <w:pPr>
        <w:spacing w:after="0" w:line="1" w:lineRule="exact"/>
        <w:rPr>
          <w:sz w:val="20"/>
          <w:szCs w:val="20"/>
          <w:color w:val="auto"/>
        </w:rPr>
      </w:pPr>
    </w:p>
    <w:p>
      <w:pPr>
        <w:ind w:left="960" w:hanging="912"/>
        <w:spacing w:after="0" w:line="232"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L.P., a Delaware limited partnership (SSPE). The principal business of each Fund is to invest in equity and equity-related securities and other securities of any kind or nature. 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Greenhouse and Stettner are also controlling principals of AWM.</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527 Madison Avenue, Suite 2600 New York, NY 10022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AWM is a Delaware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60"/>
          </w:cols>
          <w:pgMar w:left="320" w:top="166" w:right="41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25065K104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9,399,297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11"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AWM is the investment adviser to each of the Funds. As the investment adviser to the Funds, AWM holds sole voting over 1,835,668 shares of common stock of the Issuer (the Shares) held by CAYMAN, 5,844,131 Shares held by SSFQP and 1,906,831 Shares held by SSPE. Greenhouse and Stettner are members of: SSCAY, the general partner of CAYMAN; MGP, the general partner of SSFQP; and MG, the general partner of SSPE. Greenhouse and Stettner are also controlling principals of AWM.</w:t>
      </w:r>
    </w:p>
    <w:p>
      <w:pPr>
        <w:spacing w:after="0" w:line="258"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AWM is the investment adviser to each of the Funds. As the investment adviser to the Funds, AWM holds sole investment power over 1,835,668 shares of common stock of the Issuer (the Shares) held by CAYMAN, 5,844,131 Shares held by SSFQP and 1,906,831 Shares held by SSPE. Greenhouse and Stettner are members of: SSCAY, the general partner of CAYMAN; MGP, the general partner of SSFQP; and MG, the general partner of SSPE. Greenhouse and Stettner are also controlling principals of AWM.</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180"/>
          </w:cols>
          <w:pgMar w:left="360" w:top="111" w:right="4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38" w:orient="portrait"/>
          <w:cols w:equalWidth="0" w:num="1">
            <w:col w:w="11100"/>
          </w:cols>
          <w:pgMar w:left="360" w:top="111" w:right="43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AWM Investment Company, Inc.</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Stettner</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Executive Vice President</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2025-02-14T13:54:40Z</dcterms:created>
  <dcterms:modified xsi:type="dcterms:W3CDTF">2025-02-14T13:54:40Z</dcterms:modified>
</cp:coreProperties>
</file>