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74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748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10/03/2013</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President,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00"/>
          </w:cols>
          <w:pgMar w:left="240" w:top="226"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50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8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8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10/03/2013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5,000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6.511</w:t>
            </w:r>
            <w:r>
              <w:rPr>
                <w:rFonts w:ascii="Arial" w:cs="Arial" w:eastAsia="Arial" w:hAnsi="Arial"/>
                <w:sz w:val="22"/>
                <w:szCs w:val="22"/>
                <w:color w:val="008000"/>
                <w:w w:val="93"/>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1,245,915</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800" w:type="dxa"/>
            <w:vAlign w:val="bottom"/>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15,500</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114"/>
        </w:trPr>
        <w:tc>
          <w:tcPr>
            <w:tcW w:w="280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8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8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8"/>
              </w:rPr>
              <w:t>held in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16"/>
        </w:trPr>
        <w:tc>
          <w:tcPr>
            <w:tcW w:w="280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3,539</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401(k)Plan</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89"/>
              </w:rPr>
              <w:t>as stated in</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222"/>
        </w:trPr>
        <w:tc>
          <w:tcPr>
            <w:tcW w:w="2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9"/>
              </w:rPr>
              <w:t>Statement</w:t>
            </w: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10/3/13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29, 2013.</w:t>
      </w:r>
    </w:p>
    <w:p>
      <w:pPr>
        <w:spacing w:after="0" w:line="41" w:lineRule="exact"/>
        <w:rPr>
          <w:rFonts w:ascii="Arial" w:cs="Arial" w:eastAsia="Arial" w:hAnsi="Arial"/>
          <w:sz w:val="14"/>
          <w:szCs w:val="14"/>
          <w:color w:val="008000"/>
        </w:rPr>
      </w:pPr>
    </w:p>
    <w:p>
      <w:pPr>
        <w:ind w:left="40" w:right="1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$6.50 to $6.53. The Reporting Person hereby undertakes to provide upon request to the SEC and the Issuer of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David A. Levin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10/04/2013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2019-12-16T05:02:29Z</dcterms:created>
  <dcterms:modified xsi:type="dcterms:W3CDTF">2019-12-16T05:02:29Z</dcterms:modified>
</cp:coreProperties>
</file>