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1202690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On August 4, 2016, Destination XL Group, Inc. (the “Company”) held its Annual Meeting of Stockholders (the “Annual Meeting”) at which the Company’s stockholders approved the adoption of the Company’s 2016 Incentive Compensation Plan (the “2016 Plan”). The 2016 Plan became effective on August 4, 2016, the date of stockholder approval.</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For a description of the material features of the 2016 Plan see “</w:t>
      </w:r>
      <w:r>
        <w:rPr>
          <w:rFonts w:ascii="Arial" w:cs="Arial" w:eastAsia="Arial" w:hAnsi="Arial"/>
          <w:sz w:val="21"/>
          <w:szCs w:val="21"/>
          <w:i w:val="1"/>
          <w:iCs w:val="1"/>
          <w:color w:val="auto"/>
        </w:rPr>
        <w:t>Proposal 2 – To Approve the Adoption of the Company’s 2016</w:t>
      </w:r>
      <w:r>
        <w:rPr>
          <w:rFonts w:ascii="Arial" w:cs="Arial" w:eastAsia="Arial" w:hAnsi="Arial"/>
          <w:sz w:val="21"/>
          <w:szCs w:val="21"/>
          <w:color w:val="auto"/>
        </w:rPr>
        <w:t xml:space="preserve"> </w:t>
      </w:r>
      <w:r>
        <w:rPr>
          <w:rFonts w:ascii="Arial" w:cs="Arial" w:eastAsia="Arial" w:hAnsi="Arial"/>
          <w:sz w:val="21"/>
          <w:szCs w:val="21"/>
          <w:i w:val="1"/>
          <w:iCs w:val="1"/>
          <w:color w:val="auto"/>
        </w:rPr>
        <w:t>Incentive Compensation Plan –Summary of the 2016 Incentive Compensation Plan</w:t>
      </w:r>
      <w:r>
        <w:rPr>
          <w:rFonts w:ascii="Arial" w:cs="Arial" w:eastAsia="Arial" w:hAnsi="Arial"/>
          <w:sz w:val="21"/>
          <w:szCs w:val="21"/>
          <w:color w:val="auto"/>
        </w:rPr>
        <w:t>” on pages 37 through 44 of the Company’s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Definitive Proxy Statement on Schedule 14A filed on June 27, 2016 in connection with the Annual Meeting. </w:t>
      </w:r>
      <w:r>
        <w:rPr>
          <w:rFonts w:ascii="Arial" w:cs="Arial" w:eastAsia="Arial" w:hAnsi="Arial"/>
          <w:sz w:val="21"/>
          <w:szCs w:val="21"/>
          <w:color w:val="212121"/>
        </w:rPr>
        <w:t>Such description,</w:t>
      </w:r>
      <w:r>
        <w:rPr>
          <w:rFonts w:ascii="Arial" w:cs="Arial" w:eastAsia="Arial" w:hAnsi="Arial"/>
          <w:sz w:val="21"/>
          <w:szCs w:val="21"/>
          <w:color w:val="auto"/>
        </w:rPr>
        <w:t xml:space="preserve"> </w:t>
      </w:r>
      <w:r>
        <w:rPr>
          <w:rFonts w:ascii="Arial" w:cs="Arial" w:eastAsia="Arial" w:hAnsi="Arial"/>
          <w:sz w:val="21"/>
          <w:szCs w:val="21"/>
          <w:color w:val="212121"/>
        </w:rPr>
        <w:t xml:space="preserve">which is qualified in its entirety by reference to the </w:t>
      </w:r>
      <w:r>
        <w:rPr>
          <w:rFonts w:ascii="Arial" w:cs="Arial" w:eastAsia="Arial" w:hAnsi="Arial"/>
          <w:sz w:val="21"/>
          <w:szCs w:val="21"/>
          <w:color w:val="000000"/>
        </w:rPr>
        <w:t>2016 Plan, as approved by the Company’s Board of Directors and stockholders,</w:t>
      </w:r>
      <w:r>
        <w:rPr>
          <w:rFonts w:ascii="Arial" w:cs="Arial" w:eastAsia="Arial" w:hAnsi="Arial"/>
          <w:sz w:val="21"/>
          <w:szCs w:val="21"/>
          <w:color w:val="212121"/>
        </w:rPr>
        <w:t xml:space="preserve"> </w:t>
      </w:r>
      <w:r>
        <w:rPr>
          <w:rFonts w:ascii="Arial" w:cs="Arial" w:eastAsia="Arial" w:hAnsi="Arial"/>
          <w:sz w:val="21"/>
          <w:szCs w:val="21"/>
          <w:color w:val="000000"/>
        </w:rPr>
        <w:t>is filed as Exhibit 10.1 hereto and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Set forth below are the matters submitted at the Annual Meeting by the Board of Directors to a vote of stockholders and the final results of the voting for each proposal.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 Election of Directors.</w:t>
      </w:r>
    </w:p>
    <w:p>
      <w:pPr>
        <w:spacing w:after="0" w:line="8"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The Company’s stockholders elected ten directors to hold office until the 2017 Annual Meeting of Stockholders and until their respective successors are duly elected and qualified. The results of the voting were as follows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FOR</w:t>
            </w:r>
          </w:p>
        </w:tc>
        <w:tc>
          <w:tcPr>
            <w:tcW w:w="1480" w:type="dxa"/>
            <w:vAlign w:val="bottom"/>
          </w:tcPr>
          <w:p>
            <w:pPr>
              <w:ind w:left="340"/>
              <w:spacing w:after="0"/>
              <w:rPr>
                <w:sz w:val="20"/>
                <w:szCs w:val="20"/>
                <w:color w:val="auto"/>
              </w:rPr>
            </w:pPr>
            <w:r>
              <w:rPr>
                <w:rFonts w:ascii="Arial" w:cs="Arial" w:eastAsia="Arial" w:hAnsi="Arial"/>
                <w:sz w:val="18"/>
                <w:szCs w:val="18"/>
                <w:color w:val="auto"/>
              </w:rPr>
              <w:t>AGAINST</w:t>
            </w:r>
          </w:p>
        </w:tc>
        <w:tc>
          <w:tcPr>
            <w:tcW w:w="1460" w:type="dxa"/>
            <w:vAlign w:val="bottom"/>
          </w:tcPr>
          <w:p>
            <w:pPr>
              <w:ind w:left="340"/>
              <w:spacing w:after="0"/>
              <w:rPr>
                <w:sz w:val="20"/>
                <w:szCs w:val="20"/>
                <w:color w:val="auto"/>
              </w:rPr>
            </w:pPr>
            <w:r>
              <w:rPr>
                <w:rFonts w:ascii="Arial" w:cs="Arial" w:eastAsia="Arial" w:hAnsi="Arial"/>
                <w:sz w:val="18"/>
                <w:szCs w:val="18"/>
                <w:color w:val="auto"/>
              </w:rPr>
              <w:t>ABSTAIN</w:t>
            </w:r>
          </w:p>
        </w:tc>
        <w:tc>
          <w:tcPr>
            <w:tcW w:w="1680" w:type="dxa"/>
            <w:vAlign w:val="bottom"/>
          </w:tcPr>
          <w:p>
            <w:pPr>
              <w:ind w:left="360"/>
              <w:spacing w:after="0"/>
              <w:rPr>
                <w:sz w:val="20"/>
                <w:szCs w:val="20"/>
                <w:color w:val="auto"/>
              </w:rPr>
            </w:pPr>
            <w:r>
              <w:rPr>
                <w:rFonts w:ascii="Arial" w:cs="Arial" w:eastAsia="Arial" w:hAnsi="Arial"/>
                <w:sz w:val="18"/>
                <w:szCs w:val="18"/>
                <w:color w:val="auto"/>
                <w:w w:val="90"/>
              </w:rPr>
              <w:t>Broker Non-Votes</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4"/>
              </w:rPr>
              <w:t>Seymour Holtzman</w:t>
            </w:r>
          </w:p>
        </w:tc>
        <w:tc>
          <w:tcPr>
            <w:tcW w:w="1200" w:type="dxa"/>
            <w:vAlign w:val="bottom"/>
          </w:tcPr>
          <w:p>
            <w:pPr>
              <w:ind w:left="40"/>
              <w:spacing w:after="0"/>
              <w:rPr>
                <w:sz w:val="20"/>
                <w:szCs w:val="20"/>
                <w:color w:val="auto"/>
              </w:rPr>
            </w:pPr>
            <w:r>
              <w:rPr>
                <w:rFonts w:ascii="Arial" w:cs="Arial" w:eastAsia="Arial" w:hAnsi="Arial"/>
                <w:sz w:val="18"/>
                <w:szCs w:val="18"/>
                <w:color w:val="auto"/>
              </w:rPr>
              <w:t>40,009,948</w:t>
            </w:r>
          </w:p>
        </w:tc>
        <w:tc>
          <w:tcPr>
            <w:tcW w:w="1480" w:type="dxa"/>
            <w:vAlign w:val="bottom"/>
          </w:tcPr>
          <w:p>
            <w:pPr>
              <w:ind w:left="340"/>
              <w:spacing w:after="0"/>
              <w:rPr>
                <w:sz w:val="20"/>
                <w:szCs w:val="20"/>
                <w:color w:val="auto"/>
              </w:rPr>
            </w:pPr>
            <w:r>
              <w:rPr>
                <w:rFonts w:ascii="Arial" w:cs="Arial" w:eastAsia="Arial" w:hAnsi="Arial"/>
                <w:sz w:val="18"/>
                <w:szCs w:val="18"/>
                <w:color w:val="auto"/>
              </w:rPr>
              <w:t>806,653</w:t>
            </w:r>
          </w:p>
        </w:tc>
        <w:tc>
          <w:tcPr>
            <w:tcW w:w="1460" w:type="dxa"/>
            <w:vAlign w:val="bottom"/>
          </w:tcPr>
          <w:p>
            <w:pPr>
              <w:ind w:left="340"/>
              <w:spacing w:after="0"/>
              <w:rPr>
                <w:sz w:val="20"/>
                <w:szCs w:val="20"/>
                <w:color w:val="auto"/>
              </w:rPr>
            </w:pPr>
            <w:r>
              <w:rPr>
                <w:rFonts w:ascii="Arial" w:cs="Arial" w:eastAsia="Arial" w:hAnsi="Arial"/>
                <w:sz w:val="18"/>
                <w:szCs w:val="18"/>
                <w:color w:val="auto"/>
              </w:rPr>
              <w:t>4,277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David A. Levin</w:t>
            </w:r>
          </w:p>
        </w:tc>
        <w:tc>
          <w:tcPr>
            <w:tcW w:w="1200" w:type="dxa"/>
            <w:vAlign w:val="bottom"/>
          </w:tcPr>
          <w:p>
            <w:pPr>
              <w:ind w:left="40"/>
              <w:spacing w:after="0"/>
              <w:rPr>
                <w:sz w:val="20"/>
                <w:szCs w:val="20"/>
                <w:color w:val="auto"/>
              </w:rPr>
            </w:pPr>
            <w:r>
              <w:rPr>
                <w:rFonts w:ascii="Arial" w:cs="Arial" w:eastAsia="Arial" w:hAnsi="Arial"/>
                <w:sz w:val="18"/>
                <w:szCs w:val="18"/>
                <w:color w:val="auto"/>
              </w:rPr>
              <w:t>40,532,126</w:t>
            </w:r>
          </w:p>
        </w:tc>
        <w:tc>
          <w:tcPr>
            <w:tcW w:w="1480" w:type="dxa"/>
            <w:vAlign w:val="bottom"/>
          </w:tcPr>
          <w:p>
            <w:pPr>
              <w:ind w:left="340"/>
              <w:spacing w:after="0"/>
              <w:rPr>
                <w:sz w:val="20"/>
                <w:szCs w:val="20"/>
                <w:color w:val="auto"/>
              </w:rPr>
            </w:pPr>
            <w:r>
              <w:rPr>
                <w:rFonts w:ascii="Arial" w:cs="Arial" w:eastAsia="Arial" w:hAnsi="Arial"/>
                <w:sz w:val="18"/>
                <w:szCs w:val="18"/>
                <w:color w:val="auto"/>
              </w:rPr>
              <w:t>285,069</w:t>
            </w:r>
          </w:p>
        </w:tc>
        <w:tc>
          <w:tcPr>
            <w:tcW w:w="1460" w:type="dxa"/>
            <w:vAlign w:val="bottom"/>
          </w:tcPr>
          <w:p>
            <w:pPr>
              <w:ind w:left="340"/>
              <w:spacing w:after="0"/>
              <w:rPr>
                <w:sz w:val="20"/>
                <w:szCs w:val="20"/>
                <w:color w:val="auto"/>
              </w:rPr>
            </w:pPr>
            <w:r>
              <w:rPr>
                <w:rFonts w:ascii="Arial" w:cs="Arial" w:eastAsia="Arial" w:hAnsi="Arial"/>
                <w:sz w:val="18"/>
                <w:szCs w:val="18"/>
                <w:color w:val="auto"/>
              </w:rPr>
              <w:t>3,682</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Alan S. Bernikow</w:t>
            </w:r>
          </w:p>
        </w:tc>
        <w:tc>
          <w:tcPr>
            <w:tcW w:w="1200" w:type="dxa"/>
            <w:vAlign w:val="bottom"/>
          </w:tcPr>
          <w:p>
            <w:pPr>
              <w:ind w:left="40"/>
              <w:spacing w:after="0"/>
              <w:rPr>
                <w:sz w:val="20"/>
                <w:szCs w:val="20"/>
                <w:color w:val="auto"/>
              </w:rPr>
            </w:pPr>
            <w:r>
              <w:rPr>
                <w:rFonts w:ascii="Arial" w:cs="Arial" w:eastAsia="Arial" w:hAnsi="Arial"/>
                <w:sz w:val="18"/>
                <w:szCs w:val="18"/>
                <w:color w:val="auto"/>
              </w:rPr>
              <w:t>39,786,938</w:t>
            </w:r>
          </w:p>
        </w:tc>
        <w:tc>
          <w:tcPr>
            <w:tcW w:w="1480" w:type="dxa"/>
            <w:vAlign w:val="bottom"/>
          </w:tcPr>
          <w:p>
            <w:pPr>
              <w:ind w:left="340"/>
              <w:spacing w:after="0"/>
              <w:rPr>
                <w:sz w:val="20"/>
                <w:szCs w:val="20"/>
                <w:color w:val="auto"/>
              </w:rPr>
            </w:pPr>
            <w:r>
              <w:rPr>
                <w:rFonts w:ascii="Arial" w:cs="Arial" w:eastAsia="Arial" w:hAnsi="Arial"/>
                <w:sz w:val="18"/>
                <w:szCs w:val="18"/>
                <w:color w:val="auto"/>
              </w:rPr>
              <w:t>1,029,562</w:t>
            </w:r>
          </w:p>
        </w:tc>
        <w:tc>
          <w:tcPr>
            <w:tcW w:w="1460" w:type="dxa"/>
            <w:vAlign w:val="bottom"/>
          </w:tcPr>
          <w:p>
            <w:pPr>
              <w:ind w:left="340"/>
              <w:spacing w:after="0"/>
              <w:rPr>
                <w:sz w:val="20"/>
                <w:szCs w:val="20"/>
                <w:color w:val="auto"/>
              </w:rPr>
            </w:pPr>
            <w:r>
              <w:rPr>
                <w:rFonts w:ascii="Arial" w:cs="Arial" w:eastAsia="Arial" w:hAnsi="Arial"/>
                <w:sz w:val="18"/>
                <w:szCs w:val="18"/>
                <w:color w:val="auto"/>
              </w:rPr>
              <w:t>4,377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Jesse Choper</w:t>
            </w:r>
          </w:p>
        </w:tc>
        <w:tc>
          <w:tcPr>
            <w:tcW w:w="1200" w:type="dxa"/>
            <w:vAlign w:val="bottom"/>
          </w:tcPr>
          <w:p>
            <w:pPr>
              <w:ind w:left="40"/>
              <w:spacing w:after="0"/>
              <w:rPr>
                <w:sz w:val="20"/>
                <w:szCs w:val="20"/>
                <w:color w:val="auto"/>
              </w:rPr>
            </w:pPr>
            <w:r>
              <w:rPr>
                <w:rFonts w:ascii="Arial" w:cs="Arial" w:eastAsia="Arial" w:hAnsi="Arial"/>
                <w:sz w:val="18"/>
                <w:szCs w:val="18"/>
                <w:color w:val="auto"/>
              </w:rPr>
              <w:t>40,045,006</w:t>
            </w:r>
          </w:p>
        </w:tc>
        <w:tc>
          <w:tcPr>
            <w:tcW w:w="1480" w:type="dxa"/>
            <w:vAlign w:val="bottom"/>
          </w:tcPr>
          <w:p>
            <w:pPr>
              <w:ind w:left="340"/>
              <w:spacing w:after="0"/>
              <w:rPr>
                <w:sz w:val="20"/>
                <w:szCs w:val="20"/>
                <w:color w:val="auto"/>
              </w:rPr>
            </w:pPr>
            <w:r>
              <w:rPr>
                <w:rFonts w:ascii="Arial" w:cs="Arial" w:eastAsia="Arial" w:hAnsi="Arial"/>
                <w:sz w:val="18"/>
                <w:szCs w:val="18"/>
                <w:color w:val="auto"/>
              </w:rPr>
              <w:t>771,494</w:t>
            </w:r>
          </w:p>
        </w:tc>
        <w:tc>
          <w:tcPr>
            <w:tcW w:w="1460" w:type="dxa"/>
            <w:vAlign w:val="bottom"/>
          </w:tcPr>
          <w:p>
            <w:pPr>
              <w:ind w:left="340"/>
              <w:spacing w:after="0"/>
              <w:rPr>
                <w:sz w:val="20"/>
                <w:szCs w:val="20"/>
                <w:color w:val="auto"/>
              </w:rPr>
            </w:pPr>
            <w:r>
              <w:rPr>
                <w:rFonts w:ascii="Arial" w:cs="Arial" w:eastAsia="Arial" w:hAnsi="Arial"/>
                <w:sz w:val="18"/>
                <w:szCs w:val="18"/>
                <w:color w:val="auto"/>
              </w:rPr>
              <w:t>4,377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John E. Kyees</w:t>
            </w:r>
          </w:p>
        </w:tc>
        <w:tc>
          <w:tcPr>
            <w:tcW w:w="1200" w:type="dxa"/>
            <w:vAlign w:val="bottom"/>
          </w:tcPr>
          <w:p>
            <w:pPr>
              <w:ind w:left="40"/>
              <w:spacing w:after="0"/>
              <w:rPr>
                <w:sz w:val="20"/>
                <w:szCs w:val="20"/>
                <w:color w:val="auto"/>
              </w:rPr>
            </w:pPr>
            <w:r>
              <w:rPr>
                <w:rFonts w:ascii="Arial" w:cs="Arial" w:eastAsia="Arial" w:hAnsi="Arial"/>
                <w:sz w:val="18"/>
                <w:szCs w:val="18"/>
                <w:color w:val="auto"/>
              </w:rPr>
              <w:t>40,526,990</w:t>
            </w:r>
          </w:p>
        </w:tc>
        <w:tc>
          <w:tcPr>
            <w:tcW w:w="1480" w:type="dxa"/>
            <w:vAlign w:val="bottom"/>
          </w:tcPr>
          <w:p>
            <w:pPr>
              <w:ind w:left="340"/>
              <w:spacing w:after="0"/>
              <w:rPr>
                <w:sz w:val="20"/>
                <w:szCs w:val="20"/>
                <w:color w:val="auto"/>
              </w:rPr>
            </w:pPr>
            <w:r>
              <w:rPr>
                <w:rFonts w:ascii="Arial" w:cs="Arial" w:eastAsia="Arial" w:hAnsi="Arial"/>
                <w:sz w:val="18"/>
                <w:szCs w:val="18"/>
                <w:color w:val="auto"/>
              </w:rPr>
              <w:t>289,610</w:t>
            </w:r>
          </w:p>
        </w:tc>
        <w:tc>
          <w:tcPr>
            <w:tcW w:w="1460" w:type="dxa"/>
            <w:vAlign w:val="bottom"/>
          </w:tcPr>
          <w:p>
            <w:pPr>
              <w:ind w:left="340"/>
              <w:spacing w:after="0"/>
              <w:rPr>
                <w:sz w:val="20"/>
                <w:szCs w:val="20"/>
                <w:color w:val="auto"/>
              </w:rPr>
            </w:pPr>
            <w:r>
              <w:rPr>
                <w:rFonts w:ascii="Arial" w:cs="Arial" w:eastAsia="Arial" w:hAnsi="Arial"/>
                <w:sz w:val="18"/>
                <w:szCs w:val="18"/>
                <w:color w:val="auto"/>
              </w:rPr>
              <w:t>4,277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Willem Mesdag</w:t>
            </w:r>
          </w:p>
        </w:tc>
        <w:tc>
          <w:tcPr>
            <w:tcW w:w="1200" w:type="dxa"/>
            <w:vAlign w:val="bottom"/>
          </w:tcPr>
          <w:p>
            <w:pPr>
              <w:ind w:left="40"/>
              <w:spacing w:after="0"/>
              <w:rPr>
                <w:sz w:val="20"/>
                <w:szCs w:val="20"/>
                <w:color w:val="auto"/>
              </w:rPr>
            </w:pPr>
            <w:r>
              <w:rPr>
                <w:rFonts w:ascii="Arial" w:cs="Arial" w:eastAsia="Arial" w:hAnsi="Arial"/>
                <w:sz w:val="18"/>
                <w:szCs w:val="18"/>
                <w:color w:val="auto"/>
              </w:rPr>
              <w:t>40,503,849</w:t>
            </w:r>
          </w:p>
        </w:tc>
        <w:tc>
          <w:tcPr>
            <w:tcW w:w="1480" w:type="dxa"/>
            <w:vAlign w:val="bottom"/>
          </w:tcPr>
          <w:p>
            <w:pPr>
              <w:ind w:left="340"/>
              <w:spacing w:after="0"/>
              <w:rPr>
                <w:sz w:val="20"/>
                <w:szCs w:val="20"/>
                <w:color w:val="auto"/>
              </w:rPr>
            </w:pPr>
            <w:r>
              <w:rPr>
                <w:rFonts w:ascii="Arial" w:cs="Arial" w:eastAsia="Arial" w:hAnsi="Arial"/>
                <w:sz w:val="18"/>
                <w:szCs w:val="18"/>
                <w:color w:val="auto"/>
              </w:rPr>
              <w:t>313,150</w:t>
            </w:r>
          </w:p>
        </w:tc>
        <w:tc>
          <w:tcPr>
            <w:tcW w:w="1460" w:type="dxa"/>
            <w:vAlign w:val="bottom"/>
          </w:tcPr>
          <w:p>
            <w:pPr>
              <w:ind w:left="340"/>
              <w:spacing w:after="0"/>
              <w:rPr>
                <w:sz w:val="20"/>
                <w:szCs w:val="20"/>
                <w:color w:val="auto"/>
              </w:rPr>
            </w:pPr>
            <w:r>
              <w:rPr>
                <w:rFonts w:ascii="Arial" w:cs="Arial" w:eastAsia="Arial" w:hAnsi="Arial"/>
                <w:sz w:val="18"/>
                <w:szCs w:val="18"/>
                <w:color w:val="auto"/>
              </w:rPr>
              <w:t>3,878</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Ward K. Mooney</w:t>
            </w:r>
          </w:p>
        </w:tc>
        <w:tc>
          <w:tcPr>
            <w:tcW w:w="1200" w:type="dxa"/>
            <w:vAlign w:val="bottom"/>
          </w:tcPr>
          <w:p>
            <w:pPr>
              <w:ind w:left="40"/>
              <w:spacing w:after="0"/>
              <w:rPr>
                <w:sz w:val="20"/>
                <w:szCs w:val="20"/>
                <w:color w:val="auto"/>
              </w:rPr>
            </w:pPr>
            <w:r>
              <w:rPr>
                <w:rFonts w:ascii="Arial" w:cs="Arial" w:eastAsia="Arial" w:hAnsi="Arial"/>
                <w:sz w:val="18"/>
                <w:szCs w:val="18"/>
                <w:color w:val="auto"/>
              </w:rPr>
              <w:t>40,492,372</w:t>
            </w:r>
          </w:p>
        </w:tc>
        <w:tc>
          <w:tcPr>
            <w:tcW w:w="1480" w:type="dxa"/>
            <w:vAlign w:val="bottom"/>
          </w:tcPr>
          <w:p>
            <w:pPr>
              <w:ind w:left="340"/>
              <w:spacing w:after="0"/>
              <w:rPr>
                <w:sz w:val="20"/>
                <w:szCs w:val="20"/>
                <w:color w:val="auto"/>
              </w:rPr>
            </w:pPr>
            <w:r>
              <w:rPr>
                <w:rFonts w:ascii="Arial" w:cs="Arial" w:eastAsia="Arial" w:hAnsi="Arial"/>
                <w:sz w:val="18"/>
                <w:szCs w:val="18"/>
                <w:color w:val="auto"/>
              </w:rPr>
              <w:t>324,128</w:t>
            </w:r>
          </w:p>
        </w:tc>
        <w:tc>
          <w:tcPr>
            <w:tcW w:w="1460" w:type="dxa"/>
            <w:vAlign w:val="bottom"/>
          </w:tcPr>
          <w:p>
            <w:pPr>
              <w:ind w:left="340"/>
              <w:spacing w:after="0"/>
              <w:rPr>
                <w:sz w:val="20"/>
                <w:szCs w:val="20"/>
                <w:color w:val="auto"/>
              </w:rPr>
            </w:pPr>
            <w:r>
              <w:rPr>
                <w:rFonts w:ascii="Arial" w:cs="Arial" w:eastAsia="Arial" w:hAnsi="Arial"/>
                <w:sz w:val="18"/>
                <w:szCs w:val="18"/>
                <w:color w:val="auto"/>
              </w:rPr>
              <w:t>4,377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George T. Porter, Jr. 40,491,180</w:t>
            </w:r>
          </w:p>
        </w:tc>
        <w:tc>
          <w:tcPr>
            <w:tcW w:w="1480" w:type="dxa"/>
            <w:vAlign w:val="bottom"/>
          </w:tcPr>
          <w:p>
            <w:pPr>
              <w:ind w:left="340"/>
              <w:spacing w:after="0"/>
              <w:rPr>
                <w:sz w:val="20"/>
                <w:szCs w:val="20"/>
                <w:color w:val="auto"/>
              </w:rPr>
            </w:pPr>
            <w:r>
              <w:rPr>
                <w:rFonts w:ascii="Arial" w:cs="Arial" w:eastAsia="Arial" w:hAnsi="Arial"/>
                <w:sz w:val="18"/>
                <w:szCs w:val="18"/>
                <w:color w:val="auto"/>
              </w:rPr>
              <w:t>325,820</w:t>
            </w:r>
          </w:p>
        </w:tc>
        <w:tc>
          <w:tcPr>
            <w:tcW w:w="1460" w:type="dxa"/>
            <w:vAlign w:val="bottom"/>
          </w:tcPr>
          <w:p>
            <w:pPr>
              <w:ind w:left="340"/>
              <w:spacing w:after="0"/>
              <w:rPr>
                <w:sz w:val="20"/>
                <w:szCs w:val="20"/>
                <w:color w:val="auto"/>
              </w:rPr>
            </w:pPr>
            <w:r>
              <w:rPr>
                <w:rFonts w:ascii="Arial" w:cs="Arial" w:eastAsia="Arial" w:hAnsi="Arial"/>
                <w:sz w:val="18"/>
                <w:szCs w:val="18"/>
                <w:color w:val="auto"/>
              </w:rPr>
              <w:t>3,877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5"/>
              </w:rPr>
              <w:t>Mitchell S. Presser</w:t>
            </w:r>
          </w:p>
        </w:tc>
        <w:tc>
          <w:tcPr>
            <w:tcW w:w="1200" w:type="dxa"/>
            <w:vAlign w:val="bottom"/>
          </w:tcPr>
          <w:p>
            <w:pPr>
              <w:ind w:left="40"/>
              <w:spacing w:after="0"/>
              <w:rPr>
                <w:sz w:val="20"/>
                <w:szCs w:val="20"/>
                <w:color w:val="auto"/>
              </w:rPr>
            </w:pPr>
            <w:r>
              <w:rPr>
                <w:rFonts w:ascii="Arial" w:cs="Arial" w:eastAsia="Arial" w:hAnsi="Arial"/>
                <w:sz w:val="18"/>
                <w:szCs w:val="18"/>
                <w:color w:val="auto"/>
              </w:rPr>
              <w:t>39,523,926</w:t>
            </w:r>
          </w:p>
        </w:tc>
        <w:tc>
          <w:tcPr>
            <w:tcW w:w="1480" w:type="dxa"/>
            <w:vAlign w:val="bottom"/>
          </w:tcPr>
          <w:p>
            <w:pPr>
              <w:ind w:left="340"/>
              <w:spacing w:after="0"/>
              <w:rPr>
                <w:sz w:val="20"/>
                <w:szCs w:val="20"/>
                <w:color w:val="auto"/>
              </w:rPr>
            </w:pPr>
            <w:r>
              <w:rPr>
                <w:rFonts w:ascii="Arial" w:cs="Arial" w:eastAsia="Arial" w:hAnsi="Arial"/>
                <w:sz w:val="18"/>
                <w:szCs w:val="18"/>
                <w:color w:val="auto"/>
              </w:rPr>
              <w:t>1,293,074</w:t>
            </w:r>
          </w:p>
        </w:tc>
        <w:tc>
          <w:tcPr>
            <w:tcW w:w="1460" w:type="dxa"/>
            <w:vAlign w:val="bottom"/>
          </w:tcPr>
          <w:p>
            <w:pPr>
              <w:ind w:left="340"/>
              <w:spacing w:after="0"/>
              <w:rPr>
                <w:sz w:val="20"/>
                <w:szCs w:val="20"/>
                <w:color w:val="auto"/>
              </w:rPr>
            </w:pPr>
            <w:r>
              <w:rPr>
                <w:rFonts w:ascii="Arial" w:cs="Arial" w:eastAsia="Arial" w:hAnsi="Arial"/>
                <w:sz w:val="18"/>
                <w:szCs w:val="18"/>
                <w:color w:val="auto"/>
              </w:rPr>
              <w:t>3,877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Ivy Ross</w:t>
            </w:r>
          </w:p>
        </w:tc>
        <w:tc>
          <w:tcPr>
            <w:tcW w:w="1200" w:type="dxa"/>
            <w:vAlign w:val="bottom"/>
          </w:tcPr>
          <w:p>
            <w:pPr>
              <w:ind w:left="40"/>
              <w:spacing w:after="0"/>
              <w:rPr>
                <w:sz w:val="20"/>
                <w:szCs w:val="20"/>
                <w:color w:val="auto"/>
              </w:rPr>
            </w:pPr>
            <w:r>
              <w:rPr>
                <w:rFonts w:ascii="Arial" w:cs="Arial" w:eastAsia="Arial" w:hAnsi="Arial"/>
                <w:sz w:val="18"/>
                <w:szCs w:val="18"/>
                <w:color w:val="auto"/>
              </w:rPr>
              <w:t>40,538,423</w:t>
            </w:r>
          </w:p>
        </w:tc>
        <w:tc>
          <w:tcPr>
            <w:tcW w:w="1480" w:type="dxa"/>
            <w:vAlign w:val="bottom"/>
          </w:tcPr>
          <w:p>
            <w:pPr>
              <w:ind w:left="340"/>
              <w:spacing w:after="0"/>
              <w:rPr>
                <w:sz w:val="20"/>
                <w:szCs w:val="20"/>
                <w:color w:val="auto"/>
              </w:rPr>
            </w:pPr>
            <w:r>
              <w:rPr>
                <w:rFonts w:ascii="Arial" w:cs="Arial" w:eastAsia="Arial" w:hAnsi="Arial"/>
                <w:sz w:val="18"/>
                <w:szCs w:val="18"/>
                <w:color w:val="auto"/>
              </w:rPr>
              <w:t>278,577</w:t>
            </w:r>
          </w:p>
        </w:tc>
        <w:tc>
          <w:tcPr>
            <w:tcW w:w="1460" w:type="dxa"/>
            <w:vAlign w:val="bottom"/>
          </w:tcPr>
          <w:p>
            <w:pPr>
              <w:ind w:left="340"/>
              <w:spacing w:after="0"/>
              <w:rPr>
                <w:sz w:val="20"/>
                <w:szCs w:val="20"/>
                <w:color w:val="auto"/>
              </w:rPr>
            </w:pPr>
            <w:r>
              <w:rPr>
                <w:rFonts w:ascii="Arial" w:cs="Arial" w:eastAsia="Arial" w:hAnsi="Arial"/>
                <w:sz w:val="18"/>
                <w:szCs w:val="18"/>
                <w:color w:val="auto"/>
              </w:rPr>
              <w:t>3,877</w:t>
            </w:r>
          </w:p>
        </w:tc>
        <w:tc>
          <w:tcPr>
            <w:tcW w:w="1680" w:type="dxa"/>
            <w:vAlign w:val="bottom"/>
          </w:tcPr>
          <w:p>
            <w:pPr>
              <w:ind w:left="360"/>
              <w:spacing w:after="0"/>
              <w:rPr>
                <w:sz w:val="20"/>
                <w:szCs w:val="20"/>
                <w:color w:val="auto"/>
              </w:rPr>
            </w:pPr>
            <w:r>
              <w:rPr>
                <w:rFonts w:ascii="Arial" w:cs="Arial" w:eastAsia="Arial" w:hAnsi="Arial"/>
                <w:sz w:val="18"/>
                <w:szCs w:val="18"/>
                <w:color w:val="auto"/>
              </w:rPr>
              <w:t>5,221,467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2: Approval of the 2016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2016 Plan was approved based upon the following votes:</w:t>
      </w:r>
    </w:p>
    <w:p>
      <w:pPr>
        <w:sectPr>
          <w:pgSz w:w="11900" w:h="16838" w:orient="portrait"/>
          <w:cols w:equalWidth="0" w:num="1">
            <w:col w:w="11400"/>
          </w:cols>
          <w:pgMar w:left="240" w:top="328" w:right="259" w:bottom="1440" w:gutter="0" w:footer="0" w:header="0"/>
        </w:sectPr>
      </w:pPr>
    </w:p>
    <w:p>
      <w:pPr>
        <w:spacing w:after="0" w:line="213"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FOR</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32,760,037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348"/>
        <w:spacing w:after="0" w:line="277" w:lineRule="auto"/>
        <w:rPr>
          <w:sz w:val="20"/>
          <w:szCs w:val="20"/>
          <w:color w:val="auto"/>
        </w:rPr>
      </w:pPr>
      <w:r>
        <w:rPr>
          <w:rFonts w:ascii="Arial" w:cs="Arial" w:eastAsia="Arial" w:hAnsi="Arial"/>
          <w:sz w:val="18"/>
          <w:szCs w:val="18"/>
          <w:color w:val="auto"/>
        </w:rPr>
        <w:t>AGAINST 8,052,213</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ABSTAIN 8,626</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5,221,468</w:t>
      </w:r>
    </w:p>
    <w:p>
      <w:pPr>
        <w:spacing w:after="0" w:line="264" w:lineRule="exact"/>
        <w:rPr>
          <w:sz w:val="20"/>
          <w:szCs w:val="20"/>
          <w:color w:val="auto"/>
        </w:rPr>
      </w:pPr>
    </w:p>
    <w:p>
      <w:pPr>
        <w:sectPr>
          <w:pgSz w:w="11900" w:h="16838" w:orient="portrait"/>
          <w:cols w:equalWidth="0" w:num="4">
            <w:col w:w="2420" w:space="580"/>
            <w:col w:w="1140" w:space="340"/>
            <w:col w:w="1120" w:space="360"/>
            <w:col w:w="5440"/>
          </w:cols>
          <w:pgMar w:left="240" w:top="328" w:right="25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u w:val="single" w:color="auto"/>
          <w:color w:val="auto"/>
        </w:rPr>
        <w:t>Proposal 3: Advisory Vote on Compensation of Named Executive Officers.</w:t>
      </w:r>
    </w:p>
    <w:p>
      <w:pPr>
        <w:spacing w:after="0" w:line="20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ectPr>
          <w:pgSz w:w="11900" w:h="16838" w:orient="portrait"/>
          <w:cols w:equalWidth="0" w:num="1">
            <w:col w:w="11420"/>
          </w:cols>
          <w:pgMar w:left="240" w:top="334" w:right="239" w:bottom="1440" w:gutter="0" w:footer="0" w:header="0"/>
        </w:sectPr>
      </w:pPr>
    </w:p>
    <w:p>
      <w:pPr>
        <w:spacing w:after="0" w:line="180"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FOR</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36,126,409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firstLine="348"/>
        <w:spacing w:after="0" w:line="277" w:lineRule="auto"/>
        <w:rPr>
          <w:sz w:val="20"/>
          <w:szCs w:val="20"/>
          <w:color w:val="auto"/>
        </w:rPr>
      </w:pPr>
      <w:r>
        <w:rPr>
          <w:rFonts w:ascii="Arial" w:cs="Arial" w:eastAsia="Arial" w:hAnsi="Arial"/>
          <w:sz w:val="18"/>
          <w:szCs w:val="18"/>
          <w:color w:val="auto"/>
        </w:rPr>
        <w:t>AGAINST 4,675,878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ABSTAIN 18,590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5,221,467</w:t>
      </w:r>
    </w:p>
    <w:p>
      <w:pPr>
        <w:spacing w:after="0" w:line="203" w:lineRule="exact"/>
        <w:rPr>
          <w:sz w:val="20"/>
          <w:szCs w:val="20"/>
          <w:color w:val="auto"/>
        </w:rPr>
      </w:pPr>
    </w:p>
    <w:p>
      <w:pPr>
        <w:sectPr>
          <w:pgSz w:w="11900" w:h="16838" w:orient="portrait"/>
          <w:cols w:equalWidth="0" w:num="4">
            <w:col w:w="2420" w:space="580"/>
            <w:col w:w="1140" w:space="340"/>
            <w:col w:w="1120" w:space="360"/>
            <w:col w:w="5460"/>
          </w:cols>
          <w:pgMar w:left="240" w:top="334" w:right="239" w:bottom="1440" w:gutter="0" w:footer="0" w:header="0"/>
          <w:type w:val="continuous"/>
        </w:sectPr>
      </w:pPr>
    </w:p>
    <w:p>
      <w:pPr>
        <w:spacing w:after="0"/>
        <w:rPr>
          <w:sz w:val="20"/>
          <w:szCs w:val="20"/>
          <w:color w:val="auto"/>
        </w:rPr>
      </w:pPr>
      <w:r>
        <w:rPr>
          <w:rFonts w:ascii="Arial" w:cs="Arial" w:eastAsia="Arial" w:hAnsi="Arial"/>
          <w:sz w:val="22"/>
          <w:szCs w:val="22"/>
          <w:u w:val="single" w:color="auto"/>
          <w:color w:val="auto"/>
        </w:rPr>
        <w:t>Proposal 4: Ratification of Appointment of Independent Registered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appointment of KPMG LLP as the Company’s independent registered public accounting firm for fiscal year ending January 28,</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2017 was ratified based upon the following votes: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8"/>
                <w:szCs w:val="18"/>
                <w:color w:val="auto"/>
              </w:rPr>
              <w:t>FOR</w:t>
            </w:r>
          </w:p>
        </w:tc>
        <w:tc>
          <w:tcPr>
            <w:tcW w:w="1040" w:type="dxa"/>
            <w:vAlign w:val="bottom"/>
          </w:tcPr>
          <w:p>
            <w:pPr>
              <w:jc w:val="right"/>
              <w:spacing w:after="0"/>
              <w:rPr>
                <w:sz w:val="20"/>
                <w:szCs w:val="20"/>
                <w:color w:val="auto"/>
              </w:rPr>
            </w:pPr>
            <w:r>
              <w:rPr>
                <w:rFonts w:ascii="Arial" w:cs="Arial" w:eastAsia="Arial" w:hAnsi="Arial"/>
                <w:sz w:val="18"/>
                <w:szCs w:val="18"/>
                <w:color w:val="auto"/>
              </w:rPr>
              <w:t>AGAINST</w:t>
            </w:r>
          </w:p>
        </w:tc>
        <w:tc>
          <w:tcPr>
            <w:tcW w:w="6300" w:type="dxa"/>
            <w:vAlign w:val="bottom"/>
            <w:gridSpan w:val="3"/>
          </w:tcPr>
          <w:p>
            <w:pPr>
              <w:ind w:left="160"/>
              <w:spacing w:after="0"/>
              <w:rPr>
                <w:sz w:val="20"/>
                <w:szCs w:val="20"/>
                <w:color w:val="auto"/>
              </w:rPr>
            </w:pPr>
            <w:r>
              <w:rPr>
                <w:rFonts w:ascii="Arial" w:cs="Arial" w:eastAsia="Arial" w:hAnsi="Arial"/>
                <w:sz w:val="18"/>
                <w:szCs w:val="18"/>
                <w:color w:val="auto"/>
              </w:rPr>
              <w:t>ABSTAIN</w:t>
            </w:r>
          </w:p>
        </w:tc>
      </w:tr>
      <w:tr>
        <w:trPr>
          <w:trHeight w:val="230"/>
        </w:trPr>
        <w:tc>
          <w:tcPr>
            <w:tcW w:w="1920" w:type="dxa"/>
            <w:vAlign w:val="bottom"/>
            <w:gridSpan w:val="2"/>
          </w:tcPr>
          <w:p>
            <w:pPr>
              <w:jc w:val="right"/>
              <w:ind w:right="1"/>
              <w:spacing w:after="0"/>
              <w:rPr>
                <w:sz w:val="20"/>
                <w:szCs w:val="20"/>
                <w:color w:val="auto"/>
              </w:rPr>
            </w:pPr>
            <w:r>
              <w:rPr>
                <w:rFonts w:ascii="Arial" w:cs="Arial" w:eastAsia="Arial" w:hAnsi="Arial"/>
                <w:sz w:val="18"/>
                <w:szCs w:val="18"/>
                <w:color w:val="auto"/>
              </w:rPr>
              <w:t>45,893,286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146,148</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2,910</w:t>
            </w: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96"/>
        </w:trPr>
        <w:tc>
          <w:tcPr>
            <w:tcW w:w="9260" w:type="dxa"/>
            <w:vAlign w:val="bottom"/>
            <w:gridSpan w:val="6"/>
          </w:tcPr>
          <w:p>
            <w:pPr>
              <w:spacing w:after="0"/>
              <w:rPr>
                <w:sz w:val="20"/>
                <w:szCs w:val="20"/>
                <w:color w:val="auto"/>
              </w:rPr>
            </w:pPr>
            <w:r>
              <w:rPr>
                <w:rFonts w:ascii="Arial" w:cs="Arial" w:eastAsia="Arial" w:hAnsi="Arial"/>
                <w:sz w:val="22"/>
                <w:szCs w:val="22"/>
                <w:b w:val="1"/>
                <w:bCs w:val="1"/>
                <w:color w:val="auto"/>
              </w:rPr>
              <w:t>ITEM 9.01 FINANCIAL STATEMENTS AND EXHIBITS.</w:t>
            </w:r>
          </w:p>
        </w:tc>
      </w:tr>
      <w:tr>
        <w:trPr>
          <w:trHeight w:val="486"/>
        </w:trPr>
        <w:tc>
          <w:tcPr>
            <w:tcW w:w="960" w:type="dxa"/>
            <w:vAlign w:val="bottom"/>
          </w:tcPr>
          <w:p>
            <w:pPr>
              <w:spacing w:after="0"/>
              <w:rPr>
                <w:sz w:val="24"/>
                <w:szCs w:val="24"/>
                <w:color w:val="auto"/>
              </w:rPr>
            </w:pPr>
          </w:p>
        </w:tc>
        <w:tc>
          <w:tcPr>
            <w:tcW w:w="2000" w:type="dxa"/>
            <w:vAlign w:val="bottom"/>
            <w:gridSpan w:val="2"/>
          </w:tcPr>
          <w:p>
            <w:pPr>
              <w:jc w:val="right"/>
              <w:ind w:right="690"/>
              <w:spacing w:after="0"/>
              <w:rPr>
                <w:sz w:val="20"/>
                <w:szCs w:val="20"/>
                <w:color w:val="auto"/>
              </w:rPr>
            </w:pPr>
            <w:r>
              <w:rPr>
                <w:rFonts w:ascii="Arial" w:cs="Arial" w:eastAsia="Arial" w:hAnsi="Arial"/>
                <w:sz w:val="22"/>
                <w:szCs w:val="22"/>
                <w:color w:val="auto"/>
              </w:rPr>
              <w:t>(d) Exhibits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09"/>
        </w:trPr>
        <w:tc>
          <w:tcPr>
            <w:tcW w:w="192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90"/>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w w:val="90"/>
              </w:rPr>
              <w:t>Destination XL Group, Inc.’s 2016 Incentive Compensation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8,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328"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9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20" w:type="dxa"/>
            <w:vAlign w:val="bottom"/>
          </w:tcPr>
          <w:p>
            <w:pPr>
              <w:ind w:left="420"/>
              <w:spacing w:after="0"/>
              <w:rPr>
                <w:sz w:val="20"/>
                <w:szCs w:val="20"/>
                <w:color w:val="auto"/>
              </w:rPr>
            </w:pPr>
            <w:r>
              <w:rPr>
                <w:rFonts w:ascii="Arial" w:cs="Arial" w:eastAsia="Arial" w:hAnsi="Arial"/>
                <w:sz w:val="22"/>
                <w:szCs w:val="22"/>
                <w:color w:val="auto"/>
              </w:rPr>
              <w:t>Exhibit Listing</w:t>
            </w:r>
          </w:p>
        </w:tc>
      </w:tr>
      <w:tr>
        <w:trPr>
          <w:trHeight w:val="625"/>
        </w:trPr>
        <w:tc>
          <w:tcPr>
            <w:tcW w:w="36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62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90"/>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268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color w:val="auto"/>
                <w:w w:val="90"/>
              </w:rPr>
              <w:t>Destination XL Group, Inc.’s 2016 Incentive Compensation Plan</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33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2080"/>
        <w:spacing w:after="0"/>
        <w:rPr>
          <w:sz w:val="20"/>
          <w:szCs w:val="20"/>
          <w:color w:val="auto"/>
        </w:rPr>
      </w:pPr>
      <w:r>
        <w:rPr>
          <w:rFonts w:ascii="Arial" w:cs="Arial" w:eastAsia="Arial" w:hAnsi="Arial"/>
          <w:sz w:val="25"/>
          <w:szCs w:val="25"/>
          <w:b w:val="1"/>
          <w:bCs w:val="1"/>
          <w:color w:val="auto"/>
        </w:rPr>
        <w:t>2016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847725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0" w:type="dxa"/>
            <w:vAlign w:val="bottom"/>
          </w:tcPr>
          <w:p>
            <w:pPr>
              <w:jc w:val="right"/>
              <w:ind w:right="4027"/>
              <w:spacing w:after="0"/>
              <w:rPr>
                <w:sz w:val="20"/>
                <w:szCs w:val="20"/>
                <w:color w:val="auto"/>
              </w:rPr>
            </w:pPr>
            <w:r>
              <w:rPr>
                <w:rFonts w:ascii="Arial" w:cs="Arial" w:eastAsia="Arial" w:hAnsi="Arial"/>
                <w:sz w:val="22"/>
                <w:szCs w:val="22"/>
                <w:b w:val="1"/>
                <w:bCs w:val="1"/>
                <w:color w:val="auto"/>
              </w:rPr>
              <w:t>DESTINATION XL GROUP, INC.</w:t>
            </w:r>
          </w:p>
        </w:tc>
      </w:tr>
      <w:tr>
        <w:trPr>
          <w:trHeight w:val="281"/>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jc w:val="right"/>
              <w:ind w:right="3547"/>
              <w:spacing w:after="0"/>
              <w:rPr>
                <w:sz w:val="20"/>
                <w:szCs w:val="20"/>
                <w:color w:val="auto"/>
              </w:rPr>
            </w:pPr>
            <w:r>
              <w:rPr>
                <w:rFonts w:ascii="Arial" w:cs="Arial" w:eastAsia="Arial" w:hAnsi="Arial"/>
                <w:sz w:val="22"/>
                <w:szCs w:val="22"/>
                <w:b w:val="1"/>
                <w:bCs w:val="1"/>
                <w:color w:val="auto"/>
              </w:rPr>
              <w:t>2016 INCENTIVE COMPENSATION PLAN</w:t>
            </w:r>
          </w:p>
        </w:tc>
      </w:tr>
      <w:tr>
        <w:trPr>
          <w:trHeight w:val="409"/>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8">
              <w:r>
                <w:rPr>
                  <w:rFonts w:ascii="Arial" w:cs="Arial" w:eastAsia="Arial" w:hAnsi="Arial"/>
                  <w:sz w:val="18"/>
                  <w:szCs w:val="18"/>
                  <w:color w:val="0000EE"/>
                  <w:w w:val="83"/>
                </w:rPr>
                <w:t>Purpose</w:t>
              </w:r>
            </w:hyperlink>
          </w:p>
        </w:tc>
        <w:tc>
          <w:tcPr>
            <w:tcW w:w="2520" w:type="dxa"/>
            <w:vAlign w:val="bottom"/>
            <w:gridSpan w:val="11"/>
          </w:tcPr>
          <w:p>
            <w:pPr>
              <w:spacing w:after="0"/>
              <w:rPr>
                <w:sz w:val="24"/>
                <w:szCs w:val="24"/>
                <w:color w:val="auto"/>
              </w:rPr>
            </w:pPr>
          </w:p>
        </w:tc>
        <w:tc>
          <w:tcPr>
            <w:tcW w:w="8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310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Definitions</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3100" w:type="dxa"/>
            <w:vAlign w:val="bottom"/>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Administration</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3100" w:type="dxa"/>
            <w:vAlign w:val="bottom"/>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Shares Subject to Plan</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310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Eligibility; Per-Participation Limitations</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Award Vesting Limitations</w:t>
              </w:r>
            </w:hyperlink>
          </w:p>
        </w:tc>
        <w:tc>
          <w:tcPr>
            <w:tcW w:w="200" w:type="dxa"/>
            <w:vAlign w:val="bottom"/>
            <w:gridSpan w:val="2"/>
          </w:tcPr>
          <w:p>
            <w:pPr>
              <w:spacing w:after="0"/>
              <w:rPr>
                <w:sz w:val="17"/>
                <w:szCs w:val="17"/>
                <w:color w:val="auto"/>
              </w:rPr>
            </w:pPr>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Specific Terms of Awards</w:t>
              </w:r>
            </w:hyperlink>
          </w:p>
        </w:tc>
        <w:tc>
          <w:tcPr>
            <w:tcW w:w="60" w:type="dxa"/>
            <w:vAlign w:val="bottom"/>
            <w:tcBorders>
              <w:top w:val="single" w:sz="8" w:color="0000EE"/>
            </w:tcBorders>
          </w:tcPr>
          <w:p>
            <w:pPr>
              <w:spacing w:after="0"/>
              <w:rPr>
                <w:sz w:val="17"/>
                <w:szCs w:val="17"/>
                <w:color w:val="auto"/>
              </w:rPr>
            </w:pPr>
          </w:p>
        </w:tc>
        <w:tc>
          <w:tcPr>
            <w:tcW w:w="1180" w:type="dxa"/>
            <w:vAlign w:val="bottom"/>
            <w:gridSpan w:val="4"/>
          </w:tcPr>
          <w:p>
            <w:pPr>
              <w:spacing w:after="0"/>
              <w:rPr>
                <w:sz w:val="17"/>
                <w:szCs w:val="17"/>
                <w:color w:val="auto"/>
              </w:rPr>
            </w:pPr>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Certain Provisions Applicable to Awards</w:t>
              </w:r>
            </w:hyperlink>
          </w:p>
        </w:tc>
        <w:tc>
          <w:tcPr>
            <w:tcW w:w="160" w:type="dxa"/>
            <w:vAlign w:val="bottom"/>
          </w:tcPr>
          <w:p>
            <w:pPr>
              <w:spacing w:after="0"/>
              <w:rPr>
                <w:sz w:val="17"/>
                <w:szCs w:val="17"/>
                <w:color w:val="auto"/>
              </w:rPr>
            </w:pPr>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Code Section 162(m) Provisions</w:t>
              </w:r>
            </w:hyperlink>
          </w:p>
        </w:tc>
        <w:tc>
          <w:tcPr>
            <w:tcW w:w="760" w:type="dxa"/>
            <w:vAlign w:val="bottom"/>
            <w:gridSpan w:val="3"/>
          </w:tcPr>
          <w:p>
            <w:pPr>
              <w:spacing w:after="0"/>
              <w:rPr>
                <w:sz w:val="17"/>
                <w:szCs w:val="17"/>
                <w:color w:val="auto"/>
              </w:rPr>
            </w:pPr>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310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Change in Control</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310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General Provisions</w:t>
              </w:r>
            </w:hyperlink>
          </w:p>
        </w:tc>
        <w:tc>
          <w:tcPr>
            <w:tcW w:w="8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743"/>
        </w:trPr>
        <w:tc>
          <w:tcPr>
            <w:tcW w:w="34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7" w:name="page8"/>
    <w:bookmarkEnd w:id="7"/>
    <w:p>
      <w:pPr>
        <w:ind w:left="410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2016 INCENTIVE COMPENSATION PLAN</w:t>
      </w:r>
    </w:p>
    <w:p>
      <w:pPr>
        <w:spacing w:after="0" w:line="195" w:lineRule="exact"/>
        <w:rPr>
          <w:sz w:val="20"/>
          <w:szCs w:val="20"/>
          <w:color w:val="auto"/>
        </w:rPr>
      </w:pPr>
    </w:p>
    <w:p>
      <w:pPr>
        <w:jc w:val="both"/>
        <w:ind w:firstLine="785"/>
        <w:spacing w:after="0" w:line="293" w:lineRule="auto"/>
        <w:tabs>
          <w:tab w:leader="none" w:pos="15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 assist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w:t>
      </w:r>
    </w:p>
    <w:p>
      <w:pPr>
        <w:spacing w:after="0" w:line="164" w:lineRule="exact"/>
        <w:rPr>
          <w:rFonts w:ascii="Arial" w:cs="Arial" w:eastAsia="Arial" w:hAnsi="Arial"/>
          <w:sz w:val="16"/>
          <w:szCs w:val="16"/>
          <w:color w:val="auto"/>
        </w:rPr>
      </w:pPr>
    </w:p>
    <w:p>
      <w:pPr>
        <w:ind w:firstLine="785"/>
        <w:spacing w:after="0" w:line="277" w:lineRule="auto"/>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0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1" w:lineRule="exact"/>
        <w:rPr>
          <w:rFonts w:ascii="Arial" w:cs="Arial" w:eastAsia="Arial" w:hAnsi="Arial"/>
          <w:sz w:val="18"/>
          <w:szCs w:val="18"/>
          <w:color w:val="auto"/>
        </w:rPr>
      </w:pPr>
    </w:p>
    <w:p>
      <w:pPr>
        <w:ind w:left="2420" w:hanging="859"/>
        <w:spacing w:after="0"/>
        <w:tabs>
          <w:tab w:leader="none" w:pos="2420"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Committee hereunder.</w:t>
      </w:r>
    </w:p>
    <w:p>
      <w:pPr>
        <w:spacing w:after="0" w:line="210" w:lineRule="exact"/>
        <w:rPr>
          <w:rFonts w:ascii="Arial" w:cs="Arial" w:eastAsia="Arial" w:hAnsi="Arial"/>
          <w:sz w:val="16"/>
          <w:szCs w:val="16"/>
          <w:color w:val="auto"/>
        </w:rPr>
      </w:pPr>
    </w:p>
    <w:p>
      <w:pPr>
        <w:jc w:val="both"/>
        <w:ind w:firstLine="1561"/>
        <w:spacing w:after="0" w:line="259" w:lineRule="auto"/>
        <w:tabs>
          <w:tab w:leader="none" w:pos="240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86" w:lineRule="exact"/>
        <w:rPr>
          <w:rFonts w:ascii="Arial" w:cs="Arial" w:eastAsia="Arial" w:hAnsi="Arial"/>
          <w:sz w:val="18"/>
          <w:szCs w:val="18"/>
          <w:color w:val="auto"/>
        </w:rPr>
      </w:pPr>
    </w:p>
    <w:p>
      <w:pPr>
        <w:ind w:left="2420" w:hanging="859"/>
        <w:spacing w:after="0" w:line="184" w:lineRule="exact"/>
        <w:tabs>
          <w:tab w:leader="none" w:pos="2420"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w:t>
      </w:r>
      <w:r>
        <w:rPr>
          <w:rFonts w:ascii="MS PGothic" w:cs="MS PGothic" w:eastAsia="MS PGothic" w:hAnsi="MS PGothic"/>
          <w:sz w:val="16"/>
          <w:szCs w:val="16"/>
          <w:color w:val="auto"/>
        </w:rPr>
        <w:t>‑</w:t>
      </w:r>
      <w:r>
        <w:rPr>
          <w:rFonts w:ascii="Arial" w:cs="Arial" w:eastAsia="Arial" w:hAnsi="Arial"/>
          <w:sz w:val="16"/>
          <w:szCs w:val="16"/>
          <w:color w:val="auto"/>
        </w:rPr>
        <w:t>3 under the Exchange Act and any successor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Rule.</w:t>
      </w:r>
    </w:p>
    <w:p>
      <w:pPr>
        <w:spacing w:after="0" w:line="210" w:lineRule="exact"/>
        <w:rPr>
          <w:rFonts w:ascii="Arial" w:cs="Arial" w:eastAsia="Arial" w:hAnsi="Arial"/>
          <w:sz w:val="16"/>
          <w:szCs w:val="16"/>
          <w:color w:val="auto"/>
        </w:rPr>
      </w:pPr>
    </w:p>
    <w:p>
      <w:pPr>
        <w:ind w:left="2400" w:hanging="839"/>
        <w:spacing w:after="0"/>
        <w:tabs>
          <w:tab w:leader="none" w:pos="2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80" w:hanging="819"/>
        <w:spacing w:after="0"/>
        <w:tabs>
          <w:tab w:leader="none" w:pos="2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firstLine="1561"/>
        <w:spacing w:after="0" w:line="277" w:lineRule="auto"/>
        <w:tabs>
          <w:tab w:leader="none" w:pos="241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jc w:val="both"/>
        <w:ind w:firstLine="1561"/>
        <w:spacing w:after="0" w:line="255" w:lineRule="auto"/>
        <w:tabs>
          <w:tab w:leader="none" w:pos="241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89" w:lineRule="exact"/>
        <w:rPr>
          <w:rFonts w:ascii="Arial" w:cs="Arial" w:eastAsia="Arial" w:hAnsi="Arial"/>
          <w:sz w:val="18"/>
          <w:szCs w:val="18"/>
          <w:color w:val="auto"/>
        </w:rPr>
      </w:pPr>
    </w:p>
    <w:p>
      <w:pPr>
        <w:jc w:val="both"/>
        <w:ind w:firstLine="1561"/>
        <w:spacing w:after="0" w:line="264" w:lineRule="auto"/>
        <w:tabs>
          <w:tab w:leader="none" w:pos="237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1" w:lineRule="exact"/>
        <w:rPr>
          <w:rFonts w:ascii="Arial" w:cs="Arial" w:eastAsia="Arial" w:hAnsi="Arial"/>
          <w:sz w:val="18"/>
          <w:szCs w:val="18"/>
          <w:color w:val="auto"/>
        </w:rPr>
      </w:pPr>
    </w:p>
    <w:p>
      <w:pPr>
        <w:jc w:val="both"/>
        <w:ind w:firstLine="1561"/>
        <w:spacing w:after="0" w:line="255" w:lineRule="auto"/>
        <w:tabs>
          <w:tab w:leader="none" w:pos="2371"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 w:name="page9"/>
    <w:bookmarkEnd w:id="8"/>
    <w:p>
      <w:pPr>
        <w:ind w:right="20" w:firstLine="1561"/>
        <w:spacing w:after="0" w:line="277" w:lineRule="auto"/>
        <w:tabs>
          <w:tab w:leader="none" w:pos="241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37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1" w:lineRule="exact"/>
        <w:rPr>
          <w:rFonts w:ascii="Arial" w:cs="Arial" w:eastAsia="Arial" w:hAnsi="Arial"/>
          <w:sz w:val="18"/>
          <w:szCs w:val="18"/>
          <w:color w:val="auto"/>
        </w:rPr>
      </w:pPr>
    </w:p>
    <w:p>
      <w:pPr>
        <w:ind w:left="2460" w:hanging="899"/>
        <w:spacing w:after="0"/>
        <w:tabs>
          <w:tab w:leader="none" w:pos="2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left="2420" w:hanging="859"/>
        <w:spacing w:after="0"/>
        <w:tabs>
          <w:tab w:leader="none" w:pos="2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firstLine="1561"/>
        <w:spacing w:after="0" w:line="277" w:lineRule="auto"/>
        <w:tabs>
          <w:tab w:leader="none" w:pos="241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0" w:firstLine="1561"/>
        <w:spacing w:after="0" w:line="308" w:lineRule="auto"/>
        <w:tabs>
          <w:tab w:leader="none" w:pos="2411"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20" w:hanging="859"/>
        <w:spacing w:after="0"/>
        <w:tabs>
          <w:tab w:leader="none" w:pos="2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38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89" w:lineRule="exact"/>
        <w:rPr>
          <w:rFonts w:ascii="Arial" w:cs="Arial" w:eastAsia="Arial" w:hAnsi="Arial"/>
          <w:sz w:val="18"/>
          <w:szCs w:val="18"/>
          <w:color w:val="auto"/>
        </w:rPr>
      </w:pPr>
    </w:p>
    <w:p>
      <w:pPr>
        <w:jc w:val="both"/>
        <w:ind w:firstLine="1561"/>
        <w:spacing w:after="0" w:line="259" w:lineRule="auto"/>
        <w:tabs>
          <w:tab w:leader="none" w:pos="2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firstLine="1561"/>
        <w:spacing w:after="0" w:line="277" w:lineRule="auto"/>
        <w:tabs>
          <w:tab w:leader="none" w:pos="237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jc w:val="both"/>
        <w:ind w:firstLine="1561"/>
        <w:spacing w:after="0" w:line="257" w:lineRule="auto"/>
        <w:tabs>
          <w:tab w:leader="none" w:pos="241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8" w:lineRule="exact"/>
        <w:rPr>
          <w:rFonts w:ascii="Arial" w:cs="Arial" w:eastAsia="Arial" w:hAnsi="Arial"/>
          <w:sz w:val="18"/>
          <w:szCs w:val="18"/>
          <w:color w:val="auto"/>
        </w:rPr>
      </w:pPr>
    </w:p>
    <w:p>
      <w:pPr>
        <w:ind w:left="2420" w:hanging="859"/>
        <w:spacing w:after="0"/>
        <w:tabs>
          <w:tab w:leader="none" w:pos="2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 Value Award</w:t>
      </w:r>
      <w:r>
        <w:rPr>
          <w:rFonts w:ascii="Arial" w:cs="Arial" w:eastAsia="Arial" w:hAnsi="Arial"/>
          <w:sz w:val="17"/>
          <w:szCs w:val="17"/>
          <w:color w:val="auto"/>
        </w:rPr>
        <w:t>” means any Award other than an option or a Stock Appreciation Right and that is settled in Shares.</w:t>
      </w:r>
    </w:p>
    <w:p>
      <w:pPr>
        <w:spacing w:after="0" w:line="236" w:lineRule="exact"/>
        <w:rPr>
          <w:rFonts w:ascii="Arial" w:cs="Arial" w:eastAsia="Arial" w:hAnsi="Arial"/>
          <w:sz w:val="17"/>
          <w:szCs w:val="17"/>
          <w:color w:val="auto"/>
        </w:rPr>
      </w:pPr>
    </w:p>
    <w:p>
      <w:pPr>
        <w:jc w:val="both"/>
        <w:ind w:firstLine="1561"/>
        <w:spacing w:after="0" w:line="269" w:lineRule="auto"/>
        <w:tabs>
          <w:tab w:leader="none" w:pos="2451"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93" w:lineRule="exact"/>
        <w:rPr>
          <w:sz w:val="20"/>
          <w:szCs w:val="20"/>
          <w:color w:val="auto"/>
        </w:rPr>
      </w:pPr>
    </w:p>
    <w:p>
      <w:pPr>
        <w:ind w:firstLine="1561"/>
        <w:spacing w:after="0" w:line="277" w:lineRule="auto"/>
        <w:tabs>
          <w:tab w:leader="none" w:pos="2411"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11"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1" w:lineRule="exact"/>
        <w:rPr>
          <w:rFonts w:ascii="Arial" w:cs="Arial" w:eastAsia="Arial" w:hAnsi="Arial"/>
          <w:sz w:val="18"/>
          <w:szCs w:val="18"/>
          <w:color w:val="auto"/>
        </w:rPr>
      </w:pPr>
    </w:p>
    <w:p>
      <w:pPr>
        <w:ind w:left="2400" w:hanging="839"/>
        <w:spacing w:after="0"/>
        <w:tabs>
          <w:tab w:leader="none" w:pos="2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jc w:val="both"/>
        <w:ind w:firstLine="1561"/>
        <w:spacing w:after="0" w:line="288" w:lineRule="auto"/>
        <w:tabs>
          <w:tab w:leader="none" w:pos="2481"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Justifiable Cause</w:t>
      </w:r>
      <w:r>
        <w:rPr>
          <w:rFonts w:ascii="Arial" w:cs="Arial" w:eastAsia="Arial" w:hAnsi="Arial"/>
          <w:sz w:val="16"/>
          <w:szCs w:val="16"/>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69" w:lineRule="exact"/>
        <w:rPr>
          <w:rFonts w:ascii="Arial" w:cs="Arial" w:eastAsia="Arial" w:hAnsi="Arial"/>
          <w:sz w:val="16"/>
          <w:szCs w:val="16"/>
          <w:color w:val="auto"/>
        </w:rPr>
      </w:pPr>
    </w:p>
    <w:p>
      <w:pPr>
        <w:ind w:right="20" w:firstLine="1561"/>
        <w:spacing w:after="0" w:line="342" w:lineRule="auto"/>
        <w:tabs>
          <w:tab w:leader="none" w:pos="2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firstLine="1561"/>
        <w:spacing w:after="0" w:line="277" w:lineRule="auto"/>
        <w:tabs>
          <w:tab w:leader="none" w:pos="2481"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under this Plan.</w:t>
      </w:r>
    </w:p>
    <w:p>
      <w:pPr>
        <w:spacing w:after="0" w:line="210" w:lineRule="exact"/>
        <w:rPr>
          <w:rFonts w:ascii="Arial" w:cs="Arial" w:eastAsia="Arial" w:hAnsi="Arial"/>
          <w:sz w:val="16"/>
          <w:szCs w:val="16"/>
          <w:color w:val="auto"/>
        </w:rPr>
      </w:pPr>
    </w:p>
    <w:p>
      <w:pPr>
        <w:ind w:left="2480" w:hanging="919"/>
        <w:spacing w:after="0"/>
        <w:tabs>
          <w:tab w:leader="none" w:pos="2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firstLine="1561"/>
        <w:spacing w:after="0" w:line="277" w:lineRule="auto"/>
        <w:tabs>
          <w:tab w:leader="none" w:pos="243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7(h).</w:t>
      </w:r>
    </w:p>
    <w:p>
      <w:pPr>
        <w:spacing w:after="0" w:line="248" w:lineRule="exact"/>
        <w:rPr>
          <w:rFonts w:ascii="Arial" w:cs="Arial" w:eastAsia="Arial" w:hAnsi="Arial"/>
          <w:sz w:val="16"/>
          <w:szCs w:val="16"/>
          <w:color w:val="auto"/>
        </w:rPr>
      </w:pPr>
    </w:p>
    <w:p>
      <w:pPr>
        <w:ind w:firstLine="1561"/>
        <w:spacing w:after="0" w:line="308" w:lineRule="auto"/>
        <w:tabs>
          <w:tab w:leader="none" w:pos="2501"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firstLine="1561"/>
        <w:spacing w:after="0" w:line="259" w:lineRule="auto"/>
        <w:tabs>
          <w:tab w:leader="none" w:pos="2421"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firstLine="1561"/>
        <w:spacing w:after="0" w:line="277" w:lineRule="auto"/>
        <w:tabs>
          <w:tab w:leader="none" w:pos="2421"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Committee shall determine, including cash, Shares, other property, or any combination thereof, upon achievement of such performance goals during the Performance Period as the Committee shall establish at the time of such grant or thereafter.</w:t>
      </w:r>
    </w:p>
    <w:p>
      <w:pPr>
        <w:spacing w:after="0" w:line="170" w:lineRule="exact"/>
        <w:rPr>
          <w:sz w:val="20"/>
          <w:szCs w:val="20"/>
          <w:color w:val="auto"/>
        </w:rPr>
      </w:pPr>
    </w:p>
    <w:p>
      <w:pPr>
        <w:ind w:firstLine="1561"/>
        <w:spacing w:after="0" w:line="277" w:lineRule="auto"/>
        <w:tabs>
          <w:tab w:leader="none" w:pos="250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20" w:hanging="859"/>
        <w:spacing w:after="0"/>
        <w:tabs>
          <w:tab w:leader="none" w:pos="2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jc w:val="both"/>
        <w:ind w:firstLine="1561"/>
        <w:spacing w:after="0" w:line="257" w:lineRule="auto"/>
        <w:tabs>
          <w:tab w:leader="none" w:pos="260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8" w:lineRule="exact"/>
        <w:rPr>
          <w:rFonts w:ascii="Arial" w:cs="Arial" w:eastAsia="Arial" w:hAnsi="Arial"/>
          <w:sz w:val="18"/>
          <w:szCs w:val="18"/>
          <w:color w:val="auto"/>
        </w:rPr>
      </w:pPr>
    </w:p>
    <w:p>
      <w:pPr>
        <w:jc w:val="both"/>
        <w:ind w:firstLine="1561"/>
        <w:spacing w:after="0" w:line="286" w:lineRule="auto"/>
        <w:tabs>
          <w:tab w:leader="none" w:pos="2501"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500" w:hanging="939"/>
        <w:spacing w:after="0"/>
        <w:tabs>
          <w:tab w:leader="none" w:pos="25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20" w:firstLine="1561"/>
        <w:spacing w:after="0" w:line="277" w:lineRule="auto"/>
        <w:tabs>
          <w:tab w:leader="none" w:pos="250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 Award</w:t>
      </w:r>
      <w:r>
        <w:rPr>
          <w:rFonts w:ascii="Arial" w:cs="Arial" w:eastAsia="Arial" w:hAnsi="Arial"/>
          <w:sz w:val="17"/>
          <w:szCs w:val="17"/>
          <w:color w:val="auto"/>
        </w:rPr>
        <w:t>” means an Award of Restricted Stock Unit granted to a Participant under Section 7(e)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10" w:lineRule="exact"/>
        <w:rPr>
          <w:rFonts w:ascii="Arial" w:cs="Arial" w:eastAsia="Arial" w:hAnsi="Arial"/>
          <w:sz w:val="17"/>
          <w:szCs w:val="17"/>
          <w:color w:val="auto"/>
        </w:rPr>
      </w:pPr>
    </w:p>
    <w:p>
      <w:pPr>
        <w:ind w:firstLine="1561"/>
        <w:spacing w:after="0" w:line="277" w:lineRule="auto"/>
        <w:tabs>
          <w:tab w:leader="none" w:pos="244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6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1" w:lineRule="exact"/>
        <w:rPr>
          <w:rFonts w:ascii="Arial" w:cs="Arial" w:eastAsia="Arial" w:hAnsi="Arial"/>
          <w:sz w:val="18"/>
          <w:szCs w:val="18"/>
          <w:color w:val="auto"/>
        </w:rPr>
      </w:pPr>
    </w:p>
    <w:p>
      <w:pPr>
        <w:ind w:firstLine="1561"/>
        <w:spacing w:after="0" w:line="277" w:lineRule="auto"/>
        <w:tabs>
          <w:tab w:leader="none" w:pos="242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firstLine="1561"/>
        <w:spacing w:after="0" w:line="259" w:lineRule="auto"/>
        <w:tabs>
          <w:tab w:leader="none" w:pos="250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jc w:val="both"/>
        <w:ind w:right="20" w:firstLine="1561"/>
        <w:spacing w:after="0" w:line="264" w:lineRule="auto"/>
        <w:tabs>
          <w:tab w:leader="none" w:pos="2581"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1" w:lineRule="exact"/>
        <w:rPr>
          <w:rFonts w:ascii="Arial" w:cs="Arial" w:eastAsia="Arial" w:hAnsi="Arial"/>
          <w:sz w:val="18"/>
          <w:szCs w:val="18"/>
          <w:color w:val="auto"/>
        </w:rPr>
      </w:pPr>
    </w:p>
    <w:p>
      <w:pPr>
        <w:ind w:left="1560" w:hanging="775"/>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401"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of the Committee</w:t>
      </w:r>
      <w:r>
        <w:rPr>
          <w:rFonts w:ascii="Arial" w:cs="Arial" w:eastAsia="Arial" w:hAnsi="Arial"/>
          <w:sz w:val="18"/>
          <w:szCs w:val="18"/>
          <w:color w:val="auto"/>
        </w:rPr>
        <w:t>. The Plan shall be administered by the Committee, except to the extent the Board elects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8" w:lineRule="exact"/>
        <w:rPr>
          <w:sz w:val="20"/>
          <w:szCs w:val="20"/>
          <w:color w:val="auto"/>
        </w:rPr>
      </w:pPr>
    </w:p>
    <w:p>
      <w:pPr>
        <w:jc w:val="both"/>
        <w:ind w:firstLine="1561"/>
        <w:spacing w:after="0" w:line="268" w:lineRule="auto"/>
        <w:tabs>
          <w:tab w:leader="none" w:pos="2411" w:val="left"/>
        </w:tabs>
        <w:numPr>
          <w:ilvl w:val="1"/>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7" w:lineRule="exact"/>
        <w:rPr>
          <w:rFonts w:ascii="Arial" w:cs="Arial" w:eastAsia="Arial" w:hAnsi="Arial"/>
          <w:sz w:val="17"/>
          <w:szCs w:val="17"/>
          <w:color w:val="auto"/>
        </w:rPr>
      </w:pPr>
    </w:p>
    <w:p>
      <w:pPr>
        <w:jc w:val="both"/>
        <w:ind w:firstLine="1561"/>
        <w:spacing w:after="0" w:line="276" w:lineRule="auto"/>
        <w:tabs>
          <w:tab w:leader="none" w:pos="2401" w:val="left"/>
        </w:tabs>
        <w:numPr>
          <w:ilvl w:val="1"/>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of Liability</w:t>
      </w:r>
      <w:r>
        <w:rPr>
          <w:rFonts w:ascii="Arial" w:cs="Arial" w:eastAsia="Arial" w:hAnsi="Arial"/>
          <w:sz w:val="17"/>
          <w:szCs w:val="17"/>
          <w:color w:val="auto"/>
        </w:rPr>
        <w:t>. The Committee and the Board, and each member thereof, shall be entitled to, in good faith, rely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2" w:lineRule="exact"/>
        <w:rPr>
          <w:rFonts w:ascii="Arial" w:cs="Arial" w:eastAsia="Arial" w:hAnsi="Arial"/>
          <w:sz w:val="17"/>
          <w:szCs w:val="17"/>
          <w:color w:val="auto"/>
        </w:rPr>
      </w:pPr>
    </w:p>
    <w:p>
      <w:pPr>
        <w:ind w:left="1560" w:hanging="77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401"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11(c) hereof, the aggregate number of Shares reserved and available for delivery under the Plan shall be equal to the sum of (i) 5,200,000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89" w:lineRule="exact"/>
        <w:rPr>
          <w:rFonts w:ascii="Arial" w:cs="Arial" w:eastAsia="Arial" w:hAnsi="Arial"/>
          <w:sz w:val="18"/>
          <w:szCs w:val="18"/>
          <w:color w:val="auto"/>
        </w:rPr>
      </w:pPr>
    </w:p>
    <w:p>
      <w:pPr>
        <w:jc w:val="both"/>
        <w:ind w:firstLine="1561"/>
        <w:spacing w:after="0" w:line="257" w:lineRule="auto"/>
        <w:tabs>
          <w:tab w:leader="none" w:pos="2411"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2400" w:hanging="839"/>
        <w:spacing w:after="0"/>
        <w:tabs>
          <w:tab w:leader="none" w:pos="240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55" w:lineRule="auto"/>
        <w:tabs>
          <w:tab w:leader="none" w:pos="3148"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89" w:lineRule="exact"/>
        <w:rPr>
          <w:rFonts w:ascii="Arial" w:cs="Arial" w:eastAsia="Arial" w:hAnsi="Arial"/>
          <w:sz w:val="18"/>
          <w:szCs w:val="18"/>
          <w:color w:val="auto"/>
        </w:rPr>
      </w:pPr>
    </w:p>
    <w:p>
      <w:pPr>
        <w:ind w:right="20" w:firstLine="2338"/>
        <w:spacing w:after="0" w:line="277" w:lineRule="auto"/>
        <w:tabs>
          <w:tab w:leader="none" w:pos="3198" w:val="left"/>
        </w:tabs>
        <w:numPr>
          <w:ilvl w:val="2"/>
          <w:numId w:val="9"/>
        </w:numPr>
        <w:rPr>
          <w:rFonts w:ascii="Arial" w:cs="Arial" w:eastAsia="Arial" w:hAnsi="Arial"/>
          <w:sz w:val="18"/>
          <w:szCs w:val="18"/>
          <w:color w:val="auto"/>
        </w:rPr>
      </w:pPr>
      <w:r>
        <w:rPr>
          <w:rFonts w:ascii="Arial" w:cs="Arial" w:eastAsia="Arial" w:hAnsi="Arial"/>
          <w:sz w:val="18"/>
          <w:szCs w:val="18"/>
          <w:color w:val="auto"/>
        </w:rPr>
        <w:t>Awards that are settled or exercised through the payment of Shares shall be counted against the number of Shares available for award under the Plan in accordance with Section 4(a) hereof, regardless of the number of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actually issued upon settlement or exercise of any such Award. Awards that are settled in cash shall not be counted against the number of Shares available for Award under this Plan.</w:t>
      </w:r>
    </w:p>
    <w:p>
      <w:pPr>
        <w:spacing w:after="0" w:line="170" w:lineRule="exact"/>
        <w:rPr>
          <w:sz w:val="20"/>
          <w:szCs w:val="20"/>
          <w:color w:val="auto"/>
        </w:rPr>
      </w:pPr>
    </w:p>
    <w:p>
      <w:pPr>
        <w:jc w:val="both"/>
        <w:ind w:firstLine="2338"/>
        <w:spacing w:after="0" w:line="289" w:lineRule="auto"/>
        <w:tabs>
          <w:tab w:leader="none" w:pos="3248" w:val="left"/>
        </w:tabs>
        <w:numPr>
          <w:ilvl w:val="2"/>
          <w:numId w:val="10"/>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66" w:lineRule="exact"/>
        <w:rPr>
          <w:rFonts w:ascii="Arial" w:cs="Arial" w:eastAsia="Arial" w:hAnsi="Arial"/>
          <w:sz w:val="16"/>
          <w:szCs w:val="16"/>
          <w:color w:val="auto"/>
        </w:rPr>
      </w:pPr>
    </w:p>
    <w:p>
      <w:pPr>
        <w:jc w:val="both"/>
        <w:ind w:firstLine="2338"/>
        <w:spacing w:after="0" w:line="259" w:lineRule="auto"/>
        <w:tabs>
          <w:tab w:leader="none" w:pos="3238"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11(c) hereof, the maximum aggregate number of Shares that may be delivered under the Plan as a result of the exercise of the Incentive Stock Options shall be 5,200,000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jc w:val="both"/>
        <w:ind w:firstLine="2338"/>
        <w:spacing w:after="0" w:line="259" w:lineRule="auto"/>
        <w:tabs>
          <w:tab w:leader="none" w:pos="3188"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420" w:hanging="859"/>
        <w:spacing w:after="0"/>
        <w:tabs>
          <w:tab w:leader="none" w:pos="2420" w:val="left"/>
        </w:tabs>
        <w:numPr>
          <w:ilvl w:val="1"/>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jc w:val="both"/>
        <w:ind w:firstLine="785"/>
        <w:spacing w:after="0" w:line="272" w:lineRule="auto"/>
        <w:tabs>
          <w:tab w:leader="none" w:pos="15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Eligibility; Per-Participant Limitations</w:t>
      </w:r>
      <w:r>
        <w:rPr>
          <w:rFonts w:ascii="Arial" w:cs="Arial" w:eastAsia="Arial" w:hAnsi="Arial"/>
          <w:sz w:val="17"/>
          <w:szCs w:val="17"/>
          <w:color w:val="auto"/>
        </w:rPr>
        <w:t>. Awards may be granted under the Plan only to Eligible Persons. Subject to adjustment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77" w:lineRule="exact"/>
        <w:rPr>
          <w:rFonts w:ascii="Arial" w:cs="Arial" w:eastAsia="Arial" w:hAnsi="Arial"/>
          <w:sz w:val="17"/>
          <w:szCs w:val="17"/>
          <w:color w:val="auto"/>
        </w:rPr>
      </w:pPr>
    </w:p>
    <w:p>
      <w:pPr>
        <w:jc w:val="both"/>
        <w:ind w:firstLine="785"/>
        <w:spacing w:after="0" w:line="255" w:lineRule="auto"/>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93" w:lineRule="exact"/>
        <w:rPr>
          <w:rFonts w:ascii="Arial" w:cs="Arial" w:eastAsia="Arial" w:hAnsi="Arial"/>
          <w:sz w:val="18"/>
          <w:szCs w:val="18"/>
          <w:color w:val="auto"/>
        </w:rPr>
      </w:pPr>
    </w:p>
    <w:p>
      <w:pPr>
        <w:ind w:left="1560" w:hanging="775"/>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4" w:lineRule="auto"/>
        <w:tabs>
          <w:tab w:leader="none" w:pos="2401"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left="2420" w:hanging="859"/>
        <w:spacing w:after="0"/>
        <w:tabs>
          <w:tab w:leader="none" w:pos="24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jc w:val="both"/>
        <w:ind w:firstLine="2338"/>
        <w:spacing w:after="0" w:line="287" w:lineRule="auto"/>
        <w:tabs>
          <w:tab w:leader="none" w:pos="3148"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68" w:lineRule="exact"/>
        <w:rPr>
          <w:rFonts w:ascii="Arial" w:cs="Arial" w:eastAsia="Arial" w:hAnsi="Arial"/>
          <w:sz w:val="16"/>
          <w:szCs w:val="16"/>
          <w:color w:val="auto"/>
        </w:rPr>
      </w:pPr>
    </w:p>
    <w:p>
      <w:pPr>
        <w:jc w:val="both"/>
        <w:ind w:firstLine="2338"/>
        <w:spacing w:after="0" w:line="270" w:lineRule="auto"/>
        <w:tabs>
          <w:tab w:leader="none" w:pos="3198"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77" w:lineRule="exact"/>
        <w:rPr>
          <w:rFonts w:ascii="Arial" w:cs="Arial" w:eastAsia="Arial" w:hAnsi="Arial"/>
          <w:sz w:val="17"/>
          <w:szCs w:val="17"/>
          <w:color w:val="auto"/>
        </w:rPr>
      </w:pPr>
    </w:p>
    <w:p>
      <w:pPr>
        <w:ind w:firstLine="2338"/>
        <w:spacing w:after="0" w:line="277" w:lineRule="auto"/>
        <w:tabs>
          <w:tab w:leader="none" w:pos="3248"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jc w:val="both"/>
        <w:ind w:firstLine="2338"/>
        <w:spacing w:after="0" w:line="273" w:lineRule="auto"/>
        <w:tabs>
          <w:tab w:leader="none" w:pos="3238"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The terms of any Incentive Stock Option granted under the Plan shall comply in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78" w:lineRule="exact"/>
        <w:rPr>
          <w:rFonts w:ascii="Arial" w:cs="Arial" w:eastAsia="Arial" w:hAnsi="Arial"/>
          <w:sz w:val="17"/>
          <w:szCs w:val="17"/>
          <w:color w:val="auto"/>
        </w:rPr>
      </w:pPr>
    </w:p>
    <w:p>
      <w:pPr>
        <w:jc w:val="both"/>
        <w:ind w:firstLine="3114"/>
        <w:spacing w:after="0" w:line="297" w:lineRule="auto"/>
        <w:tabs>
          <w:tab w:leader="none" w:pos="4004"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58" w:lineRule="exact"/>
        <w:rPr>
          <w:rFonts w:ascii="Arial" w:cs="Arial" w:eastAsia="Arial" w:hAnsi="Arial"/>
          <w:sz w:val="16"/>
          <w:szCs w:val="16"/>
          <w:color w:val="auto"/>
        </w:rPr>
      </w:pPr>
    </w:p>
    <w:p>
      <w:pPr>
        <w:jc w:val="both"/>
        <w:ind w:right="20" w:firstLine="3114"/>
        <w:spacing w:after="0" w:line="302" w:lineRule="auto"/>
        <w:tabs>
          <w:tab w:leader="none" w:pos="3994"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4" w:lineRule="exact"/>
        <w:rPr>
          <w:rFonts w:ascii="Arial" w:cs="Arial" w:eastAsia="Arial" w:hAnsi="Arial"/>
          <w:sz w:val="16"/>
          <w:szCs w:val="16"/>
          <w:color w:val="auto"/>
        </w:rPr>
      </w:pPr>
    </w:p>
    <w:p>
      <w:pPr>
        <w:jc w:val="both"/>
        <w:ind w:firstLine="3114"/>
        <w:spacing w:after="0" w:line="259" w:lineRule="auto"/>
        <w:tabs>
          <w:tab w:leader="none" w:pos="3994" w:val="left"/>
        </w:tabs>
        <w:numPr>
          <w:ilvl w:val="2"/>
          <w:numId w:val="13"/>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both"/>
        <w:ind w:firstLine="1561"/>
        <w:spacing w:after="0" w:line="264" w:lineRule="auto"/>
        <w:tabs>
          <w:tab w:leader="none" w:pos="2401"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1" w:lineRule="exact"/>
        <w:rPr>
          <w:rFonts w:ascii="Arial" w:cs="Arial" w:eastAsia="Arial" w:hAnsi="Arial"/>
          <w:sz w:val="18"/>
          <w:szCs w:val="18"/>
          <w:color w:val="auto"/>
        </w:rPr>
      </w:pPr>
    </w:p>
    <w:p>
      <w:pPr>
        <w:jc w:val="both"/>
        <w:ind w:firstLine="2338"/>
        <w:spacing w:after="0" w:line="288" w:lineRule="auto"/>
        <w:tabs>
          <w:tab w:leader="none" w:pos="3148" w:val="left"/>
        </w:tabs>
        <w:numPr>
          <w:ilvl w:val="1"/>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69" w:lineRule="exact"/>
        <w:rPr>
          <w:rFonts w:ascii="Arial" w:cs="Arial" w:eastAsia="Arial" w:hAnsi="Arial"/>
          <w:sz w:val="16"/>
          <w:szCs w:val="16"/>
          <w:color w:val="auto"/>
        </w:rPr>
      </w:pPr>
    </w:p>
    <w:p>
      <w:pPr>
        <w:jc w:val="both"/>
        <w:ind w:firstLine="2338"/>
        <w:spacing w:after="0" w:line="255" w:lineRule="auto"/>
        <w:tabs>
          <w:tab w:leader="none" w:pos="3198"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9" w:lineRule="exact"/>
        <w:rPr>
          <w:rFonts w:ascii="Arial" w:cs="Arial" w:eastAsia="Arial" w:hAnsi="Arial"/>
          <w:sz w:val="18"/>
          <w:szCs w:val="18"/>
          <w:color w:val="auto"/>
        </w:rPr>
      </w:pPr>
    </w:p>
    <w:p>
      <w:pPr>
        <w:ind w:left="2420" w:hanging="859"/>
        <w:spacing w:after="0"/>
        <w:tabs>
          <w:tab w:leader="none" w:pos="24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jc w:val="both"/>
        <w:ind w:firstLine="2338"/>
        <w:spacing w:after="0" w:line="253" w:lineRule="auto"/>
        <w:tabs>
          <w:tab w:leader="none" w:pos="3148"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Grant and Restrictions</w:t>
      </w:r>
      <w:r>
        <w:rPr>
          <w:rFonts w:ascii="Arial" w:cs="Arial" w:eastAsia="Arial" w:hAnsi="Arial"/>
          <w:sz w:val="18"/>
          <w:szCs w:val="18"/>
          <w:color w:val="auto"/>
        </w:rPr>
        <w:t>. Restricted Stock Awards shall be subject to such restrictions on transferability,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92" w:lineRule="exact"/>
        <w:rPr>
          <w:rFonts w:ascii="Arial" w:cs="Arial" w:eastAsia="Arial" w:hAnsi="Arial"/>
          <w:sz w:val="18"/>
          <w:szCs w:val="18"/>
          <w:color w:val="auto"/>
        </w:rPr>
      </w:pPr>
    </w:p>
    <w:p>
      <w:pPr>
        <w:jc w:val="both"/>
        <w:ind w:firstLine="2338"/>
        <w:spacing w:after="0" w:line="273" w:lineRule="auto"/>
        <w:tabs>
          <w:tab w:leader="none" w:pos="3198" w:val="left"/>
        </w:tabs>
        <w:numPr>
          <w:ilvl w:val="1"/>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78" w:lineRule="exact"/>
        <w:rPr>
          <w:rFonts w:ascii="Arial" w:cs="Arial" w:eastAsia="Arial" w:hAnsi="Arial"/>
          <w:sz w:val="17"/>
          <w:szCs w:val="17"/>
          <w:color w:val="auto"/>
        </w:rPr>
      </w:pPr>
    </w:p>
    <w:p>
      <w:pPr>
        <w:jc w:val="both"/>
        <w:ind w:firstLine="2338"/>
        <w:spacing w:after="0" w:line="302" w:lineRule="auto"/>
        <w:tabs>
          <w:tab w:leader="none" w:pos="3248" w:val="left"/>
        </w:tabs>
        <w:numPr>
          <w:ilvl w:val="1"/>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4" w:lineRule="exact"/>
        <w:rPr>
          <w:rFonts w:ascii="Arial" w:cs="Arial" w:eastAsia="Arial" w:hAnsi="Arial"/>
          <w:sz w:val="16"/>
          <w:szCs w:val="16"/>
          <w:color w:val="auto"/>
        </w:rPr>
      </w:pPr>
    </w:p>
    <w:p>
      <w:pPr>
        <w:jc w:val="both"/>
        <w:ind w:firstLine="2338"/>
        <w:spacing w:after="0" w:line="264" w:lineRule="auto"/>
        <w:tabs>
          <w:tab w:leader="none" w:pos="3238"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 a Participant to elect that any cash dividends paid on a Share of Restricted Stock be automatically reinvested in additional Shares of Restricted Stock or applied to the purchase of additional Awards under the Plan, or except as otherwise provided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3" w:lineRule="exact"/>
        <w:rPr>
          <w:sz w:val="20"/>
          <w:szCs w:val="20"/>
          <w:color w:val="auto"/>
        </w:rPr>
      </w:pPr>
    </w:p>
    <w:p>
      <w:pPr>
        <w:ind w:firstLine="1561"/>
        <w:spacing w:after="0" w:line="277" w:lineRule="auto"/>
        <w:tabs>
          <w:tab w:leader="none" w:pos="2401"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jc w:val="both"/>
        <w:ind w:firstLine="2338"/>
        <w:spacing w:after="0" w:line="270" w:lineRule="auto"/>
        <w:tabs>
          <w:tab w:leader="none" w:pos="3148" w:val="left"/>
        </w:tabs>
        <w:numPr>
          <w:ilvl w:val="2"/>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Award and Restrictions</w:t>
      </w:r>
      <w:r>
        <w:rPr>
          <w:rFonts w:ascii="Arial" w:cs="Arial" w:eastAsia="Arial" w:hAnsi="Arial"/>
          <w:sz w:val="17"/>
          <w:szCs w:val="17"/>
          <w:color w:val="auto"/>
        </w:rPr>
        <w:t>. Satisfaction of a Deferred Award shall occur upon expiration of the deferral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77" w:lineRule="exact"/>
        <w:rPr>
          <w:rFonts w:ascii="Arial" w:cs="Arial" w:eastAsia="Arial" w:hAnsi="Arial"/>
          <w:sz w:val="17"/>
          <w:szCs w:val="17"/>
          <w:color w:val="auto"/>
        </w:rPr>
      </w:pPr>
    </w:p>
    <w:p>
      <w:pPr>
        <w:jc w:val="both"/>
        <w:ind w:firstLine="2338"/>
        <w:spacing w:after="0" w:line="272" w:lineRule="auto"/>
        <w:tabs>
          <w:tab w:leader="none" w:pos="3198" w:val="left"/>
        </w:tabs>
        <w:numPr>
          <w:ilvl w:val="2"/>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jc w:val="both"/>
        <w:ind w:firstLine="2338"/>
        <w:spacing w:after="0" w:line="291" w:lineRule="auto"/>
        <w:tabs>
          <w:tab w:leader="none" w:pos="3248" w:val="left"/>
        </w:tabs>
        <w:numPr>
          <w:ilvl w:val="2"/>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jc w:val="both"/>
        <w:ind w:firstLine="8"/>
        <w:spacing w:after="0" w:line="269" w:lineRule="auto"/>
        <w:tabs>
          <w:tab w:leader="none" w:pos="2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rFonts w:ascii="Arial" w:cs="Arial" w:eastAsia="Arial" w:hAnsi="Arial"/>
          <w:sz w:val="17"/>
          <w:szCs w:val="17"/>
          <w:color w:val="auto"/>
        </w:rPr>
      </w:pPr>
    </w:p>
    <w:p>
      <w:pPr>
        <w:jc w:val="both"/>
        <w:ind w:firstLine="1561"/>
        <w:spacing w:after="0" w:line="297" w:lineRule="auto"/>
        <w:tabs>
          <w:tab w:leader="none" w:pos="2381"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8" w:lineRule="exact"/>
        <w:rPr>
          <w:rFonts w:ascii="Arial" w:cs="Arial" w:eastAsia="Arial" w:hAnsi="Arial"/>
          <w:sz w:val="16"/>
          <w:szCs w:val="16"/>
          <w:color w:val="auto"/>
        </w:rPr>
      </w:pPr>
    </w:p>
    <w:p>
      <w:pPr>
        <w:jc w:val="both"/>
        <w:ind w:firstLine="1561"/>
        <w:spacing w:after="0" w:line="291" w:lineRule="auto"/>
        <w:tabs>
          <w:tab w:leader="none" w:pos="2411"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vests based on the achievement of performance goals shall be subject to restrictions and risk of forfeiture to the same extent as the Award with respect to which such Dividend Equivalents have been credited.</w:t>
      </w:r>
    </w:p>
    <w:p>
      <w:pPr>
        <w:spacing w:after="0" w:line="170" w:lineRule="exact"/>
        <w:rPr>
          <w:sz w:val="20"/>
          <w:szCs w:val="20"/>
          <w:color w:val="auto"/>
        </w:rPr>
      </w:pPr>
    </w:p>
    <w:p>
      <w:pPr>
        <w:jc w:val="both"/>
        <w:ind w:firstLine="1561"/>
        <w:spacing w:after="0" w:line="288" w:lineRule="auto"/>
        <w:tabs>
          <w:tab w:leader="none" w:pos="2411"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69" w:lineRule="exact"/>
        <w:rPr>
          <w:rFonts w:ascii="Arial" w:cs="Arial" w:eastAsia="Arial" w:hAnsi="Arial"/>
          <w:sz w:val="16"/>
          <w:szCs w:val="16"/>
          <w:color w:val="auto"/>
        </w:rPr>
      </w:pPr>
    </w:p>
    <w:p>
      <w:pPr>
        <w:jc w:val="both"/>
        <w:ind w:firstLine="1561"/>
        <w:spacing w:after="0" w:line="270" w:lineRule="auto"/>
        <w:tabs>
          <w:tab w:leader="none" w:pos="2371" w:val="left"/>
        </w:tabs>
        <w:numPr>
          <w:ilvl w:val="1"/>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Arial" w:cs="Arial" w:eastAsia="Arial" w:hAnsi="Arial"/>
          <w:sz w:val="17"/>
          <w:szCs w:val="17"/>
          <w:color w:val="auto"/>
        </w:rPr>
      </w:pPr>
    </w:p>
    <w:p>
      <w:pPr>
        <w:ind w:left="1560" w:hanging="775"/>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69" w:lineRule="auto"/>
        <w:tabs>
          <w:tab w:leader="none" w:pos="2401"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rFonts w:ascii="Arial" w:cs="Arial" w:eastAsia="Arial" w:hAnsi="Arial"/>
          <w:sz w:val="17"/>
          <w:szCs w:val="17"/>
          <w:color w:val="auto"/>
        </w:rPr>
      </w:pPr>
    </w:p>
    <w:p>
      <w:pPr>
        <w:jc w:val="both"/>
        <w:ind w:firstLine="1561"/>
        <w:spacing w:after="0" w:line="264" w:lineRule="auto"/>
        <w:tabs>
          <w:tab w:leader="none" w:pos="2411"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event shall the 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jc w:val="both"/>
        <w:ind w:firstLine="1561"/>
        <w:spacing w:after="0" w:line="270" w:lineRule="auto"/>
        <w:tabs>
          <w:tab w:leader="none" w:pos="2401"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88" w:lineRule="exact"/>
        <w:rPr>
          <w:sz w:val="20"/>
          <w:szCs w:val="20"/>
          <w:color w:val="auto"/>
        </w:rPr>
      </w:pPr>
    </w:p>
    <w:p>
      <w:pPr>
        <w:jc w:val="both"/>
        <w:ind w:firstLine="1561"/>
        <w:spacing w:after="0" w:line="297" w:lineRule="auto"/>
        <w:tabs>
          <w:tab w:leader="none" w:pos="2411"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8" w:lineRule="exact"/>
        <w:rPr>
          <w:rFonts w:ascii="Arial" w:cs="Arial" w:eastAsia="Arial" w:hAnsi="Arial"/>
          <w:sz w:val="16"/>
          <w:szCs w:val="16"/>
          <w:color w:val="auto"/>
        </w:rPr>
      </w:pPr>
    </w:p>
    <w:p>
      <w:pPr>
        <w:ind w:firstLine="1561"/>
        <w:spacing w:after="0" w:line="277" w:lineRule="auto"/>
        <w:tabs>
          <w:tab w:leader="none" w:pos="2401"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jc w:val="both"/>
        <w:ind w:firstLine="2338"/>
        <w:spacing w:after="0" w:line="276" w:lineRule="auto"/>
        <w:tabs>
          <w:tab w:leader="none" w:pos="31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72" w:lineRule="exact"/>
        <w:rPr>
          <w:rFonts w:ascii="Arial" w:cs="Arial" w:eastAsia="Arial" w:hAnsi="Arial"/>
          <w:sz w:val="17"/>
          <w:szCs w:val="17"/>
          <w:color w:val="auto"/>
        </w:rPr>
      </w:pPr>
    </w:p>
    <w:p>
      <w:pPr>
        <w:ind w:firstLine="2338"/>
        <w:spacing w:after="0" w:line="277" w:lineRule="auto"/>
        <w:tabs>
          <w:tab w:leader="none" w:pos="31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jc w:val="both"/>
        <w:ind w:firstLine="3114"/>
        <w:spacing w:after="0" w:line="279" w:lineRule="auto"/>
        <w:tabs>
          <w:tab w:leader="none" w:pos="4004" w:val="left"/>
        </w:tabs>
        <w:numPr>
          <w:ilvl w:val="2"/>
          <w:numId w:val="19"/>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1" w:lineRule="exact"/>
        <w:rPr>
          <w:rFonts w:ascii="Arial" w:cs="Arial" w:eastAsia="Arial" w:hAnsi="Arial"/>
          <w:sz w:val="17"/>
          <w:szCs w:val="17"/>
          <w:color w:val="auto"/>
        </w:rPr>
      </w:pPr>
    </w:p>
    <w:p>
      <w:pPr>
        <w:ind w:left="4000" w:hanging="886"/>
        <w:spacing w:after="0"/>
        <w:tabs>
          <w:tab w:leader="none" w:pos="40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4000" w:hanging="886"/>
        <w:spacing w:after="0"/>
        <w:tabs>
          <w:tab w:leader="none" w:pos="40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114"/>
        <w:spacing w:after="0" w:line="264" w:lineRule="auto"/>
        <w:tabs>
          <w:tab w:leader="none" w:pos="4004"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1" w:lineRule="exact"/>
        <w:rPr>
          <w:sz w:val="20"/>
          <w:szCs w:val="20"/>
          <w:color w:val="auto"/>
        </w:rPr>
      </w:pPr>
    </w:p>
    <w:p>
      <w:pPr>
        <w:jc w:val="both"/>
        <w:ind w:firstLine="2338"/>
        <w:spacing w:after="0" w:line="255" w:lineRule="auto"/>
        <w:tabs>
          <w:tab w:leader="none" w:pos="32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3" w:lineRule="exact"/>
        <w:rPr>
          <w:rFonts w:ascii="Arial" w:cs="Arial" w:eastAsia="Arial" w:hAnsi="Arial"/>
          <w:sz w:val="18"/>
          <w:szCs w:val="18"/>
          <w:color w:val="auto"/>
        </w:rPr>
      </w:pPr>
    </w:p>
    <w:p>
      <w:pPr>
        <w:ind w:left="2380" w:hanging="819"/>
        <w:spacing w:after="0"/>
        <w:tabs>
          <w:tab w:leader="none" w:pos="23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64" w:lineRule="auto"/>
        <w:tabs>
          <w:tab w:leader="none" w:pos="3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78" w:lineRule="exact"/>
        <w:rPr>
          <w:sz w:val="20"/>
          <w:szCs w:val="20"/>
          <w:color w:val="auto"/>
        </w:rPr>
      </w:pPr>
    </w:p>
    <w:p>
      <w:pPr>
        <w:jc w:val="both"/>
        <w:ind w:firstLine="2338"/>
        <w:spacing w:after="0" w:line="271" w:lineRule="auto"/>
        <w:tabs>
          <w:tab w:leader="none" w:pos="3198" w:val="left"/>
        </w:tabs>
        <w:numPr>
          <w:ilvl w:val="3"/>
          <w:numId w:val="22"/>
        </w:numPr>
        <w:rPr>
          <w:rFonts w:ascii="Arial" w:cs="Arial" w:eastAsia="Arial" w:hAnsi="Arial"/>
          <w:sz w:val="17"/>
          <w:szCs w:val="17"/>
          <w:color w:val="auto"/>
        </w:rPr>
      </w:pPr>
      <w:r>
        <w:rPr>
          <w:rFonts w:ascii="Arial" w:cs="Arial" w:eastAsia="Arial" w:hAnsi="Arial"/>
          <w:sz w:val="17"/>
          <w:szCs w:val="17"/>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78" w:lineRule="exact"/>
        <w:rPr>
          <w:rFonts w:ascii="Arial" w:cs="Arial" w:eastAsia="Arial" w:hAnsi="Arial"/>
          <w:sz w:val="17"/>
          <w:szCs w:val="17"/>
          <w:color w:val="auto"/>
        </w:rPr>
      </w:pPr>
    </w:p>
    <w:p>
      <w:pPr>
        <w:ind w:left="1560" w:hanging="775"/>
        <w:spacing w:after="0"/>
        <w:tabs>
          <w:tab w:leader="none" w:pos="1560"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64" w:lineRule="auto"/>
        <w:tabs>
          <w:tab w:leader="none" w:pos="2401" w:val="left"/>
        </w:tabs>
        <w:numPr>
          <w:ilvl w:val="2"/>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is, or is likely to be, as of the end of the tax year in which the Company would claim a tax deduction in connection with such Award, a Covered Employee, that the provisions of this Section 9 shall be applicable to such Award.</w:t>
      </w:r>
    </w:p>
    <w:p>
      <w:pPr>
        <w:spacing w:after="0" w:line="181" w:lineRule="exact"/>
        <w:rPr>
          <w:rFonts w:ascii="Arial" w:cs="Arial" w:eastAsia="Arial" w:hAnsi="Arial"/>
          <w:sz w:val="18"/>
          <w:szCs w:val="18"/>
          <w:color w:val="auto"/>
        </w:rPr>
      </w:pPr>
    </w:p>
    <w:p>
      <w:pPr>
        <w:jc w:val="both"/>
        <w:ind w:firstLine="1561"/>
        <w:spacing w:after="0" w:line="284" w:lineRule="auto"/>
        <w:tabs>
          <w:tab w:leader="none" w:pos="2411" w:val="left"/>
        </w:tabs>
        <w:numPr>
          <w:ilvl w:val="2"/>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w:t>
      </w:r>
    </w:p>
    <w:p>
      <w:pPr>
        <w:spacing w:after="0" w:line="2" w:lineRule="exact"/>
        <w:rPr>
          <w:rFonts w:ascii="Arial" w:cs="Arial" w:eastAsia="Arial" w:hAnsi="Arial"/>
          <w:sz w:val="16"/>
          <w:szCs w:val="16"/>
          <w:color w:val="auto"/>
        </w:rPr>
      </w:pPr>
    </w:p>
    <w:p>
      <w:pPr>
        <w:jc w:val="both"/>
        <w:ind w:firstLine="8"/>
        <w:spacing w:after="0" w:line="285" w:lineRule="auto"/>
        <w:tabs>
          <w:tab w:leader="none" w:pos="2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72" w:lineRule="exact"/>
        <w:rPr>
          <w:rFonts w:ascii="Arial" w:cs="Arial" w:eastAsia="Arial" w:hAnsi="Arial"/>
          <w:sz w:val="16"/>
          <w:szCs w:val="16"/>
          <w:color w:val="auto"/>
        </w:rPr>
      </w:pPr>
    </w:p>
    <w:p>
      <w:pPr>
        <w:jc w:val="both"/>
        <w:ind w:firstLine="1561"/>
        <w:spacing w:after="0" w:line="257" w:lineRule="auto"/>
        <w:tabs>
          <w:tab w:leader="none" w:pos="2401" w:val="left"/>
        </w:tabs>
        <w:numPr>
          <w:ilvl w:val="2"/>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8" w:lineRule="exact"/>
        <w:rPr>
          <w:rFonts w:ascii="Arial" w:cs="Arial" w:eastAsia="Arial" w:hAnsi="Arial"/>
          <w:sz w:val="18"/>
          <w:szCs w:val="18"/>
          <w:color w:val="auto"/>
        </w:rPr>
      </w:pPr>
    </w:p>
    <w:p>
      <w:pPr>
        <w:jc w:val="both"/>
        <w:ind w:firstLine="1561"/>
        <w:spacing w:after="0" w:line="259" w:lineRule="auto"/>
        <w:tabs>
          <w:tab w:leader="none" w:pos="2411" w:val="left"/>
        </w:tabs>
        <w:numPr>
          <w:ilvl w:val="2"/>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firstLine="1561"/>
        <w:spacing w:after="0" w:line="259" w:lineRule="auto"/>
        <w:tabs>
          <w:tab w:leader="none" w:pos="2401"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60" w:hanging="875"/>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84" w:lineRule="auto"/>
        <w:tabs>
          <w:tab w:leader="none" w:pos="2401"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394" w:lineRule="exact"/>
        <w:rPr>
          <w:rFonts w:ascii="Arial" w:cs="Arial" w:eastAsia="Arial" w:hAnsi="Arial"/>
          <w:sz w:val="16"/>
          <w:szCs w:val="16"/>
          <w:color w:val="auto"/>
        </w:rPr>
      </w:pPr>
    </w:p>
    <w:p>
      <w:pPr>
        <w:ind w:firstLine="1561"/>
        <w:spacing w:after="0" w:line="342" w:lineRule="auto"/>
        <w:tabs>
          <w:tab w:leader="none" w:pos="2411"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 of “Change in Control”</w:t>
      </w:r>
      <w:r>
        <w:rPr>
          <w:rFonts w:ascii="Arial" w:cs="Arial" w:eastAsia="Arial" w:hAnsi="Arial"/>
          <w:sz w:val="16"/>
          <w:szCs w:val="16"/>
          <w:color w:val="auto"/>
        </w:rPr>
        <w:t>. Unless otherwise specified in any employment or other agreement for services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 and the Company or any Subsidiary, or in an Award Agreement, a “Change in Control” shall mean the occurrence of any of the following:</w:t>
      </w:r>
    </w:p>
    <w:p>
      <w:pPr>
        <w:spacing w:after="0" w:line="123" w:lineRule="exact"/>
        <w:rPr>
          <w:rFonts w:ascii="Arial" w:cs="Arial" w:eastAsia="Arial" w:hAnsi="Arial"/>
          <w:sz w:val="16"/>
          <w:szCs w:val="16"/>
          <w:color w:val="auto"/>
        </w:rPr>
      </w:pPr>
    </w:p>
    <w:p>
      <w:pPr>
        <w:jc w:val="both"/>
        <w:ind w:firstLine="2338"/>
        <w:spacing w:after="0" w:line="290" w:lineRule="auto"/>
        <w:tabs>
          <w:tab w:leader="none" w:pos="3148"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66" w:lineRule="exact"/>
        <w:rPr>
          <w:rFonts w:ascii="Arial" w:cs="Arial" w:eastAsia="Arial" w:hAnsi="Arial"/>
          <w:sz w:val="16"/>
          <w:szCs w:val="16"/>
          <w:color w:val="auto"/>
        </w:rPr>
      </w:pPr>
    </w:p>
    <w:p>
      <w:pPr>
        <w:jc w:val="both"/>
        <w:ind w:firstLine="2338"/>
        <w:spacing w:after="0" w:line="255" w:lineRule="auto"/>
        <w:tabs>
          <w:tab w:leader="none" w:pos="3198" w:val="left"/>
        </w:tabs>
        <w:numPr>
          <w:ilvl w:val="2"/>
          <w:numId w:val="26"/>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2338"/>
        <w:spacing w:after="0" w:line="267" w:lineRule="auto"/>
        <w:tabs>
          <w:tab w:leader="none" w:pos="3248" w:val="left"/>
        </w:tabs>
        <w:numPr>
          <w:ilvl w:val="2"/>
          <w:numId w:val="27"/>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2" w:lineRule="exact"/>
        <w:rPr>
          <w:rFonts w:ascii="Arial" w:cs="Arial" w:eastAsia="Arial" w:hAnsi="Arial"/>
          <w:sz w:val="17"/>
          <w:szCs w:val="17"/>
          <w:color w:val="auto"/>
        </w:rPr>
      </w:pPr>
    </w:p>
    <w:p>
      <w:pPr>
        <w:ind w:left="3240" w:hanging="902"/>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1660" w:hanging="875"/>
        <w:spacing w:after="0"/>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401" w:val="left"/>
        </w:tabs>
        <w:numPr>
          <w:ilvl w:val="1"/>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9" w:lineRule="exact"/>
        <w:rPr>
          <w:rFonts w:ascii="Arial" w:cs="Arial" w:eastAsia="Arial" w:hAnsi="Arial"/>
          <w:sz w:val="18"/>
          <w:szCs w:val="18"/>
          <w:color w:val="auto"/>
        </w:rPr>
      </w:pPr>
    </w:p>
    <w:p>
      <w:pPr>
        <w:jc w:val="both"/>
        <w:ind w:firstLine="1561"/>
        <w:spacing w:after="0" w:line="268" w:lineRule="auto"/>
        <w:tabs>
          <w:tab w:leader="none" w:pos="2411" w:val="left"/>
        </w:tabs>
        <w:numPr>
          <w:ilvl w:val="1"/>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Limits on Transferability; Beneficiaries</w:t>
      </w:r>
      <w:r>
        <w:rPr>
          <w:rFonts w:ascii="Arial" w:cs="Arial" w:eastAsia="Arial" w:hAnsi="Arial"/>
          <w:sz w:val="17"/>
          <w:szCs w:val="17"/>
          <w:color w:val="auto"/>
        </w:rPr>
        <w:t>. No Award or other right or interest granted under the Plan shall be pledged,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80" w:lineRule="exact"/>
        <w:rPr>
          <w:rFonts w:ascii="Arial" w:cs="Arial" w:eastAsia="Arial" w:hAnsi="Arial"/>
          <w:sz w:val="17"/>
          <w:szCs w:val="17"/>
          <w:color w:val="auto"/>
        </w:rPr>
      </w:pPr>
    </w:p>
    <w:p>
      <w:pPr>
        <w:ind w:left="2400" w:hanging="839"/>
        <w:spacing w:after="0"/>
        <w:tabs>
          <w:tab w:leader="none" w:pos="2400" w:val="left"/>
        </w:tabs>
        <w:numPr>
          <w:ilvl w:val="1"/>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64" w:lineRule="auto"/>
        <w:tabs>
          <w:tab w:leader="none" w:pos="3148" w:val="left"/>
        </w:tabs>
        <w:numPr>
          <w:ilvl w:val="2"/>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Awards</w:t>
      </w:r>
      <w:r>
        <w:rPr>
          <w:rFonts w:ascii="Arial" w:cs="Arial" w:eastAsia="Arial" w:hAnsi="Arial"/>
          <w:sz w:val="18"/>
          <w:szCs w:val="18"/>
          <w:color w:val="auto"/>
        </w:rPr>
        <w:t>. In the event that any extraordinary dividend or other distribution (whether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Shares, or other property), recapitalization, forward or reverse split, reorganization, merger, consolidation, spin-off, combination, repurchase, share exchange, liquidation, dissolution or other similar corporate transaction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5" w:lineRule="exact"/>
        <w:rPr>
          <w:sz w:val="20"/>
          <w:szCs w:val="20"/>
          <w:color w:val="auto"/>
        </w:rPr>
      </w:pPr>
    </w:p>
    <w:p>
      <w:pPr>
        <w:ind w:left="3200" w:hanging="862"/>
        <w:spacing w:after="0"/>
        <w:tabs>
          <w:tab w:leader="none" w:pos="32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114"/>
        <w:spacing w:after="0" w:line="268" w:lineRule="auto"/>
        <w:tabs>
          <w:tab w:leader="none" w:pos="4004"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5" w:lineRule="exact"/>
        <w:rPr>
          <w:rFonts w:ascii="Arial" w:cs="Arial" w:eastAsia="Arial" w:hAnsi="Arial"/>
          <w:sz w:val="17"/>
          <w:szCs w:val="17"/>
          <w:color w:val="auto"/>
        </w:rPr>
      </w:pPr>
    </w:p>
    <w:p>
      <w:pPr>
        <w:jc w:val="both"/>
        <w:ind w:firstLine="3114"/>
        <w:spacing w:after="0" w:line="268" w:lineRule="auto"/>
        <w:tabs>
          <w:tab w:leader="none" w:pos="3994" w:val="left"/>
        </w:tabs>
        <w:numPr>
          <w:ilvl w:val="1"/>
          <w:numId w:val="29"/>
        </w:numPr>
        <w:rPr>
          <w:rFonts w:ascii="Arial" w:cs="Arial" w:eastAsia="Arial" w:hAnsi="Arial"/>
          <w:sz w:val="17"/>
          <w:szCs w:val="17"/>
          <w:color w:val="auto"/>
        </w:rPr>
      </w:pPr>
      <w:r>
        <w:rPr>
          <w:rFonts w:ascii="Arial" w:cs="Arial" w:eastAsia="Arial" w:hAnsi="Arial"/>
          <w:sz w:val="17"/>
          <w:szCs w:val="17"/>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87" w:lineRule="exact"/>
        <w:rPr>
          <w:rFonts w:ascii="Arial" w:cs="Arial" w:eastAsia="Arial" w:hAnsi="Arial"/>
          <w:sz w:val="17"/>
          <w:szCs w:val="17"/>
          <w:color w:val="auto"/>
        </w:rPr>
      </w:pPr>
    </w:p>
    <w:p>
      <w:pPr>
        <w:jc w:val="both"/>
        <w:ind w:firstLine="2338"/>
        <w:spacing w:after="0" w:line="293" w:lineRule="auto"/>
        <w:tabs>
          <w:tab w:leader="none" w:pos="3248"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76" w:lineRule="auto"/>
        <w:rPr>
          <w:sz w:val="20"/>
          <w:szCs w:val="20"/>
          <w:color w:val="auto"/>
        </w:rPr>
      </w:pPr>
      <w:r>
        <w:rPr>
          <w:rFonts w:ascii="Arial" w:cs="Arial" w:eastAsia="Arial" w:hAnsi="Arial"/>
          <w:sz w:val="17"/>
          <w:szCs w:val="17"/>
          <w:color w:val="auto"/>
        </w:rPr>
        <w:t>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3" w:lineRule="exact"/>
        <w:rPr>
          <w:sz w:val="20"/>
          <w:szCs w:val="20"/>
          <w:color w:val="auto"/>
        </w:rPr>
      </w:pPr>
    </w:p>
    <w:p>
      <w:pPr>
        <w:jc w:val="both"/>
        <w:ind w:firstLine="1561"/>
        <w:spacing w:after="0" w:line="255" w:lineRule="auto"/>
        <w:tabs>
          <w:tab w:leader="none" w:pos="2411"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Each Award Agreement shall either be (i) in writing in a form approved by the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89" w:lineRule="exact"/>
        <w:rPr>
          <w:rFonts w:ascii="Arial" w:cs="Arial" w:eastAsia="Arial" w:hAnsi="Arial"/>
          <w:sz w:val="18"/>
          <w:szCs w:val="18"/>
          <w:color w:val="auto"/>
        </w:rPr>
      </w:pPr>
    </w:p>
    <w:p>
      <w:pPr>
        <w:jc w:val="both"/>
        <w:ind w:firstLine="1561"/>
        <w:spacing w:after="0" w:line="290" w:lineRule="auto"/>
        <w:tabs>
          <w:tab w:leader="none" w:pos="2401"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6" w:lineRule="exact"/>
        <w:rPr>
          <w:rFonts w:ascii="Arial" w:cs="Arial" w:eastAsia="Arial" w:hAnsi="Arial"/>
          <w:sz w:val="16"/>
          <w:szCs w:val="16"/>
          <w:color w:val="auto"/>
        </w:rPr>
      </w:pPr>
    </w:p>
    <w:p>
      <w:pPr>
        <w:jc w:val="both"/>
        <w:ind w:firstLine="1561"/>
        <w:spacing w:after="0" w:line="289" w:lineRule="auto"/>
        <w:tabs>
          <w:tab w:leader="none" w:pos="2381"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jc w:val="both"/>
        <w:ind w:firstLine="1561"/>
        <w:spacing w:after="0" w:line="287" w:lineRule="auto"/>
        <w:tabs>
          <w:tab w:leader="none" w:pos="2411"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68" w:lineRule="exact"/>
        <w:rPr>
          <w:rFonts w:ascii="Arial" w:cs="Arial" w:eastAsia="Arial" w:hAnsi="Arial"/>
          <w:sz w:val="16"/>
          <w:szCs w:val="16"/>
          <w:color w:val="auto"/>
        </w:rPr>
      </w:pPr>
    </w:p>
    <w:p>
      <w:pPr>
        <w:jc w:val="both"/>
        <w:ind w:firstLine="1561"/>
        <w:spacing w:after="0" w:line="259" w:lineRule="auto"/>
        <w:tabs>
          <w:tab w:leader="none" w:pos="2411"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Unfunded Status of Awards; Creation of Trusts</w:t>
      </w:r>
      <w:r>
        <w:rPr>
          <w:rFonts w:ascii="Arial" w:cs="Arial" w:eastAsia="Arial" w:hAnsi="Arial"/>
          <w:sz w:val="18"/>
          <w:szCs w:val="18"/>
          <w:color w:val="auto"/>
        </w:rPr>
        <w:t>. The Plan is intended to constitute an “unfunded” plan for incentive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87" w:lineRule="exact"/>
        <w:rPr>
          <w:sz w:val="20"/>
          <w:szCs w:val="20"/>
          <w:color w:val="auto"/>
        </w:rPr>
      </w:pPr>
    </w:p>
    <w:p>
      <w:pPr>
        <w:jc w:val="both"/>
        <w:ind w:firstLine="1561"/>
        <w:spacing w:after="0" w:line="286" w:lineRule="auto"/>
        <w:tabs>
          <w:tab w:leader="none" w:pos="2371"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jc w:val="both"/>
        <w:ind w:firstLine="1561"/>
        <w:spacing w:after="0" w:line="257" w:lineRule="auto"/>
        <w:tabs>
          <w:tab w:leader="none" w:pos="2371"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8" w:lineRule="exact"/>
        <w:rPr>
          <w:rFonts w:ascii="Arial" w:cs="Arial" w:eastAsia="Arial" w:hAnsi="Arial"/>
          <w:sz w:val="18"/>
          <w:szCs w:val="18"/>
          <w:color w:val="auto"/>
        </w:rPr>
      </w:pPr>
    </w:p>
    <w:p>
      <w:pPr>
        <w:jc w:val="both"/>
        <w:ind w:firstLine="1561"/>
        <w:spacing w:after="0" w:line="264" w:lineRule="auto"/>
        <w:tabs>
          <w:tab w:leader="none" w:pos="2411"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1" w:lineRule="exact"/>
        <w:rPr>
          <w:rFonts w:ascii="Arial" w:cs="Arial" w:eastAsia="Arial" w:hAnsi="Arial"/>
          <w:sz w:val="18"/>
          <w:szCs w:val="18"/>
          <w:color w:val="auto"/>
        </w:rPr>
      </w:pPr>
    </w:p>
    <w:p>
      <w:pPr>
        <w:jc w:val="both"/>
        <w:ind w:firstLine="1561"/>
        <w:spacing w:after="0" w:line="286" w:lineRule="auto"/>
        <w:tabs>
          <w:tab w:leader="none" w:pos="2371"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jc w:val="both"/>
        <w:ind w:firstLine="1561"/>
        <w:spacing w:after="0" w:line="271" w:lineRule="auto"/>
        <w:tabs>
          <w:tab w:leader="none" w:pos="2461"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61"/>
        <w:spacing w:after="0" w:line="264" w:lineRule="auto"/>
        <w:tabs>
          <w:tab w:leader="none" w:pos="2411"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1" w:lineRule="exact"/>
        <w:rPr>
          <w:rFonts w:ascii="Arial" w:cs="Arial" w:eastAsia="Arial" w:hAnsi="Arial"/>
          <w:sz w:val="18"/>
          <w:szCs w:val="18"/>
          <w:color w:val="auto"/>
        </w:rPr>
      </w:pPr>
    </w:p>
    <w:p>
      <w:pPr>
        <w:jc w:val="both"/>
        <w:ind w:firstLine="1561"/>
        <w:spacing w:after="0" w:line="264" w:lineRule="auto"/>
        <w:tabs>
          <w:tab w:leader="none" w:pos="2411"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court of law in any jurisdiction, the remaining provisions hereof and thereof shall be severable and enforceable in accordance with their terms, and all provisions shall remain enforceable in any other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lowerLetter"/>
      <w:start w:val="11"/>
    </w:lvl>
  </w:abstractNum>
  <w:abstractNum w:abstractNumId="3">
    <w:nsid w:val="519B500D"/>
    <w:multiLevelType w:val="hybridMultilevel"/>
    <w:lvl w:ilvl="0">
      <w:lvlJc w:val="left"/>
      <w:lvlText w:val="(%1)"/>
      <w:numFmt w:val="lowerLetter"/>
      <w:start w:val="24"/>
    </w:lvl>
  </w:abstractNum>
  <w:abstractNum w:abstractNumId="4">
    <w:nsid w:val="431BD7B7"/>
    <w:multiLevelType w:val="hybridMultilevel"/>
    <w:lvl w:ilvl="0">
      <w:lvlJc w:val="left"/>
      <w:lvlText w:val="(%1)"/>
      <w:numFmt w:val="lowerLetter"/>
      <w:start w:val="27"/>
    </w:lvl>
  </w:abstractNum>
  <w:abstractNum w:abstractNumId="5">
    <w:nsid w:val="3F2DBA31"/>
    <w:multiLevelType w:val="hybridMultilevel"/>
    <w:lvl w:ilvl="0">
      <w:lvlJc w:val="left"/>
      <w:lvlText w:val="%1"/>
      <w:numFmt w:val="decimal"/>
      <w:start w:val="1"/>
    </w:lvl>
    <w:lvl w:ilvl="1">
      <w:lvlJc w:val="left"/>
      <w:lvlText w:val="(%2)"/>
      <w:numFmt w:val="lowerLetter"/>
      <w:start w:val="37"/>
    </w:lvl>
  </w:abstractNum>
  <w:abstractNum w:abstractNumId="6">
    <w:nsid w:val="7C83E458"/>
    <w:multiLevelType w:val="hybridMultilevel"/>
    <w:lvl w:ilvl="0">
      <w:lvlJc w:val="left"/>
      <w:lvlText w:val="%1."/>
      <w:numFmt w:val="decimal"/>
      <w:start w:val="3"/>
    </w:lvl>
    <w:lvl w:ilvl="1">
      <w:lvlJc w:val="left"/>
      <w:lvlText w:val="(%2)"/>
      <w:numFmt w:val="lowerLetter"/>
      <w:start w:val="1"/>
    </w:lvl>
  </w:abstractNum>
  <w:abstractNum w:abstractNumId="7">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62BBD9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
    <w:nsid w:val="628C895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333AB1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721DA31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
    <w:nsid w:val="2443A858"/>
    <w:multiLevelType w:val="hybridMultilevel"/>
    <w:lvl w:ilvl="0">
      <w:lvlJc w:val="left"/>
      <w:lvlText w:val="(%1)"/>
      <w:numFmt w:val="lowerLetter"/>
      <w:start w:val="3"/>
    </w:lvl>
    <w:lvl w:ilvl="1">
      <w:lvlJc w:val="left"/>
      <w:lvlText w:val="(%2)"/>
      <w:numFmt w:val="lowerRoman"/>
      <w:start w:val="1"/>
    </w:lvl>
  </w:abstractNum>
  <w:abstractNum w:abstractNumId="14">
    <w:nsid w:val="2D1D5AE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5">
    <w:nsid w:val="6763845E"/>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6">
    <w:nsid w:val="75A2A8D4"/>
    <w:multiLevelType w:val="hybridMultilevel"/>
    <w:lvl w:ilvl="0">
      <w:lvlJc w:val="left"/>
      <w:lvlText w:val="%1"/>
      <w:numFmt w:val="decimal"/>
      <w:start w:val="1"/>
    </w:lvl>
    <w:lvl w:ilvl="1">
      <w:lvlJc w:val="left"/>
      <w:lvlText w:val="(%2)"/>
      <w:numFmt w:val="lowerLetter"/>
      <w:start w:val="8"/>
    </w:lvl>
  </w:abstractNum>
  <w:abstractNum w:abstractNumId="17">
    <w:nsid w:val="8EDBDAB"/>
    <w:multiLevelType w:val="hybridMultilevel"/>
    <w:lvl w:ilvl="0">
      <w:lvlJc w:val="left"/>
      <w:lvlText w:val="%1."/>
      <w:numFmt w:val="decimal"/>
      <w:start w:val="8"/>
    </w:lvl>
    <w:lvl w:ilvl="1">
      <w:lvlJc w:val="left"/>
      <w:lvlText w:val="(%2)"/>
      <w:numFmt w:val="lowerLetter"/>
      <w:start w:val="1"/>
    </w:lvl>
  </w:abstractNum>
  <w:abstractNum w:abstractNumId="18">
    <w:nsid w:val="79838C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9">
    <w:nsid w:val="4353D0CD"/>
    <w:multiLevelType w:val="hybridMultilevel"/>
    <w:lvl w:ilvl="0">
      <w:lvlJc w:val="left"/>
      <w:lvlText w:val="%1"/>
      <w:numFmt w:val="lowerLetter"/>
      <w:start w:val="1"/>
    </w:lvl>
    <w:lvl w:ilvl="1">
      <w:lvlJc w:val="left"/>
      <w:lvlText w:val="(%2)"/>
      <w:numFmt w:val="lowerLetter"/>
      <w:start w:val="61"/>
    </w:lvl>
  </w:abstractNum>
  <w:abstractNum w:abstractNumId="20">
    <w:nsid w:val="B03E0C6"/>
    <w:multiLevelType w:val="hybridMultilevel"/>
    <w:lvl w:ilvl="0">
      <w:lvlJc w:val="left"/>
      <w:lvlText w:val="(%1)"/>
      <w:numFmt w:val="lowerLetter"/>
      <w:start w:val="6"/>
    </w:lvl>
    <w:lvl w:ilvl="1">
      <w:lvlJc w:val="left"/>
      <w:lvlText w:val="(%2)"/>
      <w:numFmt w:val="lowerLetter"/>
      <w:start w:val="9"/>
    </w:lvl>
  </w:abstractNum>
  <w:abstractNum w:abstractNumId="21">
    <w:nsid w:val="189A76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2">
    <w:nsid w:val="54E49EB4"/>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23">
    <w:nsid w:val="71F32454"/>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
    <w:nsid w:val="836C40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7">
    <w:nsid w:val="3A95F87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8">
    <w:nsid w:val="8138641"/>
    <w:multiLevelType w:val="hybridMultilevel"/>
    <w:lvl w:ilvl="0">
      <w:lvlJc w:val="left"/>
      <w:lvlText w:val="(%1)"/>
      <w:numFmt w:val="lowerRoman"/>
      <w:start w:val="2"/>
    </w:lvl>
    <w:lvl w:ilvl="1">
      <w:lvlJc w:val="left"/>
      <w:lvlText w:val="(%2)"/>
      <w:numFmt w:val="upperLetter"/>
      <w:start w:val="1"/>
    </w:lvl>
  </w:abstractNum>
  <w:abstractNum w:abstractNumId="29">
    <w:nsid w:val="1E7FF521"/>
    <w:multiLevelType w:val="hybridMultilevel"/>
    <w:lvl w:ilvl="0">
      <w:lvlJc w:val="left"/>
      <w:lvlText w:val="(%1)"/>
      <w:numFmt w:val="lowerLetter"/>
      <w:start w:val="4"/>
    </w:lvl>
  </w:abstractNum>
  <w:abstractNum w:abstractNumId="30">
    <w:nsid w:val="7C3DBD3D"/>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2019-12-29T11:44:42Z</dcterms:created>
  <dcterms:modified xsi:type="dcterms:W3CDTF">2019-12-29T11:44:42Z</dcterms:modified>
</cp:coreProperties>
</file>