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Ederle Kenneth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SVP,Chief MerchandisingOfficer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03/17/2017</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03/17/2017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45,138</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57"/>
              <w:spacing w:after="0"/>
              <w:rPr>
                <w:sz w:val="20"/>
                <w:szCs w:val="20"/>
                <w:color w:val="auto"/>
              </w:rPr>
            </w:pPr>
            <w:r>
              <w:rPr>
                <w:rFonts w:ascii="Arial" w:cs="Arial" w:eastAsia="Arial" w:hAnsi="Arial"/>
                <w:sz w:val="18"/>
                <w:szCs w:val="18"/>
                <w:color w:val="0000FF"/>
                <w:w w:val="83"/>
              </w:rPr>
              <w:t>82,723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23,982</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right"/>
              <w:ind w:right="317"/>
              <w:spacing w:after="0"/>
              <w:rPr>
                <w:sz w:val="20"/>
                <w:szCs w:val="20"/>
                <w:color w:val="auto"/>
              </w:rPr>
            </w:pPr>
            <w:r>
              <w:rPr>
                <w:rFonts w:ascii="Arial" w:cs="Arial" w:eastAsia="Arial" w:hAnsi="Arial"/>
                <w:sz w:val="18"/>
                <w:szCs w:val="18"/>
                <w:color w:val="0000FF"/>
              </w:rPr>
              <w:t>106,705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forfeiture of performance-based restricted stock granted to the reporting person on May 28, 2013 that was eligible to vest based on certain financial performance objectives. Upon grant, the target vesting amount was reported in Table I of Form 4. On March 17, 2017, the Company determined that, based on the Company's performance over the applicable performance period, the securities are forfeited.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grant of restricted stock made pursuant to the Destination XL Group, Inc. Wrap-Around Plan. This grant vests on July 28,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color w:val="0000FF"/>
                <w:w w:val="88"/>
              </w:rPr>
              <w:t>/s/ Kenneth M. Ederle</w:t>
            </w:r>
          </w:p>
        </w:tc>
        <w:tc>
          <w:tcPr>
            <w:tcW w:w="5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03/21/2017</w:t>
            </w:r>
          </w:p>
        </w:tc>
      </w:tr>
      <w:tr>
        <w:trPr>
          <w:trHeight w:val="20"/>
        </w:trPr>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1180"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2019-12-23T15:12:30Z</dcterms:created>
  <dcterms:modified xsi:type="dcterms:W3CDTF">2019-12-23T15:12:30Z</dcterms:modified>
</cp:coreProperties>
</file>