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79"/>
        <w:spacing w:after="0"/>
        <w:rPr>
          <w:sz w:val="20"/>
          <w:szCs w:val="20"/>
          <w:color w:val="auto"/>
        </w:rPr>
      </w:pPr>
      <w:r>
        <w:rPr>
          <w:rFonts w:ascii="Courier New" w:cs="Courier New" w:eastAsia="Courier New" w:hAnsi="Courier New"/>
          <w:sz w:val="18"/>
          <w:szCs w:val="18"/>
          <w:color w:val="auto"/>
        </w:rPr>
        <w:t>UNITED STATES</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13D</w:t>
      </w:r>
    </w:p>
    <w:p>
      <w:pPr>
        <w:jc w:val="center"/>
        <w:ind w:right="1679"/>
        <w:spacing w:after="0" w:line="238" w:lineRule="auto"/>
        <w:rPr>
          <w:sz w:val="20"/>
          <w:szCs w:val="20"/>
          <w:color w:val="auto"/>
        </w:rPr>
      </w:pPr>
      <w:r>
        <w:rPr>
          <w:rFonts w:ascii="Courier New" w:cs="Courier New" w:eastAsia="Courier New" w:hAnsi="Courier New"/>
          <w:sz w:val="18"/>
          <w:szCs w:val="18"/>
          <w:color w:val="auto"/>
        </w:rPr>
        <w:t>Under the Securities and Exchange Act of 1934</w:t>
      </w:r>
    </w:p>
    <w:p>
      <w:pPr>
        <w:jc w:val="center"/>
        <w:ind w:right="1779"/>
        <w:spacing w:after="0"/>
        <w:rPr>
          <w:sz w:val="20"/>
          <w:szCs w:val="20"/>
          <w:color w:val="auto"/>
        </w:rPr>
      </w:pPr>
      <w:r>
        <w:rPr>
          <w:rFonts w:ascii="Courier New" w:cs="Courier New" w:eastAsia="Courier New" w:hAnsi="Courier New"/>
          <w:sz w:val="18"/>
          <w:szCs w:val="18"/>
          <w:color w:val="auto"/>
        </w:rPr>
        <w:t>(Amendment No. 6)*</w:t>
      </w:r>
    </w:p>
    <w:p>
      <w:pPr>
        <w:spacing w:after="0" w:line="200"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Casual Male Retail Group, Inc.</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Common Stock, $0.01 par value per share</w:t>
      </w:r>
    </w:p>
    <w:p>
      <w:pPr>
        <w:spacing w:after="0" w:line="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148711104</w:t>
      </w:r>
    </w:p>
    <w:p>
      <w:pPr>
        <w:ind w:left="960"/>
        <w:spacing w:after="0" w:line="238" w:lineRule="auto"/>
        <w:rPr>
          <w:sz w:val="20"/>
          <w:szCs w:val="20"/>
          <w:color w:val="auto"/>
        </w:rPr>
      </w:pPr>
      <w:r>
        <w:rPr>
          <w:rFonts w:ascii="Courier New" w:cs="Courier New" w:eastAsia="Courier New" w:hAnsi="Courier New"/>
          <w:sz w:val="18"/>
          <w:szCs w:val="18"/>
          <w:color w:val="auto"/>
        </w:rPr>
        <w:t>--------------------------------------------------------------</w:t>
      </w:r>
    </w:p>
    <w:p>
      <w:pPr>
        <w:ind w:left="3480"/>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Chilton Investment Company, LLC</w:t>
      </w:r>
    </w:p>
    <w:p>
      <w:pPr>
        <w:jc w:val="center"/>
        <w:ind w:right="1779"/>
        <w:spacing w:after="0" w:line="238" w:lineRule="auto"/>
        <w:rPr>
          <w:sz w:val="20"/>
          <w:szCs w:val="20"/>
          <w:color w:val="auto"/>
        </w:rPr>
      </w:pPr>
      <w:r>
        <w:rPr>
          <w:rFonts w:ascii="Courier New" w:cs="Courier New" w:eastAsia="Courier New" w:hAnsi="Courier New"/>
          <w:sz w:val="18"/>
          <w:szCs w:val="18"/>
          <w:color w:val="auto"/>
        </w:rPr>
        <w:t>1266 East Main Street, 7th Floor</w:t>
      </w:r>
    </w:p>
    <w:p>
      <w:pPr>
        <w:jc w:val="center"/>
        <w:ind w:right="1779"/>
        <w:spacing w:after="0"/>
        <w:rPr>
          <w:sz w:val="20"/>
          <w:szCs w:val="20"/>
          <w:color w:val="auto"/>
        </w:rPr>
      </w:pPr>
      <w:r>
        <w:rPr>
          <w:rFonts w:ascii="Courier New" w:cs="Courier New" w:eastAsia="Courier New" w:hAnsi="Courier New"/>
          <w:sz w:val="18"/>
          <w:szCs w:val="18"/>
          <w:color w:val="auto"/>
        </w:rPr>
        <w:t>Stamford, CT 06902</w:t>
      </w:r>
    </w:p>
    <w:p>
      <w:pPr>
        <w:ind w:left="4120" w:hanging="636"/>
        <w:spacing w:after="0" w:line="237" w:lineRule="auto"/>
        <w:tabs>
          <w:tab w:leader="none" w:pos="412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352-4000</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Address and Telephone Number of Person Authorized to Receive Notices</w:t>
      </w:r>
    </w:p>
    <w:p>
      <w:pPr>
        <w:jc w:val="center"/>
        <w:ind w:right="1679"/>
        <w:spacing w:after="0"/>
        <w:rPr>
          <w:sz w:val="20"/>
          <w:szCs w:val="20"/>
          <w:color w:val="auto"/>
        </w:rPr>
      </w:pPr>
      <w:r>
        <w:rPr>
          <w:rFonts w:ascii="Courier New" w:cs="Courier New" w:eastAsia="Courier New" w:hAnsi="Courier New"/>
          <w:sz w:val="18"/>
          <w:szCs w:val="18"/>
          <w:color w:val="auto"/>
        </w:rPr>
        <w:t>and Communications)</w:t>
      </w:r>
    </w:p>
    <w:p>
      <w:pPr>
        <w:spacing w:after="0" w:line="200"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November 27, 2007</w:t>
      </w:r>
    </w:p>
    <w:p>
      <w:pPr>
        <w:spacing w:after="0" w:line="4" w:lineRule="exact"/>
        <w:rPr>
          <w:sz w:val="24"/>
          <w:szCs w:val="24"/>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If the filing person has previously filed a statement on Schedule 13G to report the acquisition that is the subject of this Schedule 13D, and is filing this schedule because of Rule 13d-1(e), Rule 13d-1(f) or Rule 13d-1(g), check the following box |_|.</w:t>
      </w:r>
    </w:p>
    <w:p>
      <w:pPr>
        <w:spacing w:after="0" w:line="207" w:lineRule="exact"/>
        <w:rPr>
          <w:sz w:val="24"/>
          <w:szCs w:val="24"/>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Note: Schedules filed in paper format shall include a signed original and five copies of the schedule, including all exhibits. See Rule 13d-7 for other parties to whom copies are to be sent.</w:t>
      </w:r>
    </w:p>
    <w:p>
      <w:pPr>
        <w:spacing w:after="0" w:line="209"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207" w:lineRule="exact"/>
        <w:rPr>
          <w:sz w:val="24"/>
          <w:szCs w:val="24"/>
          <w:color w:val="auto"/>
        </w:rPr>
      </w:pPr>
    </w:p>
    <w:p>
      <w:pPr>
        <w:ind w:right="1779"/>
        <w:spacing w:after="0" w:line="275" w:lineRule="auto"/>
        <w:rPr>
          <w:sz w:val="20"/>
          <w:szCs w:val="20"/>
          <w:color w:val="auto"/>
        </w:rPr>
      </w:pPr>
      <w:r>
        <w:rPr>
          <w:rFonts w:ascii="Courier New" w:cs="Courier New" w:eastAsia="Courier New" w:hAnsi="Courier New"/>
          <w:sz w:val="16"/>
          <w:szCs w:val="16"/>
          <w:color w:val="auto"/>
        </w:rPr>
        <w:t>The information required on the remainder of this cover page shall not be deemed to be "filed" for the purpose of Section 18 of the Securities Exchange Act of 1934 or otherwise subject to the liabilities of that section of the Act but shall be subject to all other provisions of the Act (however, see the Notes).</w:t>
      </w:r>
    </w:p>
    <w:p>
      <w:pPr>
        <w:sectPr>
          <w:pgSz w:w="11900" w:h="16838" w:orient="portrait"/>
          <w:cols w:equalWidth="0" w:num="1">
            <w:col w:w="10219"/>
          </w:cols>
          <w:pgMar w:left="240" w:top="244" w:right="1440"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363"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No. 148711104</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SCHEDULE 13D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343" w:lineRule="exact"/>
        <w:rPr>
          <w:sz w:val="24"/>
          <w:szCs w:val="24"/>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Page 2 of 4 Pages</w:t>
      </w:r>
    </w:p>
    <w:p>
      <w:pPr>
        <w:spacing w:after="0" w:line="4" w:lineRule="exact"/>
        <w:rPr>
          <w:sz w:val="24"/>
          <w:szCs w:val="24"/>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ectPr>
          <w:pgSz w:w="11900" w:h="16838" w:orient="portrait"/>
          <w:cols w:equalWidth="0" w:num="3">
            <w:col w:w="3060" w:space="520"/>
            <w:col w:w="1400" w:space="720"/>
            <w:col w:w="4519"/>
          </w:cols>
          <w:pgMar w:left="240" w:top="244" w:right="1440" w:bottom="0" w:gutter="0" w:footer="0" w:header="0"/>
          <w:type w:val="continuous"/>
        </w:sectPr>
      </w:pPr>
    </w:p>
    <w:p>
      <w:pPr>
        <w:spacing w:after="0" w:line="24" w:lineRule="exact"/>
        <w:rPr>
          <w:sz w:val="24"/>
          <w:szCs w:val="24"/>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w:t>
      </w:r>
      <w:r>
        <w:rPr>
          <w:rFonts w:ascii="Courier New" w:cs="Courier New" w:eastAsia="Courier New" w:hAnsi="Courier New"/>
          <w:sz w:val="16"/>
          <w:szCs w:val="16"/>
          <w:color w:val="auto"/>
        </w:rPr>
        <w:t>NAME OF REPORTING PERSON</w:t>
      </w:r>
    </w:p>
    <w:p>
      <w:pPr>
        <w:ind w:left="5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I.R.S. IDENTIFICATION NO. OF ABOVE PERSON (ENTITIES ONLY)</w:t>
      </w:r>
    </w:p>
    <w:p>
      <w:pPr>
        <w:spacing w:after="0" w:line="202"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Chilton Investment Company, LLC</w:t>
      </w:r>
    </w:p>
    <w:p>
      <w:pPr>
        <w:spacing w:after="0" w:line="4" w:lineRule="exact"/>
        <w:rPr>
          <w:sz w:val="24"/>
          <w:szCs w:val="24"/>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2</w:t>
      </w:r>
      <w:r>
        <w:rPr>
          <w:rFonts w:ascii="Courier New" w:cs="Courier New" w:eastAsia="Courier New" w:hAnsi="Courier New"/>
          <w:sz w:val="16"/>
          <w:szCs w:val="16"/>
          <w:color w:val="auto"/>
        </w:rPr>
        <w:t>CHECK THE APPROPRIATE BOX IF A MEMBER OF A GROUP  (a) |_| (b) |X|</w:t>
      </w:r>
    </w:p>
    <w:p>
      <w:pPr>
        <w:spacing w:after="0" w:line="200" w:lineRule="exact"/>
        <w:rPr>
          <w:rFonts w:ascii="Courier New" w:cs="Courier New" w:eastAsia="Courier New" w:hAnsi="Courier New"/>
          <w:sz w:val="16"/>
          <w:szCs w:val="16"/>
          <w:color w:val="auto"/>
        </w:rPr>
      </w:pPr>
    </w:p>
    <w:p>
      <w:pPr>
        <w:spacing w:after="0" w:line="209"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3</w:t>
      </w:r>
      <w:r>
        <w:rPr>
          <w:rFonts w:ascii="Courier New" w:cs="Courier New" w:eastAsia="Courier New" w:hAnsi="Courier New"/>
          <w:sz w:val="16"/>
          <w:szCs w:val="16"/>
          <w:color w:val="auto"/>
        </w:rPr>
        <w:t>SEC USE ONLY</w:t>
      </w:r>
    </w:p>
    <w:p>
      <w:pPr>
        <w:spacing w:after="0" w:line="200" w:lineRule="exact"/>
        <w:rPr>
          <w:rFonts w:ascii="Courier New" w:cs="Courier New" w:eastAsia="Courier New" w:hAnsi="Courier New"/>
          <w:sz w:val="16"/>
          <w:szCs w:val="16"/>
          <w:color w:val="auto"/>
        </w:rPr>
      </w:pPr>
    </w:p>
    <w:p>
      <w:pPr>
        <w:spacing w:after="0" w:line="209"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4</w:t>
      </w:r>
      <w:r>
        <w:rPr>
          <w:rFonts w:ascii="Courier New" w:cs="Courier New" w:eastAsia="Courier New" w:hAnsi="Courier New"/>
          <w:sz w:val="16"/>
          <w:szCs w:val="16"/>
          <w:color w:val="auto"/>
        </w:rPr>
        <w:t>SOURCE OF FUNDS</w:t>
      </w:r>
    </w:p>
    <w:p>
      <w:pPr>
        <w:spacing w:after="0" w:line="202"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AF, OO</w:t>
      </w:r>
    </w:p>
    <w:p>
      <w:pPr>
        <w:spacing w:after="0" w:line="4" w:lineRule="exact"/>
        <w:rPr>
          <w:sz w:val="24"/>
          <w:szCs w:val="24"/>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540" w:right="2319" w:hanging="527"/>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5CHECK IF DISCLOSURE OF LEGAL PROCEEDINGS IS REQUIRED PURSUANT TO ITEMS 2(d) or 2(e)</w:t>
      </w:r>
    </w:p>
    <w:p>
      <w:pPr>
        <w:spacing w:after="0" w:line="203"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|_|</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244" w:right="1440" w:bottom="0" w:gutter="0" w:footer="0" w:header="0"/>
          <w:type w:val="continuous"/>
        </w:sectPr>
      </w:pPr>
    </w:p>
    <w:bookmarkStart w:id="1" w:name="page2"/>
    <w:bookmarkEnd w:id="1"/>
    <w:p>
      <w:pPr>
        <w:ind w:left="540" w:hanging="532"/>
        <w:spacing w:after="0"/>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0"/>
          <w:szCs w:val="20"/>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70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7</w:t>
      </w:r>
      <w:r>
        <w:rPr>
          <w:rFonts w:ascii="Courier New" w:cs="Courier New" w:eastAsia="Courier New" w:hAnsi="Courier New"/>
          <w:sz w:val="16"/>
          <w:szCs w:val="16"/>
          <w:color w:val="auto"/>
        </w:rPr>
        <w:t>SOLE VOTING POWER</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4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120" w:type="dxa"/>
            <w:vAlign w:val="bottom"/>
          </w:tcPr>
          <w:p>
            <w:pPr>
              <w:spacing w:after="0"/>
              <w:rPr>
                <w:sz w:val="20"/>
                <w:szCs w:val="20"/>
                <w:color w:val="auto"/>
              </w:rPr>
            </w:pPr>
            <w:r>
              <w:rPr>
                <w:rFonts w:ascii="Courier New" w:cs="Courier New" w:eastAsia="Courier New" w:hAnsi="Courier New"/>
                <w:sz w:val="18"/>
                <w:szCs w:val="18"/>
                <w:color w:val="auto"/>
              </w:rPr>
              <w:t>8,879,099</w:t>
            </w:r>
          </w:p>
        </w:tc>
      </w:tr>
      <w:tr>
        <w:trPr>
          <w:trHeight w:val="203"/>
        </w:trPr>
        <w:tc>
          <w:tcPr>
            <w:tcW w:w="1480" w:type="dxa"/>
            <w:vAlign w:val="bottom"/>
          </w:tcPr>
          <w:p>
            <w:pPr>
              <w:spacing w:after="0"/>
              <w:rPr>
                <w:sz w:val="17"/>
                <w:szCs w:val="17"/>
                <w:color w:val="auto"/>
              </w:rPr>
            </w:pPr>
          </w:p>
        </w:tc>
        <w:tc>
          <w:tcPr>
            <w:tcW w:w="69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NUMBER OF</w:t>
            </w:r>
          </w:p>
        </w:tc>
        <w:tc>
          <w:tcPr>
            <w:tcW w:w="8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8</w:t>
            </w:r>
          </w:p>
        </w:tc>
        <w:tc>
          <w:tcPr>
            <w:tcW w:w="612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8"/>
              </w:rPr>
              <w:t>SHARES</w:t>
            </w:r>
          </w:p>
        </w:tc>
        <w:tc>
          <w:tcPr>
            <w:tcW w:w="840" w:type="dxa"/>
            <w:vAlign w:val="bottom"/>
          </w:tcPr>
          <w:p>
            <w:pPr>
              <w:spacing w:after="0"/>
              <w:rPr>
                <w:sz w:val="17"/>
                <w:szCs w:val="17"/>
                <w:color w:val="auto"/>
              </w:rPr>
            </w:pPr>
          </w:p>
        </w:tc>
        <w:tc>
          <w:tcPr>
            <w:tcW w:w="6120" w:type="dxa"/>
            <w:vAlign w:val="bottom"/>
          </w:tcPr>
          <w:p>
            <w:pPr>
              <w:spacing w:after="0"/>
              <w:rPr>
                <w:sz w:val="17"/>
                <w:szCs w:val="17"/>
                <w:color w:val="auto"/>
              </w:rPr>
            </w:pP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8"/>
              </w:rPr>
              <w:t>BENEFICIALLY</w:t>
            </w:r>
          </w:p>
        </w:tc>
        <w:tc>
          <w:tcPr>
            <w:tcW w:w="840" w:type="dxa"/>
            <w:vAlign w:val="bottom"/>
          </w:tcPr>
          <w:p>
            <w:pPr>
              <w:spacing w:after="0"/>
              <w:rPr>
                <w:sz w:val="17"/>
                <w:szCs w:val="17"/>
                <w:color w:val="auto"/>
              </w:rPr>
            </w:pPr>
          </w:p>
        </w:tc>
        <w:tc>
          <w:tcPr>
            <w:tcW w:w="6120" w:type="dxa"/>
            <w:vAlign w:val="bottom"/>
          </w:tcPr>
          <w:p>
            <w:pPr>
              <w:spacing w:after="0"/>
              <w:rPr>
                <w:sz w:val="17"/>
                <w:szCs w:val="17"/>
                <w:color w:val="auto"/>
              </w:rPr>
            </w:pP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840" w:type="dxa"/>
            <w:vAlign w:val="bottom"/>
          </w:tcPr>
          <w:p>
            <w:pPr>
              <w:spacing w:after="0"/>
              <w:rPr>
                <w:sz w:val="17"/>
                <w:szCs w:val="17"/>
                <w:color w:val="auto"/>
              </w:rPr>
            </w:pPr>
          </w:p>
        </w:tc>
        <w:tc>
          <w:tcPr>
            <w:tcW w:w="612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rPr>
              <w:t>EACH</w:t>
            </w:r>
          </w:p>
        </w:tc>
        <w:tc>
          <w:tcPr>
            <w:tcW w:w="69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REPORTING</w:t>
            </w:r>
          </w:p>
        </w:tc>
        <w:tc>
          <w:tcPr>
            <w:tcW w:w="8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9</w:t>
            </w:r>
          </w:p>
        </w:tc>
        <w:tc>
          <w:tcPr>
            <w:tcW w:w="612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8"/>
              </w:rPr>
              <w:t>PERSON</w:t>
            </w:r>
          </w:p>
        </w:tc>
        <w:tc>
          <w:tcPr>
            <w:tcW w:w="840" w:type="dxa"/>
            <w:vAlign w:val="bottom"/>
          </w:tcPr>
          <w:p>
            <w:pPr>
              <w:spacing w:after="0"/>
              <w:rPr>
                <w:sz w:val="17"/>
                <w:szCs w:val="17"/>
                <w:color w:val="auto"/>
              </w:rPr>
            </w:pPr>
          </w:p>
        </w:tc>
        <w:tc>
          <w:tcPr>
            <w:tcW w:w="6120" w:type="dxa"/>
            <w:vAlign w:val="bottom"/>
          </w:tcPr>
          <w:p>
            <w:pPr>
              <w:spacing w:after="0"/>
              <w:rPr>
                <w:sz w:val="17"/>
                <w:szCs w:val="17"/>
                <w:color w:val="auto"/>
              </w:rPr>
            </w:pP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rPr>
              <w:t>WITH</w:t>
            </w:r>
          </w:p>
        </w:tc>
        <w:tc>
          <w:tcPr>
            <w:tcW w:w="840" w:type="dxa"/>
            <w:vAlign w:val="bottom"/>
          </w:tcPr>
          <w:p>
            <w:pPr>
              <w:spacing w:after="0"/>
              <w:rPr>
                <w:sz w:val="17"/>
                <w:szCs w:val="17"/>
                <w:color w:val="auto"/>
              </w:rPr>
            </w:pPr>
          </w:p>
        </w:tc>
        <w:tc>
          <w:tcPr>
            <w:tcW w:w="6120" w:type="dxa"/>
            <w:vAlign w:val="bottom"/>
          </w:tcPr>
          <w:p>
            <w:pPr>
              <w:spacing w:after="0" w:line="203" w:lineRule="exact"/>
              <w:rPr>
                <w:sz w:val="20"/>
                <w:szCs w:val="20"/>
                <w:color w:val="auto"/>
              </w:rPr>
            </w:pPr>
            <w:r>
              <w:rPr>
                <w:rFonts w:ascii="Courier New" w:cs="Courier New" w:eastAsia="Courier New" w:hAnsi="Courier New"/>
                <w:sz w:val="18"/>
                <w:szCs w:val="18"/>
                <w:color w:val="auto"/>
              </w:rPr>
              <w:t>8,879,099</w:t>
            </w:r>
          </w:p>
        </w:tc>
      </w:tr>
    </w:tbl>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w:t>
      </w:r>
    </w:p>
    <w:p>
      <w:pPr>
        <w:ind w:left="2320" w:hanging="627"/>
        <w:spacing w:after="0" w:line="238" w:lineRule="auto"/>
        <w:tabs>
          <w:tab w:leader="none" w:pos="232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0" w:lineRule="exact"/>
        <w:rPr>
          <w:rFonts w:ascii="Courier New" w:cs="Courier New" w:eastAsia="Courier New" w:hAnsi="Courier New"/>
          <w:sz w:val="18"/>
          <w:szCs w:val="18"/>
          <w:color w:val="auto"/>
        </w:rPr>
      </w:pPr>
    </w:p>
    <w:p>
      <w:pPr>
        <w:spacing w:after="0" w:line="209"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11</w:t>
      </w:r>
      <w:r>
        <w:rPr>
          <w:rFonts w:ascii="Courier New" w:cs="Courier New" w:eastAsia="Courier New" w:hAnsi="Courier New"/>
          <w:sz w:val="16"/>
          <w:szCs w:val="16"/>
          <w:color w:val="auto"/>
        </w:rPr>
        <w:t>AGGREGATE AMOUNT BENEFICIALLY OWNED BY EACH REPORTING PERSON</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8,879,099</w:t>
      </w:r>
    </w:p>
    <w:p>
      <w:pPr>
        <w:spacing w:after="0" w:line="4" w:lineRule="exact"/>
        <w:rPr>
          <w:sz w:val="20"/>
          <w:szCs w:val="20"/>
          <w:color w:val="auto"/>
        </w:rPr>
      </w:pPr>
    </w:p>
    <w:p>
      <w:pPr>
        <w:ind w:left="220" w:hanging="212"/>
        <w:spacing w:after="0"/>
        <w:tabs>
          <w:tab w:leader="none" w:pos="2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12</w:t>
      </w:r>
      <w:r>
        <w:rPr>
          <w:rFonts w:ascii="Courier New" w:cs="Courier New" w:eastAsia="Courier New" w:hAnsi="Courier New"/>
          <w:sz w:val="16"/>
          <w:szCs w:val="16"/>
          <w:color w:val="auto"/>
        </w:rPr>
        <w:t>CHECK IF THE AGGREGATE AMOUNT IN ROW (11) EXCLUDES CERTAIN SHARES</w:t>
      </w:r>
    </w:p>
    <w:p>
      <w:pPr>
        <w:spacing w:after="0" w:line="200" w:lineRule="exact"/>
        <w:rPr>
          <w:rFonts w:ascii="Courier New" w:cs="Courier New" w:eastAsia="Courier New" w:hAnsi="Courier New"/>
          <w:sz w:val="16"/>
          <w:szCs w:val="16"/>
          <w:color w:val="auto"/>
        </w:rPr>
      </w:pPr>
    </w:p>
    <w:p>
      <w:pPr>
        <w:spacing w:after="0" w:line="209"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13</w:t>
      </w:r>
      <w:r>
        <w:rPr>
          <w:rFonts w:ascii="Courier New" w:cs="Courier New" w:eastAsia="Courier New" w:hAnsi="Courier New"/>
          <w:sz w:val="16"/>
          <w:szCs w:val="16"/>
          <w:color w:val="auto"/>
        </w:rPr>
        <w:t>PERCENT OF CLASS REPRESENTED BY AMOUNT IN ROW (11)</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21.3%</w:t>
      </w:r>
    </w:p>
    <w:p>
      <w:pPr>
        <w:spacing w:after="0" w:line="4" w:lineRule="exact"/>
        <w:rPr>
          <w:sz w:val="20"/>
          <w:szCs w:val="20"/>
          <w:color w:val="auto"/>
        </w:rPr>
      </w:pPr>
    </w:p>
    <w:p>
      <w:pPr>
        <w:ind w:left="220" w:hanging="212"/>
        <w:spacing w:after="0"/>
        <w:tabs>
          <w:tab w:leader="none" w:pos="22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14</w:t>
      </w:r>
      <w:r>
        <w:rPr>
          <w:rFonts w:ascii="Courier New" w:cs="Courier New" w:eastAsia="Courier New" w:hAnsi="Courier New"/>
          <w:sz w:val="16"/>
          <w:szCs w:val="16"/>
          <w:color w:val="auto"/>
        </w:rPr>
        <w:t>TYPE OF REPORTING PERSON (See Instructions)</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IA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136"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 148711104</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SCHEDULE 13D</w:t>
      </w:r>
    </w:p>
    <w:p>
      <w:pPr>
        <w:spacing w:after="0" w:line="20" w:lineRule="exact"/>
        <w:rPr>
          <w:sz w:val="20"/>
          <w:szCs w:val="20"/>
          <w:color w:val="auto"/>
        </w:rPr>
      </w:pPr>
      <w:r>
        <w:rPr>
          <w:sz w:val="20"/>
          <w:szCs w:val="20"/>
          <w:color w:val="auto"/>
        </w:rPr>
        <w:br w:type="column"/>
      </w:r>
    </w:p>
    <w:p>
      <w:pPr>
        <w:ind w:left="2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3 of 4 Pages</w:t>
      </w:r>
    </w:p>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3">
            <w:col w:w="3160" w:space="540"/>
            <w:col w:w="1380" w:space="720"/>
            <w:col w:w="4419"/>
          </w:cols>
          <w:pgMar w:left="240" w:top="723" w:right="1440" w:bottom="1440" w:gutter="0" w:footer="0" w:header="0"/>
        </w:sectPr>
      </w:pPr>
    </w:p>
    <w:p>
      <w:pPr>
        <w:spacing w:after="0" w:line="18"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w:t>
      </w:r>
      <w:r>
        <w:rPr>
          <w:sz w:val="20"/>
          <w:szCs w:val="20"/>
          <w:color w:val="auto"/>
        </w:rPr>
        <w:tab/>
      </w:r>
      <w:r>
        <w:rPr>
          <w:rFonts w:ascii="Courier New" w:cs="Courier New" w:eastAsia="Courier New" w:hAnsi="Courier New"/>
          <w:sz w:val="16"/>
          <w:szCs w:val="16"/>
          <w:color w:val="auto"/>
        </w:rPr>
        <w:t>Security and Issuer.</w:t>
      </w:r>
    </w:p>
    <w:p>
      <w:pPr>
        <w:spacing w:after="0" w:line="207" w:lineRule="exact"/>
        <w:rPr>
          <w:sz w:val="20"/>
          <w:szCs w:val="20"/>
          <w:color w:val="auto"/>
        </w:rPr>
      </w:pPr>
    </w:p>
    <w:p>
      <w:pPr>
        <w:ind w:right="1779" w:firstLine="632"/>
        <w:spacing w:after="0" w:line="238" w:lineRule="auto"/>
        <w:rPr>
          <w:sz w:val="20"/>
          <w:szCs w:val="20"/>
          <w:color w:val="auto"/>
        </w:rPr>
      </w:pPr>
      <w:r>
        <w:rPr>
          <w:rFonts w:ascii="Courier New" w:cs="Courier New" w:eastAsia="Courier New" w:hAnsi="Courier New"/>
          <w:sz w:val="18"/>
          <w:szCs w:val="18"/>
          <w:color w:val="auto"/>
        </w:rPr>
        <w:t>Pursuant to Rule 13d-2(b) of Regulation 13D-G under the Securities Exchange Act of 1934, as amended, the Schedule 13G initially filed on November 10, 2005, by Chilton Investment Company, LLC (the "Reporting Person") with respect to the Common Stock, $0.01 par value (the "Common Stock"), of Casual Male Retail Group, Inc., a Delaware corporation (the "Schedule 13G"), as amended by Amendment No. 1 to the Schedule 13G filed on February 14, 2006, replaced by the Schedule 13D filed on May 9, 2006 (the "Schedule 13D"), as amended by Amendment No.1 to the Schedule 13D filed on June 9, 2006, Amendment No. 2 to the Schedule 13D filed on June 29, 2006, Amendment No. 3 to the 13D filed on April 13, 2006 and Amendment No. 4 to the 13D filed on July 19, 2007, replaced by Amendment No. 2 to the Schedule 13G filed on July 20, 2007, and replaced by Amendment No. 5 to the Schedule 13D filed on October 23, 2007, is hereby amended by this Amendment No. 6 to the Schedule 13D to report a change in beneficial ownership. The Schedule 13D is amended as follows:</w:t>
      </w:r>
    </w:p>
    <w:p>
      <w:pPr>
        <w:spacing w:after="0" w:line="202"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Interest in Securities of the Issuer.</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Item 5(a) is hereby supplemented by the addition of the following:</w:t>
      </w:r>
    </w:p>
    <w:p>
      <w:pPr>
        <w:spacing w:after="0" w:line="207" w:lineRule="exact"/>
        <w:rPr>
          <w:sz w:val="20"/>
          <w:szCs w:val="20"/>
          <w:color w:val="auto"/>
        </w:rPr>
      </w:pPr>
    </w:p>
    <w:p>
      <w:pPr>
        <w:ind w:right="1779" w:firstLine="1272"/>
        <w:spacing w:after="0" w:line="237" w:lineRule="auto"/>
        <w:tabs>
          <w:tab w:leader="none" w:pos="1685"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of the date hereof, the Reporting Person is deemed to be the beneficial owner (through its control of the Client Accounts) of 8,879,099 shares representing 21.3% of the Issuer's Common Stock. The foregoing calculations are based on 41,561,080 shares of Common Stock issued and outstanding as of August 17, 2007 according to publicly available filings of the Issuer.</w:t>
      </w:r>
    </w:p>
    <w:p>
      <w:pPr>
        <w:spacing w:after="0" w:line="204"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Item 5(c) is hereby supplemented by the addition of the following:</w:t>
      </w:r>
    </w:p>
    <w:p>
      <w:pPr>
        <w:spacing w:after="0" w:line="207" w:lineRule="exact"/>
        <w:rPr>
          <w:sz w:val="20"/>
          <w:szCs w:val="20"/>
          <w:color w:val="auto"/>
        </w:rPr>
      </w:pPr>
    </w:p>
    <w:p>
      <w:pPr>
        <w:ind w:right="1779" w:firstLine="1272"/>
        <w:spacing w:after="0" w:line="236" w:lineRule="auto"/>
        <w:tabs>
          <w:tab w:leader="none" w:pos="1685"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number of shares and the price per share of all transactions effected by the Reporting Person since the most recent filing of the Schedule 13D:</w:t>
      </w:r>
    </w:p>
    <w:p>
      <w:pPr>
        <w:spacing w:after="0" w:line="209" w:lineRule="exact"/>
        <w:rPr>
          <w:sz w:val="20"/>
          <w:szCs w:val="20"/>
          <w:color w:val="auto"/>
        </w:rPr>
      </w:pPr>
    </w:p>
    <w:p>
      <w:pPr>
        <w:ind w:left="1280" w:right="2199" w:hanging="640"/>
        <w:spacing w:after="0" w:line="268" w:lineRule="auto"/>
        <w:tabs>
          <w:tab w:leader="none" w:pos="128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 October 22, 2007, 2,700 shares of Common Stock were purchased through Credit Suisse at a price per share of $7.4352.</w:t>
      </w:r>
    </w:p>
    <w:p>
      <w:pPr>
        <w:ind w:left="1280" w:right="2099" w:hanging="640"/>
        <w:spacing w:after="0" w:line="235" w:lineRule="auto"/>
        <w:tabs>
          <w:tab w:leader="none" w:pos="128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October 22, 2007, 97,300 shares of Common Stock were purchased through Susquehanna at a price per share of $7.5000.</w:t>
      </w:r>
    </w:p>
    <w:p>
      <w:pPr>
        <w:spacing w:after="0" w:line="5" w:lineRule="exact"/>
        <w:rPr>
          <w:rFonts w:ascii="Courier New" w:cs="Courier New" w:eastAsia="Courier New" w:hAnsi="Courier New"/>
          <w:sz w:val="18"/>
          <w:szCs w:val="18"/>
          <w:color w:val="auto"/>
        </w:rPr>
      </w:pPr>
    </w:p>
    <w:p>
      <w:pPr>
        <w:ind w:left="1280" w:right="2199" w:hanging="640"/>
        <w:spacing w:after="0" w:line="268" w:lineRule="auto"/>
        <w:tabs>
          <w:tab w:leader="none" w:pos="128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 October 23, 2007, 8,712 shares of Common Stock were purchased through Credit Suisse at a price per share of $7.4700.</w:t>
      </w:r>
    </w:p>
    <w:p>
      <w:pPr>
        <w:ind w:left="1280" w:right="2099" w:hanging="640"/>
        <w:spacing w:after="0" w:line="235" w:lineRule="auto"/>
        <w:tabs>
          <w:tab w:leader="none" w:pos="128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October 23, 2007, 51,288 shares of Common Stock were purchased through Susquehanna at a price per share of $7.5000.</w:t>
      </w:r>
    </w:p>
    <w:p>
      <w:pPr>
        <w:spacing w:after="0" w:line="5" w:lineRule="exact"/>
        <w:rPr>
          <w:rFonts w:ascii="Courier New" w:cs="Courier New" w:eastAsia="Courier New" w:hAnsi="Courier New"/>
          <w:sz w:val="18"/>
          <w:szCs w:val="18"/>
          <w:color w:val="auto"/>
        </w:rPr>
      </w:pPr>
    </w:p>
    <w:p>
      <w:pPr>
        <w:ind w:left="1280" w:right="1879" w:hanging="640"/>
        <w:spacing w:after="0" w:line="235" w:lineRule="auto"/>
        <w:tabs>
          <w:tab w:leader="none" w:pos="128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October 24, 2007, 1,739 shares of Common Stock were sold through Credit Suisse at a price per share of $7.4730.</w:t>
      </w:r>
    </w:p>
    <w:p>
      <w:pPr>
        <w:spacing w:after="0" w:line="5" w:lineRule="exact"/>
        <w:rPr>
          <w:rFonts w:ascii="Courier New" w:cs="Courier New" w:eastAsia="Courier New" w:hAnsi="Courier New"/>
          <w:sz w:val="18"/>
          <w:szCs w:val="18"/>
          <w:color w:val="auto"/>
        </w:rPr>
      </w:pPr>
    </w:p>
    <w:p>
      <w:pPr>
        <w:ind w:left="1280" w:right="2099" w:hanging="640"/>
        <w:spacing w:after="0" w:line="235" w:lineRule="auto"/>
        <w:tabs>
          <w:tab w:leader="none" w:pos="128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October 25, 2007, 50,000 shares of Common Stock were purchased through Susquehanna at a price per share of $8.1047.</w:t>
      </w:r>
    </w:p>
    <w:p>
      <w:pPr>
        <w:spacing w:after="0" w:line="5" w:lineRule="exact"/>
        <w:rPr>
          <w:rFonts w:ascii="Courier New" w:cs="Courier New" w:eastAsia="Courier New" w:hAnsi="Courier New"/>
          <w:sz w:val="18"/>
          <w:szCs w:val="18"/>
          <w:color w:val="auto"/>
        </w:rPr>
      </w:pPr>
    </w:p>
    <w:p>
      <w:pPr>
        <w:ind w:left="1280" w:right="2099" w:hanging="640"/>
        <w:spacing w:after="0" w:line="268" w:lineRule="auto"/>
        <w:tabs>
          <w:tab w:leader="none" w:pos="128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 November 6, 2007, 25,012 shares of Common Stock were purchased through Lehman Brothers at a price per share of $7.5977.</w:t>
      </w:r>
    </w:p>
    <w:p>
      <w:pPr>
        <w:ind w:left="1280" w:right="2099" w:hanging="640"/>
        <w:spacing w:after="0" w:line="235" w:lineRule="auto"/>
        <w:tabs>
          <w:tab w:leader="none" w:pos="128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November 6, 2007, 50,000 shares of Common Stock were purchased through Susquehanna at a price per share of $7.6000.</w:t>
      </w:r>
    </w:p>
    <w:p>
      <w:pPr>
        <w:sectPr>
          <w:pgSz w:w="11900" w:h="16838" w:orient="portrait"/>
          <w:cols w:equalWidth="0" w:num="1">
            <w:col w:w="10219"/>
          </w:cols>
          <w:pgMar w:left="240" w:top="723" w:right="1440" w:bottom="1440" w:gutter="0" w:footer="0" w:header="0"/>
          <w:type w:val="continuous"/>
        </w:sectPr>
      </w:pPr>
    </w:p>
    <w:bookmarkStart w:id="3" w:name="page4"/>
    <w:bookmarkEnd w:id="3"/>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 148711104</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SCHEDULE 13D</w:t>
      </w:r>
    </w:p>
    <w:p>
      <w:pPr>
        <w:spacing w:after="0" w:line="20" w:lineRule="exact"/>
        <w:rPr>
          <w:sz w:val="20"/>
          <w:szCs w:val="20"/>
          <w:color w:val="auto"/>
        </w:rPr>
      </w:pPr>
      <w:r>
        <w:rPr>
          <w:sz w:val="20"/>
          <w:szCs w:val="20"/>
          <w:color w:val="auto"/>
        </w:rPr>
        <w:br w:type="column"/>
      </w:r>
    </w:p>
    <w:p>
      <w:pPr>
        <w:ind w:left="2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4 of 4 Pages</w:t>
      </w:r>
    </w:p>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3">
            <w:col w:w="3160" w:space="540"/>
            <w:col w:w="1380" w:space="720"/>
            <w:col w:w="4419"/>
          </w:cols>
          <w:pgMar w:left="240" w:top="723" w:right="1440" w:bottom="1440" w:gutter="0" w:footer="0" w:header="0"/>
        </w:sectPr>
      </w:pPr>
    </w:p>
    <w:p>
      <w:pPr>
        <w:spacing w:after="0" w:line="24" w:lineRule="exact"/>
        <w:rPr>
          <w:sz w:val="20"/>
          <w:szCs w:val="20"/>
          <w:color w:val="auto"/>
        </w:rPr>
      </w:pPr>
    </w:p>
    <w:p>
      <w:pPr>
        <w:ind w:left="1280" w:right="2099" w:hanging="640"/>
        <w:spacing w:after="0" w:line="268" w:lineRule="auto"/>
        <w:tabs>
          <w:tab w:leader="none" w:pos="128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 November 6, 2007, 26,823 shares of Common Stock were purchased through Lehman Brothers at a price per share of $7.6573.</w:t>
      </w:r>
    </w:p>
    <w:p>
      <w:pPr>
        <w:ind w:left="1280" w:right="2419" w:hanging="640"/>
        <w:spacing w:after="0" w:line="268" w:lineRule="auto"/>
        <w:tabs>
          <w:tab w:leader="none" w:pos="128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 November 7, 2007, 663 shares of Common Stock were purchased through Bank of America at a price per share of $7.4202.</w:t>
      </w:r>
    </w:p>
    <w:p>
      <w:pPr>
        <w:ind w:left="1280" w:right="2099" w:hanging="640"/>
        <w:spacing w:after="0" w:line="235" w:lineRule="auto"/>
        <w:tabs>
          <w:tab w:leader="none" w:pos="128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November 8, 2007, 13,200 shares of Common Stock were purchased through Liquidnet at a price per share of $7.1650.</w:t>
      </w:r>
    </w:p>
    <w:p>
      <w:pPr>
        <w:spacing w:after="0" w:line="5" w:lineRule="exact"/>
        <w:rPr>
          <w:rFonts w:ascii="Courier New" w:cs="Courier New" w:eastAsia="Courier New" w:hAnsi="Courier New"/>
          <w:sz w:val="18"/>
          <w:szCs w:val="18"/>
          <w:color w:val="auto"/>
        </w:rPr>
      </w:pPr>
    </w:p>
    <w:p>
      <w:pPr>
        <w:ind w:left="1280" w:right="2099" w:hanging="640"/>
        <w:spacing w:after="0" w:line="268" w:lineRule="auto"/>
        <w:tabs>
          <w:tab w:leader="none" w:pos="128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 November 8, 2007, 21,800 shares of Common Stock were purchased through Credit Suisse at a price per share of $6.9971.</w:t>
      </w:r>
    </w:p>
    <w:p>
      <w:pPr>
        <w:ind w:left="1280" w:right="2099" w:hanging="640"/>
        <w:spacing w:after="0" w:line="235" w:lineRule="auto"/>
        <w:tabs>
          <w:tab w:leader="none" w:pos="128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November 8, 2007, 45,000 shares of Common Stock were purchased through Susquehanna at a price per share of $7.1025.</w:t>
      </w:r>
    </w:p>
    <w:p>
      <w:pPr>
        <w:spacing w:after="0" w:line="5" w:lineRule="exact"/>
        <w:rPr>
          <w:rFonts w:ascii="Courier New" w:cs="Courier New" w:eastAsia="Courier New" w:hAnsi="Courier New"/>
          <w:sz w:val="18"/>
          <w:szCs w:val="18"/>
          <w:color w:val="auto"/>
        </w:rPr>
      </w:pPr>
    </w:p>
    <w:p>
      <w:pPr>
        <w:ind w:left="1280" w:right="2099" w:hanging="640"/>
        <w:spacing w:after="0" w:line="235" w:lineRule="auto"/>
        <w:tabs>
          <w:tab w:leader="none" w:pos="128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November 9, 2007, 14,700 shares of Common Stock were purchased through ITG Channel at a price per share of $6.9350.</w:t>
      </w:r>
    </w:p>
    <w:p>
      <w:pPr>
        <w:spacing w:after="0" w:line="5" w:lineRule="exact"/>
        <w:rPr>
          <w:rFonts w:ascii="Courier New" w:cs="Courier New" w:eastAsia="Courier New" w:hAnsi="Courier New"/>
          <w:sz w:val="18"/>
          <w:szCs w:val="18"/>
          <w:color w:val="auto"/>
        </w:rPr>
      </w:pPr>
    </w:p>
    <w:p>
      <w:pPr>
        <w:ind w:left="1280" w:right="2099" w:hanging="640"/>
        <w:spacing w:after="0" w:line="268" w:lineRule="auto"/>
        <w:tabs>
          <w:tab w:leader="none" w:pos="128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 November 9, 2007, 15,293 shares of Common Stock were purchased through Lehman Brothers at a price per share of $7.0984.</w:t>
      </w:r>
    </w:p>
    <w:p>
      <w:pPr>
        <w:ind w:left="1280" w:right="1999" w:hanging="640"/>
        <w:spacing w:after="0" w:line="235" w:lineRule="auto"/>
        <w:tabs>
          <w:tab w:leader="none" w:pos="128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November 14, 2007, 23,207 shares of Common Stock were purchased through JP Morgan at a price per share of $7.4991.</w:t>
      </w:r>
    </w:p>
    <w:p>
      <w:pPr>
        <w:spacing w:after="0" w:line="5" w:lineRule="exact"/>
        <w:rPr>
          <w:rFonts w:ascii="Courier New" w:cs="Courier New" w:eastAsia="Courier New" w:hAnsi="Courier New"/>
          <w:sz w:val="18"/>
          <w:szCs w:val="18"/>
          <w:color w:val="auto"/>
        </w:rPr>
      </w:pPr>
    </w:p>
    <w:p>
      <w:pPr>
        <w:ind w:left="1280" w:right="1999" w:hanging="640"/>
        <w:spacing w:after="0" w:line="235" w:lineRule="auto"/>
        <w:tabs>
          <w:tab w:leader="none" w:pos="128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November 20, 2007, 20,000 shares of Common Stock were purchased through Liquidnet at a price per share of $7.1100.</w:t>
      </w:r>
    </w:p>
    <w:p>
      <w:pPr>
        <w:spacing w:after="0" w:line="5" w:lineRule="exact"/>
        <w:rPr>
          <w:rFonts w:ascii="Courier New" w:cs="Courier New" w:eastAsia="Courier New" w:hAnsi="Courier New"/>
          <w:sz w:val="18"/>
          <w:szCs w:val="18"/>
          <w:color w:val="auto"/>
        </w:rPr>
      </w:pPr>
    </w:p>
    <w:p>
      <w:pPr>
        <w:ind w:left="1280" w:right="2099" w:hanging="640"/>
        <w:spacing w:after="0" w:line="268" w:lineRule="auto"/>
        <w:tabs>
          <w:tab w:leader="none" w:pos="128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 November 20, 2007, 2,500 shares of Common Stock were purchased through Credit Suisse at a price per share of $7.0952.</w:t>
      </w:r>
    </w:p>
    <w:p>
      <w:pPr>
        <w:ind w:left="1280" w:right="1999" w:hanging="640"/>
        <w:spacing w:after="0" w:line="268" w:lineRule="auto"/>
        <w:tabs>
          <w:tab w:leader="none" w:pos="128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 November 27, 2007, 91,977 shares of Common Stock were purchased through Lehman Brothers at a price per share of $7.1183.</w:t>
      </w:r>
    </w:p>
    <w:p>
      <w:pPr>
        <w:ind w:left="1280" w:right="1999" w:hanging="640"/>
        <w:spacing w:after="0" w:line="235" w:lineRule="auto"/>
        <w:tabs>
          <w:tab w:leader="none" w:pos="128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November 27, 2007, 25,500 shares of Common Stock were purchased through Liquidnet at a price per share of $6.9044.</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999" w:firstLine="632"/>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November 28, 2007</w:t>
      </w:r>
    </w:p>
    <w:p>
      <w:pPr>
        <w:spacing w:after="0" w:line="20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Chilton Investment Company, LLC</w:t>
      </w:r>
    </w:p>
    <w:p>
      <w:pPr>
        <w:spacing w:after="0" w:line="200" w:lineRule="exact"/>
        <w:rPr>
          <w:sz w:val="20"/>
          <w:szCs w:val="20"/>
          <w:color w:val="auto"/>
        </w:rPr>
      </w:pPr>
    </w:p>
    <w:p>
      <w:pPr>
        <w:spacing w:after="0" w:line="204" w:lineRule="exact"/>
        <w:rPr>
          <w:sz w:val="20"/>
          <w:szCs w:val="20"/>
          <w:color w:val="auto"/>
        </w:rPr>
      </w:pPr>
    </w:p>
    <w:p>
      <w:pPr>
        <w:jc w:val="center"/>
        <w:ind w:left="820"/>
        <w:spacing w:after="0"/>
        <w:tabs>
          <w:tab w:leader="none" w:pos="30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James Steinthal</w:t>
      </w:r>
    </w:p>
    <w:p>
      <w:pPr>
        <w:spacing w:after="0" w:line="4"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James Steinthal</w:t>
      </w:r>
    </w:p>
    <w:p>
      <w:pPr>
        <w:ind w:left="4120"/>
        <w:spacing w:after="0" w:line="238" w:lineRule="auto"/>
        <w:rPr>
          <w:sz w:val="20"/>
          <w:szCs w:val="20"/>
          <w:color w:val="auto"/>
        </w:rPr>
      </w:pPr>
      <w:r>
        <w:rPr>
          <w:rFonts w:ascii="Courier New" w:cs="Courier New" w:eastAsia="Courier New" w:hAnsi="Courier New"/>
          <w:sz w:val="18"/>
          <w:szCs w:val="18"/>
          <w:color w:val="auto"/>
        </w:rPr>
        <w:t>Managing Director</w:t>
      </w:r>
    </w:p>
    <w:sectPr>
      <w:pgSz w:w="11900" w:h="16838" w:orient="portrait"/>
      <w:cols w:equalWidth="0" w:num="1">
        <w:col w:w="10219"/>
      </w:cols>
      <w:pgMar w:left="240" w:top="723"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
      <w:numFmt w:val="bullet"/>
      <w:start w:val="1"/>
    </w:lvl>
    <w:lvl w:ilvl="1">
      <w:lvlJc w:val="left"/>
      <w:lvlText w:val="(%2)"/>
      <w:numFmt w:val="decimal"/>
      <w:start w:val="203"/>
    </w:lvl>
  </w:abstractNum>
  <w:abstractNum w:abstractNumId="3">
    <w:nsid w:val="4DB127F8"/>
    <w:multiLevelType w:val="hybridMultilevel"/>
    <w:lvl w:ilvl="0">
      <w:lvlJc w:val="left"/>
      <w:lvlText w:val="-"/>
      <w:numFmt w:val="bullet"/>
      <w:start w:val="1"/>
    </w:lvl>
  </w:abstractNum>
  <w:abstractNum w:abstractNumId="4">
    <w:nsid w:val="216231B"/>
    <w:multiLevelType w:val="hybridMultilevel"/>
    <w:lvl w:ilvl="0">
      <w:lvlJc w:val="left"/>
      <w:lvlText w:val="-"/>
      <w:numFmt w:val="bullet"/>
      <w:start w:val="1"/>
    </w:lvl>
  </w:abstractNum>
  <w:abstractNum w:abstractNumId="5">
    <w:nsid w:val="1F16E9E8"/>
    <w:multiLevelType w:val="hybridMultilevel"/>
    <w:lvl w:ilvl="0">
      <w:lvlJc w:val="left"/>
      <w:lvlText w:val="-"/>
      <w:numFmt w:val="bullet"/>
      <w:start w:val="1"/>
    </w:lvl>
  </w:abstractNum>
  <w:abstractNum w:abstractNumId="6">
    <w:nsid w:val="1190CDE7"/>
    <w:multiLevelType w:val="hybridMultilevel"/>
    <w:lvl w:ilvl="0">
      <w:lvlJc w:val="left"/>
      <w:lvlText w:val="-"/>
      <w:numFmt w:val="bullet"/>
      <w:start w:val="1"/>
    </w:lvl>
  </w:abstractNum>
  <w:abstractNum w:abstractNumId="7">
    <w:nsid w:val="66EF438D"/>
    <w:multiLevelType w:val="hybridMultilevel"/>
    <w:lvl w:ilvl="0">
      <w:lvlJc w:val="left"/>
      <w:lvlText w:val="6"/>
      <w:numFmt w:val="bullet"/>
      <w:start w:val="1"/>
    </w:lvl>
  </w:abstractNum>
  <w:abstractNum w:abstractNumId="8">
    <w:nsid w:val="140E0F76"/>
    <w:multiLevelType w:val="hybridMultilevel"/>
    <w:lvl w:ilvl="0">
      <w:lvlJc w:val="left"/>
      <w:lvlText w:val="-"/>
      <w:numFmt w:val="bullet"/>
      <w:start w:val="1"/>
    </w:lvl>
  </w:abstractNum>
  <w:abstractNum w:abstractNumId="9">
    <w:nsid w:val="3352255A"/>
    <w:multiLevelType w:val="hybridMultilevel"/>
    <w:lvl w:ilvl="0">
      <w:lvlJc w:val="left"/>
      <w:lvlText w:val="-"/>
      <w:numFmt w:val="bullet"/>
      <w:start w:val="1"/>
    </w:lvl>
    <w:lvl w:ilvl="1">
      <w:lvlJc w:val="left"/>
      <w:lvlText w:val="%2"/>
      <w:numFmt w:val="decimal"/>
      <w:start w:val="10"/>
    </w:lvl>
  </w:abstractNum>
  <w:abstractNum w:abstractNumId="10">
    <w:nsid w:val="109CF92E"/>
    <w:multiLevelType w:val="hybridMultilevel"/>
    <w:lvl w:ilvl="0">
      <w:lvlJc w:val="left"/>
      <w:lvlText w:val="-"/>
      <w:numFmt w:val="bullet"/>
      <w:start w:val="1"/>
    </w:lvl>
  </w:abstractNum>
  <w:abstractNum w:abstractNumId="11">
    <w:nsid w:val="DED7263"/>
    <w:multiLevelType w:val="hybridMultilevel"/>
    <w:lvl w:ilvl="0">
      <w:lvlJc w:val="left"/>
      <w:lvlText w:val="-"/>
      <w:numFmt w:val="bullet"/>
      <w:start w:val="1"/>
    </w:lvl>
  </w:abstractNum>
  <w:abstractNum w:abstractNumId="12">
    <w:nsid w:val="7FDCC233"/>
    <w:multiLevelType w:val="hybridMultilevel"/>
    <w:lvl w:ilvl="0">
      <w:lvlJc w:val="left"/>
      <w:lvlText w:val="(%1)"/>
      <w:numFmt w:val="lowerLetter"/>
      <w:start w:val="1"/>
    </w:lvl>
  </w:abstractNum>
  <w:abstractNum w:abstractNumId="13">
    <w:nsid w:val="1BEFD79F"/>
    <w:multiLevelType w:val="hybridMultilevel"/>
    <w:lvl w:ilvl="0">
      <w:lvlJc w:val="left"/>
      <w:lvlText w:val="(%1)"/>
      <w:numFmt w:val="lowerLetter"/>
      <w:start w:val="2"/>
    </w:lvl>
  </w:abstractNum>
  <w:abstractNum w:abstractNumId="14">
    <w:nsid w:val="41A7C4C9"/>
    <w:multiLevelType w:val="hybridMultilevel"/>
    <w:lvl w:ilvl="0">
      <w:lvlJc w:val="left"/>
      <w:lvlText w:val="o"/>
      <w:numFmt w:val="bullet"/>
      <w:start w:val="1"/>
    </w:lvl>
  </w:abstractNum>
  <w:abstractNum w:abstractNumId="15">
    <w:nsid w:val="6B68079A"/>
    <w:multiLevelType w:val="hybridMultilevel"/>
    <w:lvl w:ilvl="0">
      <w:lvlJc w:val="left"/>
      <w:lvlText w:val="o"/>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2019-12-20T00:59:58Z</dcterms:created>
  <dcterms:modified xsi:type="dcterms:W3CDTF">2019-12-20T00:59:58Z</dcterms:modified>
</cp:coreProperties>
</file>