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HOLTZMAN SEYMOUR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800"/>
        <w:spacing w:after="0" w:line="402" w:lineRule="auto"/>
        <w:rPr>
          <w:sz w:val="20"/>
          <w:szCs w:val="20"/>
          <w:color w:val="auto"/>
        </w:rPr>
      </w:pPr>
      <w:r>
        <w:rPr>
          <w:rFonts w:ascii="Arial" w:cs="Arial" w:eastAsia="Arial" w:hAnsi="Arial"/>
          <w:sz w:val="16"/>
          <w:szCs w:val="16"/>
          <w:color w:val="0000FF"/>
        </w:rPr>
        <w:t>C/O JEWELCOR - 4TH FLOOR 100 N WILKES BARRE BLVD</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1020" w:type="dxa"/>
            <w:vAlign w:val="bottom"/>
          </w:tcPr>
          <w:p>
            <w:pPr>
              <w:ind w:left="40"/>
              <w:spacing w:after="0"/>
              <w:rPr>
                <w:sz w:val="20"/>
                <w:szCs w:val="20"/>
                <w:color w:val="auto"/>
              </w:rPr>
            </w:pPr>
            <w:r>
              <w:rPr>
                <w:rFonts w:ascii="Arial" w:cs="Arial" w:eastAsia="Arial" w:hAnsi="Arial"/>
                <w:sz w:val="18"/>
                <w:szCs w:val="18"/>
                <w:color w:val="0000FF"/>
              </w:rPr>
              <w:t>WILKES</w:t>
            </w:r>
          </w:p>
        </w:tc>
        <w:tc>
          <w:tcPr>
            <w:tcW w:w="1040" w:type="dxa"/>
            <w:vAlign w:val="bottom"/>
            <w:vMerge w:val="restart"/>
          </w:tcPr>
          <w:p>
            <w:pPr>
              <w:ind w:left="300"/>
              <w:spacing w:after="0"/>
              <w:rPr>
                <w:sz w:val="20"/>
                <w:szCs w:val="20"/>
                <w:color w:val="auto"/>
              </w:rPr>
            </w:pPr>
            <w:r>
              <w:rPr>
                <w:rFonts w:ascii="Arial" w:cs="Arial" w:eastAsia="Arial" w:hAnsi="Arial"/>
                <w:sz w:val="18"/>
                <w:szCs w:val="18"/>
                <w:color w:val="0000FF"/>
              </w:rPr>
              <w:t>PA</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0000FF"/>
              </w:rPr>
              <w:t>18702</w:t>
            </w:r>
          </w:p>
        </w:tc>
        <w:tc>
          <w:tcPr>
            <w:tcW w:w="0" w:type="dxa"/>
            <w:vAlign w:val="bottom"/>
          </w:tcPr>
          <w:p>
            <w:pPr>
              <w:spacing w:after="0"/>
              <w:rPr>
                <w:sz w:val="1"/>
                <w:szCs w:val="1"/>
                <w:color w:val="auto"/>
              </w:rPr>
            </w:pPr>
          </w:p>
        </w:tc>
      </w:tr>
      <w:tr>
        <w:trPr>
          <w:trHeight w:val="114"/>
        </w:trPr>
        <w:tc>
          <w:tcPr>
            <w:tcW w:w="1020" w:type="dxa"/>
            <w:vAlign w:val="bottom"/>
            <w:vMerge w:val="restart"/>
          </w:tcPr>
          <w:p>
            <w:pPr>
              <w:ind w:left="40"/>
              <w:spacing w:after="0"/>
              <w:rPr>
                <w:sz w:val="20"/>
                <w:szCs w:val="20"/>
                <w:color w:val="auto"/>
              </w:rPr>
            </w:pPr>
            <w:r>
              <w:rPr>
                <w:rFonts w:ascii="Arial" w:cs="Arial" w:eastAsia="Arial" w:hAnsi="Arial"/>
                <w:sz w:val="18"/>
                <w:szCs w:val="18"/>
                <w:color w:val="0000FF"/>
              </w:rPr>
              <w:t>BARRE</w:t>
            </w:r>
          </w:p>
        </w:tc>
        <w:tc>
          <w:tcPr>
            <w:tcW w:w="10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20" w:type="dxa"/>
            <w:vAlign w:val="bottom"/>
            <w:tcBorders>
              <w:top w:val="single" w:sz="8" w:color="0000EE"/>
            </w:tcBorders>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r>
      <w:tr>
        <w:trPr>
          <w:trHeight w:val="163"/>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9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Pr>
          <w:p>
            <w:pPr>
              <w:ind w:left="420"/>
              <w:spacing w:after="0" w:line="149" w:lineRule="exact"/>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line="149" w:lineRule="exact"/>
              <w:rPr>
                <w:sz w:val="20"/>
                <w:szCs w:val="20"/>
                <w:color w:val="auto"/>
              </w:rPr>
            </w:pPr>
            <w:r>
              <w:rPr>
                <w:rFonts w:ascii="Arial" w:cs="Arial" w:eastAsia="Arial" w:hAnsi="Arial"/>
                <w:sz w:val="14"/>
                <w:szCs w:val="14"/>
                <w:color w:val="auto"/>
              </w:rPr>
              <w:t>Other (specify</w:t>
            </w: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1720" w:type="dxa"/>
            <w:vAlign w:val="bottom"/>
          </w:tcPr>
          <w:p>
            <w:pPr>
              <w:ind w:left="420"/>
              <w:spacing w:after="0"/>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rPr>
                <w:sz w:val="20"/>
                <w:szCs w:val="20"/>
                <w:color w:val="auto"/>
              </w:rPr>
            </w:pPr>
            <w:r>
              <w:rPr>
                <w:rFonts w:ascii="Arial" w:cs="Arial" w:eastAsia="Arial" w:hAnsi="Arial"/>
                <w:sz w:val="14"/>
                <w:szCs w:val="14"/>
                <w:color w:val="auto"/>
              </w:rPr>
              <w:t>below)</w:t>
            </w: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06/11/2019</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200" w:lineRule="exact"/>
        <w:rPr>
          <w:sz w:val="24"/>
          <w:szCs w:val="24"/>
          <w:color w:val="auto"/>
        </w:rPr>
      </w:pPr>
    </w:p>
    <w:p>
      <w:pPr>
        <w:sectPr>
          <w:pgSz w:w="11900" w:h="16838" w:orient="portrait"/>
          <w:cols w:equalWidth="0" w:num="2">
            <w:col w:w="3280" w:space="720"/>
            <w:col w:w="7420"/>
          </w:cols>
          <w:pgMar w:left="240" w:top="226" w:right="239" w:bottom="1440" w:gutter="0" w:footer="0" w:header="0"/>
          <w:type w:val="continuous"/>
        </w:sectPr>
      </w:pPr>
    </w:p>
    <w:p>
      <w:pPr>
        <w:spacing w:after="0" w:line="58"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320"/>
              <w:spacing w:after="0"/>
              <w:rPr>
                <w:sz w:val="20"/>
                <w:szCs w:val="20"/>
                <w:color w:val="auto"/>
              </w:rPr>
            </w:pPr>
            <w:r>
              <w:rPr>
                <w:rFonts w:ascii="Arial" w:cs="Arial" w:eastAsia="Arial" w:hAnsi="Arial"/>
                <w:sz w:val="12"/>
                <w:szCs w:val="12"/>
                <w:b w:val="1"/>
                <w:bCs w:val="1"/>
                <w:color w:val="auto"/>
              </w:rPr>
              <w:t>2. Transaction</w:t>
            </w:r>
          </w:p>
        </w:tc>
        <w:tc>
          <w:tcPr>
            <w:tcW w:w="220" w:type="dxa"/>
            <w:vAlign w:val="bottom"/>
          </w:tcPr>
          <w:p>
            <w:pPr>
              <w:spacing w:after="0"/>
              <w:rPr>
                <w:sz w:val="14"/>
                <w:szCs w:val="14"/>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4"/>
                <w:szCs w:val="14"/>
                <w:color w:val="auto"/>
              </w:rPr>
            </w:pPr>
          </w:p>
        </w:tc>
        <w:tc>
          <w:tcPr>
            <w:tcW w:w="21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22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0" w:type="dxa"/>
            <w:vAlign w:val="bottom"/>
            <w:gridSpan w:val="3"/>
          </w:tcPr>
          <w:p>
            <w:pPr>
              <w:ind w:left="32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Beneficially</w:t>
            </w:r>
          </w:p>
        </w:tc>
        <w:tc>
          <w:tcPr>
            <w:tcW w:w="48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00" w:type="dxa"/>
            <w:vAlign w:val="bottom"/>
            <w:gridSpan w:val="3"/>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400" w:type="dxa"/>
            <w:vAlign w:val="bottom"/>
            <w:tcBorders>
              <w:bottom w:val="single" w:sz="8" w:color="2C2C2C"/>
            </w:tcBorders>
            <w:gridSpan w:val="3"/>
          </w:tcPr>
          <w:p>
            <w:pPr>
              <w:ind w:left="420"/>
              <w:spacing w:after="0"/>
              <w:rPr>
                <w:sz w:val="20"/>
                <w:szCs w:val="20"/>
                <w:color w:val="auto"/>
              </w:rPr>
            </w:pPr>
            <w:r>
              <w:rPr>
                <w:rFonts w:ascii="Arial" w:cs="Arial" w:eastAsia="Arial" w:hAnsi="Arial"/>
                <w:sz w:val="18"/>
                <w:szCs w:val="18"/>
                <w:color w:val="0000FF"/>
              </w:rPr>
              <w:t>06/11/2019</w:t>
            </w:r>
          </w:p>
        </w:tc>
        <w:tc>
          <w:tcPr>
            <w:tcW w:w="112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0000FF"/>
              </w:rPr>
              <w:t>06/11/2019</w:t>
            </w: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ind w:left="120"/>
              <w:spacing w:after="0"/>
              <w:rPr>
                <w:sz w:val="20"/>
                <w:szCs w:val="20"/>
                <w:color w:val="auto"/>
              </w:rPr>
            </w:pPr>
            <w:r>
              <w:rPr>
                <w:rFonts w:ascii="Arial" w:cs="Arial" w:eastAsia="Arial" w:hAnsi="Arial"/>
                <w:sz w:val="14"/>
                <w:szCs w:val="14"/>
                <w:color w:val="0000FF"/>
                <w:w w:val="85"/>
              </w:rPr>
              <w:t>P</w:t>
            </w: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right"/>
              <w:ind w:right="150"/>
              <w:spacing w:after="0"/>
              <w:rPr>
                <w:sz w:val="20"/>
                <w:szCs w:val="20"/>
                <w:color w:val="auto"/>
              </w:rPr>
            </w:pPr>
            <w:r>
              <w:rPr>
                <w:rFonts w:ascii="Arial" w:cs="Arial" w:eastAsia="Arial" w:hAnsi="Arial"/>
                <w:sz w:val="18"/>
                <w:szCs w:val="18"/>
                <w:color w:val="0000FF"/>
              </w:rPr>
              <w:t>35,500</w:t>
            </w:r>
          </w:p>
        </w:tc>
        <w:tc>
          <w:tcPr>
            <w:tcW w:w="1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7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1.6067</w:t>
            </w:r>
            <w:r>
              <w:rPr>
                <w:rFonts w:ascii="Arial" w:cs="Arial" w:eastAsia="Arial" w:hAnsi="Arial"/>
                <w:sz w:val="22"/>
                <w:szCs w:val="22"/>
                <w:color w:val="008000"/>
                <w:w w:val="86"/>
                <w:vertAlign w:val="superscript"/>
              </w:rPr>
              <w:t>(1)</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4,267,470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15"/>
              <w:spacing w:after="0"/>
              <w:rPr>
                <w:sz w:val="20"/>
                <w:szCs w:val="20"/>
                <w:color w:val="auto"/>
              </w:rPr>
            </w:pPr>
            <w:r>
              <w:rPr>
                <w:rFonts w:ascii="Arial" w:cs="Arial" w:eastAsia="Arial" w:hAnsi="Arial"/>
                <w:sz w:val="18"/>
                <w:szCs w:val="18"/>
                <w:color w:val="0000FF"/>
              </w:rPr>
              <w:t>D</w:t>
            </w:r>
          </w:p>
        </w:tc>
        <w:tc>
          <w:tcPr>
            <w:tcW w:w="3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400" w:type="dxa"/>
            <w:vAlign w:val="bottom"/>
            <w:tcBorders>
              <w:bottom w:val="single" w:sz="8" w:color="2C2C2C"/>
            </w:tcBorders>
            <w:gridSpan w:val="3"/>
          </w:tcPr>
          <w:p>
            <w:pPr>
              <w:ind w:left="420"/>
              <w:spacing w:after="0"/>
              <w:rPr>
                <w:sz w:val="20"/>
                <w:szCs w:val="20"/>
                <w:color w:val="auto"/>
              </w:rPr>
            </w:pPr>
            <w:r>
              <w:rPr>
                <w:rFonts w:ascii="Arial" w:cs="Arial" w:eastAsia="Arial" w:hAnsi="Arial"/>
                <w:sz w:val="18"/>
                <w:szCs w:val="18"/>
                <w:color w:val="0000FF"/>
              </w:rPr>
              <w:t>06/12/2019</w:t>
            </w:r>
          </w:p>
        </w:tc>
        <w:tc>
          <w:tcPr>
            <w:tcW w:w="112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0000FF"/>
              </w:rPr>
              <w:t>06/12/2019</w:t>
            </w: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ind w:left="120"/>
              <w:spacing w:after="0"/>
              <w:rPr>
                <w:sz w:val="20"/>
                <w:szCs w:val="20"/>
                <w:color w:val="auto"/>
              </w:rPr>
            </w:pPr>
            <w:r>
              <w:rPr>
                <w:rFonts w:ascii="Arial" w:cs="Arial" w:eastAsia="Arial" w:hAnsi="Arial"/>
                <w:sz w:val="14"/>
                <w:szCs w:val="14"/>
                <w:color w:val="0000FF"/>
                <w:w w:val="85"/>
              </w:rPr>
              <w:t>P</w:t>
            </w: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right"/>
              <w:ind w:right="150"/>
              <w:spacing w:after="0"/>
              <w:rPr>
                <w:sz w:val="20"/>
                <w:szCs w:val="20"/>
                <w:color w:val="auto"/>
              </w:rPr>
            </w:pPr>
            <w:r>
              <w:rPr>
                <w:rFonts w:ascii="Arial" w:cs="Arial" w:eastAsia="Arial" w:hAnsi="Arial"/>
                <w:sz w:val="18"/>
                <w:szCs w:val="18"/>
                <w:color w:val="0000FF"/>
              </w:rPr>
              <w:t>26,000</w:t>
            </w:r>
          </w:p>
        </w:tc>
        <w:tc>
          <w:tcPr>
            <w:tcW w:w="1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7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1.6099</w:t>
            </w:r>
            <w:r>
              <w:rPr>
                <w:rFonts w:ascii="Arial" w:cs="Arial" w:eastAsia="Arial" w:hAnsi="Arial"/>
                <w:sz w:val="22"/>
                <w:szCs w:val="22"/>
                <w:color w:val="008000"/>
                <w:w w:val="86"/>
                <w:vertAlign w:val="superscript"/>
              </w:rPr>
              <w:t>(2)</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4,293,470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15"/>
              <w:spacing w:after="0"/>
              <w:rPr>
                <w:sz w:val="20"/>
                <w:szCs w:val="20"/>
                <w:color w:val="auto"/>
              </w:rPr>
            </w:pPr>
            <w:r>
              <w:rPr>
                <w:rFonts w:ascii="Arial" w:cs="Arial" w:eastAsia="Arial" w:hAnsi="Arial"/>
                <w:sz w:val="18"/>
                <w:szCs w:val="18"/>
                <w:color w:val="0000FF"/>
              </w:rPr>
              <w:t>D</w:t>
            </w:r>
          </w:p>
        </w:tc>
        <w:tc>
          <w:tcPr>
            <w:tcW w:w="3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By Jewelcor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9"/>
              </w:rPr>
              <w:t>339,594</w:t>
            </w:r>
          </w:p>
        </w:tc>
        <w:tc>
          <w:tcPr>
            <w:tcW w:w="300" w:type="dxa"/>
            <w:vAlign w:val="bottom"/>
          </w:tcPr>
          <w:p>
            <w:pPr>
              <w:spacing w:after="0"/>
              <w:rPr>
                <w:sz w:val="18"/>
                <w:szCs w:val="18"/>
                <w:color w:val="auto"/>
              </w:rPr>
            </w:pPr>
          </w:p>
        </w:tc>
        <w:tc>
          <w:tcPr>
            <w:tcW w:w="600" w:type="dxa"/>
            <w:vAlign w:val="bottom"/>
          </w:tcPr>
          <w:p>
            <w:pPr>
              <w:jc w:val="center"/>
              <w:ind w:right="315"/>
              <w:spacing w:after="0" w:line="216"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0"/>
                <w:szCs w:val="10"/>
                <w:color w:val="008000"/>
              </w:rPr>
              <w:t>(3)</w:t>
            </w: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w w:val="94"/>
              </w:rPr>
              <w:t>Management,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0000FF"/>
                <w:w w:val="96"/>
              </w:rPr>
              <w:t>Inc.</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2920" w:type="dxa"/>
            <w:vAlign w:val="bottom"/>
            <w:tcBorders>
              <w:bottom w:val="single" w:sz="8" w:color="2C2C2C"/>
            </w:tcBorders>
            <w:gridSpan w:val="7"/>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22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580" w:type="dxa"/>
            <w:vAlign w:val="bottom"/>
          </w:tcPr>
          <w:p>
            <w:pPr>
              <w:spacing w:after="0"/>
              <w:rPr>
                <w:sz w:val="15"/>
                <w:szCs w:val="15"/>
                <w:color w:val="auto"/>
              </w:rPr>
            </w:pPr>
          </w:p>
        </w:tc>
        <w:tc>
          <w:tcPr>
            <w:tcW w:w="8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8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6. Date Exercisable and</w:t>
            </w:r>
          </w:p>
        </w:tc>
        <w:tc>
          <w:tcPr>
            <w:tcW w:w="100" w:type="dxa"/>
            <w:vAlign w:val="bottom"/>
          </w:tcPr>
          <w:p>
            <w:pPr>
              <w:spacing w:after="0"/>
              <w:rPr>
                <w:sz w:val="15"/>
                <w:szCs w:val="15"/>
                <w:color w:val="auto"/>
              </w:rPr>
            </w:pP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3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3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Acquired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7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7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gridSpan w:val="2"/>
          </w:tcPr>
          <w:p>
            <w:pPr>
              <w:ind w:left="18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320"/>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8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of</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3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10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2"/>
          </w:tcPr>
          <w:p>
            <w:pPr>
              <w:ind w:left="180"/>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$1.5995 to $1.61,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footnote (1) to this Form 4.</w:t>
      </w:r>
    </w:p>
    <w:p>
      <w:pPr>
        <w:spacing w:after="0" w:line="30" w:lineRule="exact"/>
        <w:rPr>
          <w:rFonts w:ascii="Arial" w:cs="Arial" w:eastAsia="Arial" w:hAnsi="Arial"/>
          <w:sz w:val="14"/>
          <w:szCs w:val="14"/>
          <w:color w:val="008000"/>
        </w:rPr>
      </w:pPr>
    </w:p>
    <w:p>
      <w:pPr>
        <w:ind w:left="40" w:right="2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$1.60 to $1.61,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footnote (2)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is the chairman, chief executive officer and president and, together with his wife, indirectly, the majority shareholder of Jewelcor Management, Inc.</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Robert S. Molloy, Attorney-in- </w:t>
      </w:r>
      <w:r>
        <w:rPr>
          <w:rFonts w:ascii="Arial" w:cs="Arial" w:eastAsia="Arial" w:hAnsi="Arial"/>
          <w:sz w:val="35"/>
          <w:szCs w:val="35"/>
          <w:color w:val="0000FF"/>
          <w:vertAlign w:val="subscript"/>
        </w:rPr>
        <w:t>06/13/2019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3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303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Seymour Holtzman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247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777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0904439"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2019-12-23T15:10:05Z</dcterms:created>
  <dcterms:modified xsi:type="dcterms:W3CDTF">2019-12-23T15:10:05Z</dcterms:modified>
</cp:coreProperties>
</file>