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120" w:type="dxa"/>
            <w:vAlign w:val="bottom"/>
          </w:tcPr>
          <w:p>
            <w:pPr>
              <w:jc w:val="center"/>
              <w:ind w:right="346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120" w:type="dxa"/>
            <w:vAlign w:val="bottom"/>
          </w:tcPr>
          <w:p>
            <w:pPr>
              <w:jc w:val="center"/>
              <w:ind w:right="34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20" w:type="dxa"/>
            <w:vAlign w:val="bottom"/>
          </w:tcPr>
          <w:p>
            <w:pPr>
              <w:jc w:val="center"/>
              <w:ind w:right="344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120" w:type="dxa"/>
            <w:vAlign w:val="bottom"/>
          </w:tcPr>
          <w:p>
            <w:pPr>
              <w:jc w:val="center"/>
              <w:ind w:right="3460"/>
              <w:spacing w:after="0"/>
              <w:rPr>
                <w:sz w:val="20"/>
                <w:szCs w:val="20"/>
                <w:color w:val="auto"/>
              </w:rPr>
            </w:pPr>
            <w:r>
              <w:rPr>
                <w:rFonts w:ascii="Arial" w:cs="Arial" w:eastAsia="Arial" w:hAnsi="Arial"/>
                <w:sz w:val="18"/>
                <w:szCs w:val="18"/>
                <w:b w:val="1"/>
                <w:bCs w:val="1"/>
                <w:color w:val="auto"/>
                <w:w w:val="93"/>
              </w:rPr>
              <w:t>555 Turnpike Street, Canton, MA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120" w:type="dxa"/>
            <w:vAlign w:val="bottom"/>
          </w:tcPr>
          <w:p>
            <w:pPr>
              <w:jc w:val="center"/>
              <w:ind w:right="3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20" w:type="dxa"/>
            <w:vAlign w:val="bottom"/>
          </w:tcPr>
          <w:p>
            <w:pPr>
              <w:jc w:val="right"/>
              <w:ind w:right="1360"/>
              <w:spacing w:after="0"/>
              <w:rPr>
                <w:sz w:val="20"/>
                <w:szCs w:val="20"/>
                <w:color w:val="auto"/>
              </w:rPr>
            </w:pPr>
            <w:r>
              <w:rPr>
                <w:rFonts w:ascii="Arial" w:cs="Arial" w:eastAsia="Arial" w:hAnsi="Arial"/>
                <w:sz w:val="18"/>
                <w:szCs w:val="18"/>
                <w:b w:val="1"/>
                <w:bCs w:val="1"/>
                <w:color w:val="auto"/>
              </w:rPr>
              <w:t>(781) 828-9300</w:t>
            </w:r>
          </w:p>
        </w:tc>
        <w:tc>
          <w:tcPr>
            <w:tcW w:w="1500" w:type="dxa"/>
            <w:vAlign w:val="bottom"/>
          </w:tcPr>
          <w:p>
            <w:pPr>
              <w:spacing w:after="0"/>
              <w:rPr>
                <w:sz w:val="24"/>
                <w:szCs w:val="24"/>
                <w:color w:val="auto"/>
              </w:rPr>
            </w:pPr>
          </w:p>
        </w:tc>
      </w:tr>
      <w:tr>
        <w:trPr>
          <w:trHeight w:val="186"/>
        </w:trPr>
        <w:tc>
          <w:tcPr>
            <w:tcW w:w="6120" w:type="dxa"/>
            <w:vAlign w:val="bottom"/>
          </w:tcPr>
          <w:p>
            <w:pPr>
              <w:jc w:val="center"/>
              <w:ind w:left="20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The number of shares of the registrant’s common stock outstanding as of May 2, 2014 was 50,542,399.</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w w:val="94"/>
              </w:rPr>
              <w:t>Item 1.</w:t>
            </w:r>
          </w:p>
        </w:tc>
        <w:tc>
          <w:tcPr>
            <w:tcW w:w="8460" w:type="dxa"/>
            <w:vAlign w:val="bottom"/>
          </w:tcPr>
          <w:p>
            <w:pPr>
              <w:ind w:left="500"/>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60" w:type="dxa"/>
            <w:vAlign w:val="bottom"/>
          </w:tcPr>
          <w:p>
            <w:pPr>
              <w:jc w:val="center"/>
              <w:ind w:left="1790"/>
              <w:spacing w:after="0"/>
              <w:rPr>
                <w:sz w:val="20"/>
                <w:szCs w:val="20"/>
                <w:color w:val="auto"/>
              </w:rPr>
            </w:pPr>
            <w:r>
              <w:rPr>
                <w:rFonts w:ascii="Arial" w:cs="Arial" w:eastAsia="Arial" w:hAnsi="Arial"/>
                <w:sz w:val="18"/>
                <w:szCs w:val="18"/>
                <w:color w:val="auto"/>
                <w:w w:val="95"/>
              </w:rPr>
              <w:t>DESTINATION XL GROUP, INC.</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60" w:type="dxa"/>
            <w:vAlign w:val="bottom"/>
          </w:tcPr>
          <w:p>
            <w:pPr>
              <w:jc w:val="center"/>
              <w:ind w:left="1790"/>
              <w:spacing w:after="0"/>
              <w:rPr>
                <w:sz w:val="20"/>
                <w:szCs w:val="20"/>
                <w:color w:val="auto"/>
              </w:rPr>
            </w:pPr>
            <w:r>
              <w:rPr>
                <w:rFonts w:ascii="Arial" w:cs="Arial" w:eastAsia="Arial" w:hAnsi="Arial"/>
                <w:sz w:val="18"/>
                <w:szCs w:val="18"/>
                <w:color w:val="auto"/>
                <w:w w:val="96"/>
              </w:rPr>
              <w:t>CONSOLIDATED BALANCE SHEETS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60" w:type="dxa"/>
            <w:vAlign w:val="bottom"/>
          </w:tcPr>
          <w:p>
            <w:pPr>
              <w:jc w:val="center"/>
              <w:ind w:left="1790"/>
              <w:spacing w:after="0"/>
              <w:rPr>
                <w:sz w:val="20"/>
                <w:szCs w:val="20"/>
                <w:color w:val="auto"/>
              </w:rPr>
            </w:pPr>
            <w:r>
              <w:rPr>
                <w:rFonts w:ascii="Arial" w:cs="Arial" w:eastAsia="Arial" w:hAnsi="Arial"/>
                <w:sz w:val="18"/>
                <w:szCs w:val="18"/>
                <w:color w:val="auto"/>
                <w:w w:val="90"/>
              </w:rPr>
              <w:t>May 3, 2014 and February 1, 2014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3, 2014</w:t>
            </w:r>
          </w:p>
        </w:tc>
        <w:tc>
          <w:tcPr>
            <w:tcW w:w="1100" w:type="dxa"/>
            <w:vAlign w:val="bottom"/>
            <w:gridSpan w:val="3"/>
          </w:tcPr>
          <w:p>
            <w:pPr>
              <w:spacing w:after="0"/>
              <w:rPr>
                <w:sz w:val="20"/>
                <w:szCs w:val="20"/>
                <w:color w:val="auto"/>
              </w:rPr>
            </w:pPr>
            <w:r>
              <w:rPr>
                <w:rFonts w:ascii="Arial" w:cs="Arial" w:eastAsia="Arial" w:hAnsi="Arial"/>
                <w:sz w:val="14"/>
                <w:szCs w:val="14"/>
                <w:color w:val="auto"/>
              </w:rPr>
              <w:t>February 1,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(Fiscal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4"/>
          </w:tcPr>
          <w:p>
            <w:pPr>
              <w:jc w:val="right"/>
              <w:ind w:right="131"/>
              <w:spacing w:after="0" w:line="119" w:lineRule="exact"/>
              <w:rPr>
                <w:sz w:val="20"/>
                <w:szCs w:val="20"/>
                <w:color w:val="auto"/>
              </w:rPr>
            </w:pPr>
            <w:r>
              <w:rPr>
                <w:rFonts w:ascii="Arial" w:cs="Arial" w:eastAsia="Arial" w:hAnsi="Arial"/>
                <w:sz w:val="13"/>
                <w:szCs w:val="13"/>
                <w:color w:val="auto"/>
              </w:rPr>
              <w:t>(In thousands, except share data)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00" w:type="dxa"/>
            <w:vAlign w:val="bottom"/>
            <w:gridSpan w:val="3"/>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7,396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114,154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136,774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126,441</w:t>
            </w:r>
          </w:p>
        </w:tc>
        <w:tc>
          <w:tcPr>
            <w:tcW w:w="0" w:type="dxa"/>
            <w:vAlign w:val="bottom"/>
          </w:tcPr>
          <w:p>
            <w:pPr>
              <w:spacing w:after="0"/>
              <w:rPr>
                <w:sz w:val="1"/>
                <w:szCs w:val="1"/>
                <w:color w:val="auto"/>
              </w:rPr>
            </w:pPr>
          </w:p>
        </w:tc>
      </w:tr>
      <w:tr>
        <w:trPr>
          <w:trHeight w:val="324"/>
        </w:trPr>
        <w:tc>
          <w:tcPr>
            <w:tcW w:w="900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107,106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102,939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4,082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251,292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00" w:type="dxa"/>
            <w:vAlign w:val="bottom"/>
            <w:gridSpan w:val="3"/>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28,341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23,596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29,220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88,756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16,488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rent and lease incentives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23,406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15,753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60,072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56,183</w:t>
            </w:r>
          </w:p>
        </w:tc>
        <w:tc>
          <w:tcPr>
            <w:tcW w:w="0" w:type="dxa"/>
            <w:vAlign w:val="bottom"/>
          </w:tcPr>
          <w:p>
            <w:pPr>
              <w:spacing w:after="0"/>
              <w:rPr>
                <w:sz w:val="1"/>
                <w:szCs w:val="1"/>
                <w:color w:val="auto"/>
              </w:rPr>
            </w:pPr>
          </w:p>
        </w:tc>
      </w:tr>
      <w:tr>
        <w:trPr>
          <w:trHeight w:val="331"/>
        </w:trPr>
        <w:tc>
          <w:tcPr>
            <w:tcW w:w="90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$0.01 par value, 100,000,000 shares authorized, 61,419,838 and 61,473,083 shares issued at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May 3, 2014 and February 1, 2014, respectively</w:t>
            </w: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297,300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10,877,439 shares at May 3, 2014 and February 1, 2014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(87,977)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(103,144)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(4,329)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102,464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251,292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72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May 3, 2014</w:t>
            </w:r>
          </w:p>
        </w:tc>
        <w:tc>
          <w:tcPr>
            <w:tcW w:w="10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May 4,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7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(Fiscal 2013)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4"/>
          </w:tcPr>
          <w:p>
            <w:pPr>
              <w:jc w:val="right"/>
              <w:ind w:right="192"/>
              <w:spacing w:after="0"/>
              <w:rPr>
                <w:sz w:val="20"/>
                <w:szCs w:val="20"/>
                <w:color w:val="auto"/>
              </w:rPr>
            </w:pPr>
            <w:r>
              <w:rPr>
                <w:rFonts w:ascii="Arial" w:cs="Arial" w:eastAsia="Arial" w:hAnsi="Arial"/>
                <w:sz w:val="14"/>
                <w:szCs w:val="14"/>
                <w:i w:val="1"/>
                <w:iCs w:val="1"/>
                <w:color w:val="auto"/>
                <w:w w:val="93"/>
              </w:rPr>
              <w:t>(In thousands, except per share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96,767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52,838</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43,929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44,338</w:t>
            </w:r>
          </w:p>
        </w:tc>
        <w:tc>
          <w:tcPr>
            <w:tcW w:w="0" w:type="dxa"/>
            <w:vAlign w:val="bottom"/>
          </w:tcPr>
          <w:p>
            <w:pPr>
              <w:spacing w:after="0"/>
              <w:rPr>
                <w:sz w:val="1"/>
                <w:szCs w:val="1"/>
                <w:color w:val="auto"/>
              </w:rPr>
            </w:pP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41,577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47,007</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(3,078)</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(3,489)</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(3,536)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-basic 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48,656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48,656</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May 3, 2014</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May 4,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(Fiscal 2014)</w:t>
            </w:r>
          </w:p>
        </w:tc>
        <w:tc>
          <w:tcPr>
            <w:tcW w:w="880" w:type="dxa"/>
            <w:vAlign w:val="bottom"/>
            <w:gridSpan w:val="3"/>
          </w:tcPr>
          <w:p>
            <w:pPr>
              <w:spacing w:after="0"/>
              <w:rPr>
                <w:sz w:val="20"/>
                <w:szCs w:val="20"/>
                <w:color w:val="auto"/>
              </w:rPr>
            </w:pPr>
            <w:r>
              <w:rPr>
                <w:rFonts w:ascii="Arial" w:cs="Arial" w:eastAsia="Arial" w:hAnsi="Arial"/>
                <w:sz w:val="14"/>
                <w:szCs w:val="14"/>
                <w:color w:val="auto"/>
              </w:rPr>
              <w:t>(Fiscal 2013</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4"/>
          </w:tcPr>
          <w:p>
            <w:pPr>
              <w:ind w:left="480"/>
              <w:spacing w:after="0"/>
              <w:rPr>
                <w:sz w:val="20"/>
                <w:szCs w:val="20"/>
                <w:color w:val="auto"/>
              </w:rPr>
            </w:pPr>
            <w:r>
              <w:rPr>
                <w:rFonts w:ascii="Arial" w:cs="Arial" w:eastAsia="Arial" w:hAnsi="Arial"/>
                <w:sz w:val="14"/>
                <w:szCs w:val="14"/>
                <w:color w:val="auto"/>
              </w:rPr>
              <w:t>(In thousands)</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9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(3,536)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Pension plan</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 before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Tax (provision) benefit related to items of other comprehensive income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(3,305</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May 3, 2014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5"/>
          </w:tcPr>
          <w:p>
            <w:pPr>
              <w:jc w:val="right"/>
              <w:ind w:right="400"/>
              <w:spacing w:after="0" w:line="149" w:lineRule="exact"/>
              <w:rPr>
                <w:sz w:val="20"/>
                <w:szCs w:val="20"/>
                <w:color w:val="auto"/>
              </w:rPr>
            </w:pPr>
            <w:r>
              <w:rPr>
                <w:rFonts w:ascii="Arial" w:cs="Arial" w:eastAsia="Arial" w:hAnsi="Arial"/>
                <w:sz w:val="14"/>
                <w:szCs w:val="14"/>
                <w:color w:val="auto"/>
              </w:rPr>
              <w:t>Common Stock</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680" w:type="dxa"/>
            <w:vAlign w:val="bottom"/>
            <w:gridSpan w:val="5"/>
          </w:tcPr>
          <w:p>
            <w:pPr>
              <w:jc w:val="right"/>
              <w:ind w:right="500"/>
              <w:spacing w:after="0" w:line="149" w:lineRule="exact"/>
              <w:rPr>
                <w:sz w:val="20"/>
                <w:szCs w:val="20"/>
                <w:color w:val="auto"/>
              </w:rPr>
            </w:pPr>
            <w:r>
              <w:rPr>
                <w:rFonts w:ascii="Arial" w:cs="Arial" w:eastAsia="Arial" w:hAnsi="Arial"/>
                <w:sz w:val="14"/>
                <w:szCs w:val="14"/>
                <w:color w:val="auto"/>
              </w:rPr>
              <w:t>Treasury Stock</w:t>
            </w: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Comprehensive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Shares</w:t>
            </w:r>
          </w:p>
        </w:tc>
        <w:tc>
          <w:tcPr>
            <w:tcW w:w="740" w:type="dxa"/>
            <w:vAlign w:val="bottom"/>
            <w:gridSpan w:val="3"/>
          </w:tcPr>
          <w:p>
            <w:pPr>
              <w:spacing w:after="0"/>
              <w:rPr>
                <w:sz w:val="20"/>
                <w:szCs w:val="20"/>
                <w:color w:val="auto"/>
              </w:rPr>
            </w:pPr>
            <w:r>
              <w:rPr>
                <w:rFonts w:ascii="Arial" w:cs="Arial" w:eastAsia="Arial" w:hAnsi="Arial"/>
                <w:sz w:val="14"/>
                <w:szCs w:val="14"/>
                <w:color w:val="auto"/>
              </w:rPr>
              <w:t>Amounts</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Capital</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Amounts</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Deficit</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Income (Loss)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 2014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61,473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296,501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(10,877)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(99,608)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104,971</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8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stock, net of issuances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Unrecognized gain associated with Pension Plan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(3,536)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61,420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297,300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(10,877)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(103,144)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8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left="251"/>
              <w:spacing w:after="0"/>
              <w:rPr>
                <w:sz w:val="20"/>
                <w:szCs w:val="20"/>
                <w:color w:val="auto"/>
              </w:rPr>
            </w:pPr>
            <w:r>
              <w:rPr>
                <w:rFonts w:ascii="Arial" w:cs="Arial" w:eastAsia="Arial" w:hAnsi="Arial"/>
                <w:sz w:val="14"/>
                <w:szCs w:val="14"/>
                <w:color w:val="auto"/>
                <w:w w:val="91"/>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May 3, 2014</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May 4,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(Fiscal 2014)</w:t>
            </w:r>
          </w:p>
        </w:tc>
        <w:tc>
          <w:tcPr>
            <w:tcW w:w="880" w:type="dxa"/>
            <w:vAlign w:val="bottom"/>
            <w:gridSpan w:val="3"/>
          </w:tcPr>
          <w:p>
            <w:pPr>
              <w:spacing w:after="0"/>
              <w:rPr>
                <w:sz w:val="20"/>
                <w:szCs w:val="20"/>
                <w:color w:val="auto"/>
              </w:rPr>
            </w:pPr>
            <w:r>
              <w:rPr>
                <w:rFonts w:ascii="Arial" w:cs="Arial" w:eastAsia="Arial" w:hAnsi="Arial"/>
                <w:sz w:val="14"/>
                <w:szCs w:val="14"/>
                <w:color w:val="auto"/>
              </w:rPr>
              <w:t>(Fiscal 2013</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jc w:val="center"/>
              <w:ind w:left="251"/>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(3,536)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used for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Amortization of deferred gain on sale leaseback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(367)</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5,430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Deferred taxes, net of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Issuance of common stock to Board of Directors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(8,598)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(1,590)</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(4,604)</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 and lease incentives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(3,271)</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8"/>
              </w:rPr>
              <w:t>(13,898)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(5,620)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Additions to 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8"/>
              </w:rPr>
              <w:t>(11,086)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(11,086)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Proceeds from the issuance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7,303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(1,387)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700"/>
              <w:spacing w:after="0"/>
              <w:rPr>
                <w:sz w:val="20"/>
                <w:szCs w:val="20"/>
                <w:color w:val="auto"/>
              </w:rPr>
            </w:pPr>
            <w:r>
              <w:rPr>
                <w:rFonts w:ascii="Arial" w:cs="Arial" w:eastAsia="Arial" w:hAnsi="Arial"/>
                <w:sz w:val="18"/>
                <w:szCs w:val="18"/>
                <w:color w:val="auto"/>
              </w:rPr>
              <w:t>Debt issuance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borrowings under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20,191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26,080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4,544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is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2014 included in the Company’s Annual Report on Form 10-K, which was filed with the Securities and Exchange Commission on March 17, 2014.</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2014 and Fiscal 2013 are 52-week periods ending January 31, 2015 and February 1,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Arial" w:cs="Arial" w:eastAsia="Arial" w:hAnsi="Arial"/>
          <w:sz w:val="15"/>
          <w:szCs w:val="15"/>
          <w:color w:val="auto"/>
        </w:rPr>
        <w:t>®</w:t>
      </w:r>
      <w:r>
        <w:rPr>
          <w:rFonts w:ascii="Arial" w:cs="Arial" w:eastAsia="Arial" w:hAnsi="Arial"/>
          <w:sz w:val="18"/>
          <w:szCs w:val="18"/>
          <w:color w:val="auto"/>
        </w:rPr>
        <w:t xml:space="preserve"> and ShoesXL</w:t>
      </w:r>
      <w:r>
        <w:rPr>
          <w:rFonts w:ascii="Arial" w:cs="Arial" w:eastAsia="Arial" w:hAnsi="Arial"/>
          <w:sz w:val="15"/>
          <w:szCs w:val="15"/>
          <w:color w:val="auto"/>
        </w:rPr>
        <w:t>®</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Beginning in the first quarter of fiscal 2014, the Company is reporting revenue from its on-site tailoring and the related tailoring costs associated with such revenue as part of “Sales” and “Cost of Goods Sold Including Occupancy Costs”, respectively, on the Consolidated Statement of Operations. The Company has reclassified the revenue and related cost of goods sold for the first three months of fiscal 2013 from “Selling, General and Administrative Expenses”, where the amounts were previously netted, to “Sales” and “Cost of Goods Sold Including Occupancy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May 3, 2014, the “Casual Male” trademark had a carrying value of $2.2 million and is considered a definite-lived asset. The Company is amortizing the remaining carrying value of $2.2 million on an accelerated basis, consistent with projected cash flows through fiscal 2018, its estimated remaining useful life.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three months of fiscal 2014, no event or circumstance occurred which would cause a reduction in the fair value of the Company’s reporting units, requiring interim testing of the Company’s “Rochester” trademark.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Financial Instruments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w:t>
      </w:r>
      <w:r>
        <w:rPr>
          <w:rFonts w:ascii="Arial" w:cs="Arial" w:eastAsia="Arial" w:hAnsi="Arial"/>
          <w:sz w:val="16"/>
          <w:szCs w:val="16"/>
          <w:color w:val="auto"/>
        </w:rPr>
        <w:t>defines fair value, establishes a framework for measuring fair value and enhances disclosures about fair value measurements.</w:t>
      </w:r>
    </w:p>
    <w:p>
      <w:pPr>
        <w:spacing w:after="0" w:line="12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460" w:right="14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May 3, 2014 the fair value approximates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May 3, 2014 and May 4, 2013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May 3, 2014</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3"/>
              </w:rPr>
              <w:t>May 4, 2013</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Pension</w:t>
            </w:r>
          </w:p>
        </w:tc>
        <w:tc>
          <w:tcPr>
            <w:tcW w:w="16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rPr>
              <w:t>Foreign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Pension</w:t>
            </w:r>
          </w:p>
        </w:tc>
        <w:tc>
          <w:tcPr>
            <w:tcW w:w="180" w:type="dxa"/>
            <w:vAlign w:val="bottom"/>
          </w:tcPr>
          <w:p>
            <w:pPr>
              <w:spacing w:after="0"/>
              <w:rPr>
                <w:sz w:val="18"/>
                <w:szCs w:val="18"/>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Foreign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For the three months ended (in thousands):</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Plans</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Plans</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Currency</w:t>
            </w: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$(4,547)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$(5,828)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 net of taxes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reclassified from accumulated other comprehensive income (loss), net of</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taxes </w:t>
            </w:r>
            <w:r>
              <w:rPr>
                <w:rFonts w:ascii="Arial" w:cs="Arial" w:eastAsia="Arial" w:hAnsi="Arial"/>
                <w:sz w:val="15"/>
                <w:szCs w:val="15"/>
                <w:color w:val="auto"/>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 for the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quarter</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(4,408)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(4,329)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79"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 of Operations for the three months ended May 3, 2014 and May 4, 2013. The amortization of the unrecognized loss, before tax, was $57,000 and $84,000 for the three months ended May 3, 2014 and May 4, 2013, respectively. The corresponding tax benefit was $33,000 for the three months ended May 4, 2013. There was no tax benefit for the three months ended May 3, 2014.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Recognition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catalog and e-commerce operations is recognized at the time a customer order is delivered, net of an allowance for sales returns. Revenue is recognized by the operating segment that fulfills a customer’s order.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In April 2014, the FASB issued ASU No. 2014-08, </w:t>
      </w:r>
      <w:r>
        <w:rPr>
          <w:rFonts w:ascii="Arial" w:cs="Arial" w:eastAsia="Arial" w:hAnsi="Arial"/>
          <w:sz w:val="16"/>
          <w:szCs w:val="16"/>
          <w:i w:val="1"/>
          <w:iCs w:val="1"/>
          <w:color w:val="auto"/>
        </w:rPr>
        <w:t>Presentation of Financial Statements (Top 205): Reporting Discontinued Operations and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Disposals of Components of an Entity </w:t>
      </w:r>
      <w:r>
        <w:rPr>
          <w:rFonts w:ascii="Arial" w:cs="Arial" w:eastAsia="Arial" w:hAnsi="Arial"/>
          <w:sz w:val="16"/>
          <w:szCs w:val="16"/>
          <w:color w:val="auto"/>
        </w:rPr>
        <w:t>(“ASU 2014-08”). The objective of ASU No. 2014-08 is to clarify the criteria for determining which disposals can be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as discontinued operations and also modifies related disclosure requirements. The standard is required to be adopted by public business entities in annual periods beginning on or after December 15, 2014, and interim periods within those annual periods. Early adoption is permitted for new disposals beginning in the first quarter of 2014, provided financial statements have not been issued before the release of this standard.</w:t>
      </w:r>
    </w:p>
    <w:p>
      <w:pPr>
        <w:spacing w:after="0" w:line="30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 with Bank of America, N.A.</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June 26, 2013, the Company amended its credit facility with Bank of America, N.A by executing the First Amendment to the Sixth Amended and Restated Loan and Security Agreement (as amended, the “Credit Facility”).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Credit Facility provides for a maximum committed borrowing of $100 million, which, pursuant to an accordion feature, may be increased to $150 million upon the request of the Company and the agreement of the lender(s) participating in the increase. The Credit Facility includes a sublimit of $20 million for commercial and standby letter of credits or the sublimit of up to $15 million for swingline loans. The Company’s ability to borrow under the Credit Facility is determined using an availability formula based on eligible assets. The maturity date of the Credit Facility is June 26, 2018. The Company’s obligations under the Credit Facility are secured by a lien on all of its assets.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LIBOR rate for the respective interest period) plus a varying percentage, based on the Company’s borrowing base, of 0.50%-0.75% for prime-based borrowings and 1.50%-1.75% for LIBOR-based borrowings. The Company is also subject to an unused line fee of 0.25%. At May 3, 2014, the Company’s prime-based interest rate was 3.75%. At May 3, 2014, the Company had approximately $21.0 million of its outstanding borrowings in a LIBOR-based contract with an interest rate of 1.62%. The LIBOR-based contracts expired May 5, 2014 through May 7, 2014.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At May 3, 2014, the Company had outstanding borrowings under the Credit Facility of $29.2 million. Outstanding standby letters of credit were $2.2 million and documentary letters of credit were $0.7 million. Unused excess availability at May 3, 2014 was $67.9 million. Average monthly borrowings outstanding under the Credit Facility during the first three months of fiscal 2014 were $25.8 million, resulting in an average unused excess availability of approximately $67.2 million. The Company’s ability to borrow under the Credit Facility is determined using an availability formula based on eligible assets, with increased advance rates based on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May 3, 2014 approximated the carrying value.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w:t>
            </w: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58"/>
        </w:trPr>
        <w:tc>
          <w:tcPr>
            <w:tcW w:w="4720" w:type="dxa"/>
            <w:vAlign w:val="bottom"/>
            <w:gridSpan w:val="3"/>
            <w:vMerge w:val="continue"/>
          </w:tcPr>
          <w:p>
            <w:pPr>
              <w:spacing w:after="0"/>
              <w:rPr>
                <w:sz w:val="13"/>
                <w:szCs w:val="13"/>
                <w:color w:val="auto"/>
              </w:rPr>
            </w:pPr>
          </w:p>
        </w:tc>
        <w:tc>
          <w:tcPr>
            <w:tcW w:w="2540" w:type="dxa"/>
            <w:vAlign w:val="bottom"/>
            <w:gridSpan w:val="2"/>
          </w:tcPr>
          <w:p>
            <w:pPr>
              <w:jc w:val="right"/>
              <w:ind w:right="76"/>
              <w:spacing w:after="0" w:line="15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long-term debt</w:t>
            </w:r>
          </w:p>
        </w:tc>
        <w:tc>
          <w:tcPr>
            <w:tcW w:w="19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$22,622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9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Pursuant to a Master Loan and Security Agreement with Banc of America Leasing &amp; Capital, LLC, dated July 20, 2007 and amended September 30, 2013 (the “Master Agreement”), the Company has entered into ten equipment security notes (in aggregate, the “Notes”). The Company has borrowed an aggregate of $24.8 million between September 2013 and May 2014, of which $7.3 million was borrowed during the first quarter of fiscal 2014. The Notes are for a term of 48 months and accrue interest at fixed rates ranging from 3.07% and 3.50%. Principal and interest are paid monthly, in arrears.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2013-2016 LTIP</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second quarter of fiscal 2013, the 2013-2016 Destination XL Group, Inc. Long-Term Incentive Plan (the “2013-2016 LTIP”) was approved and put into place.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excluding estimated forfeitures, the total potential value of all awards over this four-year period, as of May 3, 2014, would be approximately $18.5 million. Approximately half of the compensation expense relates to the time-vested awards, which is being expensed over forty-four months, based on the respective vesting dates. As the performance targets were not deemed probable at May 3, 2014, no expense for the performance-based awards has been recognized through the first three months of fiscal 2014. However, as a result of two terminations during the first quarter, the Company did recognize additional stock compensation expense of approximately $77,000 related to the partial pro-rata vesting of the performance awards that each former employee was entitled to pursuant to the terms of the 2013-2016 LTIP. In total, 10,200 shares of performance-related restricted stock vested and performance-related options to purchase 12,418 shares of common stock vested.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stock option activity and restricted share activity under the 2006 Plan for the first three months of fiscal 2014:</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2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820" w:type="dxa"/>
            <w:vAlign w:val="bottom"/>
            <w:gridSpan w:val="4"/>
            <w:vMerge w:val="continue"/>
          </w:tcPr>
          <w:p>
            <w:pPr>
              <w:spacing w:after="0"/>
              <w:rPr>
                <w:sz w:val="13"/>
                <w:szCs w:val="13"/>
                <w:color w:val="auto"/>
              </w:rPr>
            </w:pPr>
          </w:p>
        </w:tc>
        <w:tc>
          <w:tcPr>
            <w:tcW w:w="11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3"/>
                <w:szCs w:val="13"/>
                <w:color w:val="auto"/>
              </w:rPr>
            </w:pPr>
          </w:p>
        </w:tc>
        <w:tc>
          <w:tcPr>
            <w:tcW w:w="11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Outstanding options at beginning of year</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2,721,569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Options granted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Options exercised</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options at end of quarter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2,642,874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years</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$1,032,622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Options exercisable at end of quarter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347,716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 years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339,698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24"/>
                <w:szCs w:val="24"/>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Restricted Shares</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58"/>
        </w:trPr>
        <w:tc>
          <w:tcPr>
            <w:tcW w:w="482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right"/>
              <w:ind w:right="240"/>
              <w:spacing w:after="0" w:line="158" w:lineRule="exact"/>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Restricted shares outstanding at beginning of year</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2,017,940</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Restricted shares granted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Deferred shares granted </w:t>
            </w:r>
            <w:r>
              <w:rPr>
                <w:rFonts w:ascii="Arial" w:cs="Arial" w:eastAsia="Arial" w:hAnsi="Arial"/>
                <w:sz w:val="15"/>
                <w:szCs w:val="15"/>
                <w:color w:val="auto"/>
              </w:rPr>
              <w:t>(2)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Restricted shares vested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(141,536)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shares canceled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(67,974)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4"/>
        </w:trPr>
        <w:tc>
          <w:tcPr>
            <w:tcW w:w="4820" w:type="dxa"/>
            <w:vAlign w:val="bottom"/>
            <w:gridSpan w:val="4"/>
          </w:tcPr>
          <w:p>
            <w:pPr>
              <w:spacing w:after="0"/>
              <w:rPr>
                <w:sz w:val="20"/>
                <w:szCs w:val="20"/>
                <w:color w:val="auto"/>
              </w:rPr>
            </w:pPr>
            <w:r>
              <w:rPr>
                <w:rFonts w:ascii="Arial" w:cs="Arial" w:eastAsia="Arial" w:hAnsi="Arial"/>
                <w:sz w:val="18"/>
                <w:szCs w:val="18"/>
                <w:color w:val="auto"/>
                <w:w w:val="98"/>
              </w:rPr>
              <w:t>Restricted and Deferred shares outstanding at end of quarter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1,816,001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23" w:lineRule="exact"/>
        <w:rPr>
          <w:rFonts w:ascii="Arial" w:cs="Arial" w:eastAsia="Arial" w:hAnsi="Arial"/>
          <w:sz w:val="18"/>
          <w:szCs w:val="18"/>
          <w:color w:val="auto"/>
        </w:rPr>
      </w:pPr>
    </w:p>
    <w:p>
      <w:pPr>
        <w:jc w:val="both"/>
        <w:ind w:left="460" w:right="1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fiscal 2014, the Company granted 2,571 shares of deferred stock, with a fair value of approximately $13,533 to a director as compensation in lieu of cash and in accordance with his irrevocable election. The shares of deferred stock will vest three years from the date of grant. The Company is recognizing compensation expense over the respective vesting periods.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1992 Stock Incentive Plan (the “1992 Plan”)—Stock Option Activity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the first three months of fiscal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6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gridSpan w:val="2"/>
            <w:vMerge w:val="continue"/>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12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Remaining</w:t>
            </w:r>
          </w:p>
        </w:tc>
        <w:tc>
          <w:tcPr>
            <w:tcW w:w="60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3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3"/>
                <w:szCs w:val="13"/>
                <w:color w:val="auto"/>
              </w:rPr>
            </w:pPr>
          </w:p>
        </w:tc>
        <w:tc>
          <w:tcPr>
            <w:tcW w:w="1500" w:type="dxa"/>
            <w:vAlign w:val="bottom"/>
            <w:gridSpan w:val="2"/>
          </w:tcPr>
          <w:p>
            <w:pPr>
              <w:jc w:val="right"/>
              <w:ind w:right="940"/>
              <w:spacing w:after="0" w:line="158" w:lineRule="exact"/>
              <w:rPr>
                <w:sz w:val="20"/>
                <w:szCs w:val="20"/>
                <w:color w:val="auto"/>
              </w:rPr>
            </w:pPr>
            <w:r>
              <w:rPr>
                <w:rFonts w:ascii="Arial" w:cs="Arial" w:eastAsia="Arial" w:hAnsi="Arial"/>
                <w:sz w:val="14"/>
                <w:szCs w:val="14"/>
                <w:b w:val="1"/>
                <w:bCs w:val="1"/>
                <w:color w:val="auto"/>
              </w:rPr>
              <w:t>Option</w:t>
            </w:r>
          </w:p>
        </w:tc>
        <w:tc>
          <w:tcPr>
            <w:tcW w:w="11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Contractual Term</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center"/>
              <w:ind w:left="34"/>
              <w:spacing w:after="0" w:line="203" w:lineRule="exact"/>
              <w:rPr>
                <w:sz w:val="20"/>
                <w:szCs w:val="20"/>
                <w:color w:val="auto"/>
              </w:rPr>
            </w:pPr>
            <w:r>
              <w:rPr>
                <w:rFonts w:ascii="Arial" w:cs="Arial" w:eastAsia="Arial" w:hAnsi="Arial"/>
                <w:sz w:val="18"/>
                <w:szCs w:val="18"/>
                <w:color w:val="auto"/>
                <w:w w:val="89"/>
              </w:rPr>
              <w:t>911,775</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6.82</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0"/>
              </w:rPr>
              <w:t>(159,775)</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9.08</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13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752,000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years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Options exercisable at end of quarter</w:t>
            </w: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752,000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6.34</w:t>
            </w:r>
          </w:p>
        </w:tc>
        <w:tc>
          <w:tcPr>
            <w:tcW w:w="1120" w:type="dxa"/>
            <w:vAlign w:val="bottom"/>
          </w:tcPr>
          <w:p>
            <w:pPr>
              <w:jc w:val="right"/>
              <w:spacing w:after="0"/>
              <w:rPr>
                <w:sz w:val="20"/>
                <w:szCs w:val="20"/>
                <w:color w:val="auto"/>
              </w:rPr>
            </w:pPr>
            <w:r>
              <w:rPr>
                <w:rFonts w:ascii="Arial" w:cs="Arial" w:eastAsia="Arial" w:hAnsi="Arial"/>
                <w:sz w:val="18"/>
                <w:szCs w:val="18"/>
                <w:color w:val="auto"/>
              </w:rPr>
              <w:t>0.5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Availability Under the 2006 Plan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May 3, 2014, the Company had 1,345,638 shares available for future grant under the 2006 Plan, of which 1,107,125 remain available under the sublimit for awards other than options and stock appreciation rights. No further grants can be made under the 1992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9,729 shares of common stock, with a fair value of approximately $51,472, to certain of its non-employee directors as compensation in lieu of cash in the first three months of fiscal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 and Restricted Stock</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three months of fiscal 2014, the Company granted 5,000 shares of restricted stock, 2,751 shares of deferred stock and no stock options. For the first three months of fiscal 2013, the Company granted stock options to purchase 1,077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quarter of fiscal 2013:</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24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May 4, 2013</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gridSpan w:val="2"/>
          </w:tcPr>
          <w:p>
            <w:pPr>
              <w:jc w:val="center"/>
              <w:ind w:left="2550"/>
              <w:spacing w:after="0"/>
              <w:rPr>
                <w:sz w:val="20"/>
                <w:szCs w:val="20"/>
                <w:color w:val="auto"/>
              </w:rPr>
            </w:pPr>
            <w:r>
              <w:rPr>
                <w:rFonts w:ascii="Arial" w:cs="Arial" w:eastAsia="Arial" w:hAnsi="Arial"/>
                <w:sz w:val="18"/>
                <w:szCs w:val="18"/>
                <w:color w:val="auto"/>
                <w:w w:val="91"/>
              </w:rPr>
              <w:t>0.36-0.38%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 yrs</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Dividend rate</w:t>
            </w:r>
          </w:p>
        </w:tc>
        <w:tc>
          <w:tcPr>
            <w:tcW w:w="26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first quarter of fiscal 2014 and fiscal 2013, the Company recognized total stock-based compensation expense of $0.7 million and $0.1 million, respectively. The total compensation cost related to time-vested stock options and time-based restricted stock awards not yet recognized as of May 3, 2014 is approximately $4.2 million which will be expensed over a weighted average remaining life of 24 months. At May 3, 2014, the Company had $6.9 million of unrecognized compensation expense related to its performance-based stock options and restricted stock. As discussed above, the Company will begin recognizing compensation when achievement of the performance targets becomes probable.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2" w:name="page13"/>
    <w:bookmarkEnd w:id="12"/>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560" w:type="dxa"/>
            <w:vAlign w:val="bottom"/>
            <w:gridSpan w:val="4"/>
          </w:tcPr>
          <w:p>
            <w:pPr>
              <w:ind w:left="120"/>
              <w:spacing w:after="0"/>
              <w:rPr>
                <w:sz w:val="20"/>
                <w:szCs w:val="20"/>
                <w:color w:val="auto"/>
              </w:rPr>
            </w:pPr>
            <w:r>
              <w:rPr>
                <w:rFonts w:ascii="Arial" w:cs="Arial" w:eastAsia="Arial" w:hAnsi="Arial"/>
                <w:sz w:val="14"/>
                <w:szCs w:val="14"/>
                <w:color w:val="auto"/>
              </w:rPr>
              <w:t>For the three months</w:t>
            </w:r>
          </w:p>
        </w:tc>
      </w:tr>
      <w:tr>
        <w:trPr>
          <w:trHeight w:val="149"/>
        </w:trPr>
        <w:tc>
          <w:tcPr>
            <w:tcW w:w="7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ended</w:t>
            </w:r>
          </w:p>
        </w:tc>
      </w:tr>
      <w:tr>
        <w:trPr>
          <w:trHeight w:val="149"/>
        </w:trPr>
        <w:tc>
          <w:tcPr>
            <w:tcW w:w="712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May 3,</w:t>
            </w:r>
          </w:p>
        </w:tc>
        <w:tc>
          <w:tcPr>
            <w:tcW w:w="340" w:type="dxa"/>
            <w:vAlign w:val="bottom"/>
          </w:tcPr>
          <w:p>
            <w:pPr>
              <w:spacing w:after="0"/>
              <w:rPr>
                <w:sz w:val="12"/>
                <w:szCs w:val="12"/>
                <w:color w:val="auto"/>
              </w:rPr>
            </w:pP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May 4,</w:t>
            </w:r>
          </w:p>
        </w:tc>
      </w:tr>
      <w:tr>
        <w:trPr>
          <w:trHeight w:val="167"/>
        </w:trPr>
        <w:tc>
          <w:tcPr>
            <w:tcW w:w="7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ind w:left="120"/>
              <w:spacing w:after="0"/>
              <w:rPr>
                <w:sz w:val="20"/>
                <w:szCs w:val="20"/>
                <w:color w:val="auto"/>
              </w:rPr>
            </w:pPr>
            <w:r>
              <w:rPr>
                <w:rFonts w:ascii="Arial" w:cs="Arial" w:eastAsia="Arial" w:hAnsi="Arial"/>
                <w:sz w:val="14"/>
                <w:szCs w:val="14"/>
                <w:color w:val="auto"/>
              </w:rPr>
              <w:t>2014</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 Outstanding</w:t>
            </w: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48,656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48,291</w:t>
            </w:r>
          </w:p>
        </w:tc>
        <w:tc>
          <w:tcPr>
            <w:tcW w:w="100" w:type="dxa"/>
            <w:vAlign w:val="bottom"/>
          </w:tcPr>
          <w:p>
            <w:pPr>
              <w:spacing w:after="0"/>
              <w:rPr>
                <w:sz w:val="18"/>
                <w:szCs w:val="18"/>
                <w:color w:val="auto"/>
              </w:rPr>
            </w:pPr>
          </w:p>
        </w:tc>
      </w:tr>
      <w:tr>
        <w:trPr>
          <w:trHeight w:val="202"/>
        </w:trPr>
        <w:tc>
          <w:tcPr>
            <w:tcW w:w="71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equivalents – stock options and restricted stock. Common stock</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equivalents of 565 shares for the three months ended May 3, 2014, were excluded due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the net loss</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48,656</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48,587</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40" w:type="dxa"/>
            <w:vAlign w:val="bottom"/>
            <w:gridSpan w:val="3"/>
          </w:tcPr>
          <w:p>
            <w:pPr>
              <w:ind w:left="420"/>
              <w:spacing w:after="0"/>
              <w:rPr>
                <w:sz w:val="20"/>
                <w:szCs w:val="20"/>
                <w:color w:val="auto"/>
              </w:rPr>
            </w:pPr>
            <w:r>
              <w:rPr>
                <w:rFonts w:ascii="Arial" w:cs="Arial" w:eastAsia="Arial" w:hAnsi="Arial"/>
                <w:sz w:val="14"/>
                <w:szCs w:val="14"/>
                <w:color w:val="auto"/>
              </w:rPr>
              <w:t>For the three months ended</w:t>
            </w:r>
          </w:p>
        </w:tc>
      </w:tr>
      <w:tr>
        <w:trPr>
          <w:trHeight w:val="167"/>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6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May 3, 2014</w:t>
            </w:r>
          </w:p>
        </w:tc>
        <w:tc>
          <w:tcPr>
            <w:tcW w:w="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May 4, 2013</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(time-vested)</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1,948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1,167</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$4.96 - $7.52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$4.91 - $10.26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May 3, 2014, expire from May 24, 2014 to January 29, 2024.</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Excluded from the Company’s computation of basic and diluted earnings per share for the first three months of fiscal 2014, were 901,715 shares of unvested performance-based restricted stock and 1,117,547 performance-based stock options. These performance-based awards will be included in the computation of basic and diluted earnings per share if, and when, the respective performance targets are achieved. In addition, another 901,715 shares of unvested time-based restricted stock were excluded from the computation of basic earnings per share until such shares vest. See Note 3, Stock-Based Compensation, for a discussion of the Company’s 2013-2016 LTIP and the respective performance targets.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1,803,430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29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May 3, 2014, the Company had total deferred tax assets of approximately $73.5 million, total deferred tax liabilities of $16.8 million and a corresponding valuation allowance of $56.7 million.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determined that it is more likely than not that it will not be able to realize the benefits of its deferred tax assets in the United States. Accordingly, at the end of fiscal 2013, the Company established a full allowance against its net deferred tax assets. Based on the Company’s forecast for fiscal 2014, the Company believes that a full allowance remains appropriate at this time. The valuation allowance will be maintained until there is sufficient positive evidence to conclude that it is more likely than not that the net deferred tax assets will be realized.</w:t>
      </w:r>
    </w:p>
    <w:p>
      <w:pPr>
        <w:spacing w:after="0" w:line="19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As of May 3, 2014, the Company had net operating loss carryforwards of $111.9 million for federal income tax purposes and $64.1 million for state income tax purposes that are available to offset future taxable income through fiscal year 2034. Additionally, the Company has alternative minimum tax credit carryforwards of $2.3 million, which are available to further reduce income taxes over an indefinite period. Additionally, the Company has $0.1 million and $1.5 million of net operating loss for tax purposes related to the Company’s operations in the Netherlands and Canada, respectively, though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3" w:name="page14"/>
    <w:bookmarkEnd w:id="13"/>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both are expected to expire largely unutilized. Included in the net operating loss carryforwards for both federal and state income tax is approximately $13.2 million relating to stock compensation deductions, the tax benefit from which, if realized, will be credited to additional paid-in capital.</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Company’s tax provision for the first quarter of fiscal 2014, which was computed on a discrete basis, reflects the increase in the valuation allowance against our deferred tax assets as well as state gross margin tax and foreign income tax. The Company’s effective tax rate for the first quarter of fiscal 2013 was 43.9%, which was consistent with the statutory U.S. federal tax rate and blended state tax rate for the states in which the Company conducted business.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Income Taxes, the Company will recognize the benefit from a tax position only if it is more likely than not that the position would be sustained upon audit based solely on the technical merits of the tax position. The liability for unrecognized tax benefits at May 3, 2014 was $3.2 million. This amount is directly associated with a prior year tax position related to exiting the European direct business. The amount of unrecognized tax benefit has been presented as a reduction in the reported amounts of its federal and state NOL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1998, with remaining fiscal years subject to income tax examination by federal tax authorities.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2014 and beyond, the expected benefit of marketing initiatives and anticipated pace and number of store openings in fiscal 2014.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February 1, 2014, filed with the Securities and Exchange Commission on March 17, 2014, that sets forth certain risks and uncertainties that may have an impact on future results and direction of the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Destination XL Group, Inc. (formerly known as Casual Male Retail Group, Inc., and together with our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Casual Male XL</w:t>
      </w:r>
      <w:r>
        <w:rPr>
          <w:rFonts w:ascii="Arial" w:cs="Arial" w:eastAsia="Arial" w:hAnsi="Arial"/>
          <w:sz w:val="15"/>
          <w:szCs w:val="15"/>
          <w:color w:val="auto"/>
        </w:rPr>
        <w:t>®</w:t>
      </w:r>
      <w:r>
        <w:rPr>
          <w:rFonts w:ascii="Arial" w:cs="Arial" w:eastAsia="Arial" w:hAnsi="Arial"/>
          <w:sz w:val="18"/>
          <w:szCs w:val="18"/>
          <w:color w:val="auto"/>
        </w:rPr>
        <w:t>, Casual Male XL Outlets, Rochester Clothing, B&amp;T Factory Direct™, ShoesXL</w:t>
      </w:r>
      <w:r>
        <w:rPr>
          <w:rFonts w:ascii="Arial" w:cs="Arial" w:eastAsia="Arial" w:hAnsi="Arial"/>
          <w:sz w:val="15"/>
          <w:szCs w:val="15"/>
          <w:color w:val="auto"/>
        </w:rPr>
        <w:t>®</w:t>
      </w:r>
      <w:r>
        <w:rPr>
          <w:rFonts w:ascii="Arial" w:cs="Arial" w:eastAsia="Arial" w:hAnsi="Arial"/>
          <w:sz w:val="18"/>
          <w:szCs w:val="18"/>
          <w:color w:val="auto"/>
        </w:rPr>
        <w:t xml:space="preserve"> and LivingXL</w:t>
      </w:r>
      <w:r>
        <w:rPr>
          <w:rFonts w:ascii="Arial" w:cs="Arial" w:eastAsia="Arial" w:hAnsi="Arial"/>
          <w:sz w:val="15"/>
          <w:szCs w:val="15"/>
          <w:color w:val="auto"/>
        </w:rPr>
        <w:t>®</w:t>
      </w:r>
      <w:r>
        <w:rPr>
          <w:rFonts w:ascii="Arial" w:cs="Arial" w:eastAsia="Arial" w:hAnsi="Arial"/>
          <w:sz w:val="18"/>
          <w:szCs w:val="18"/>
          <w:color w:val="auto"/>
        </w:rPr>
        <w:t>. At May 3, 2014, we operated 106 Destination XL stores, 188 Casual Male XL retail stores, 52 Casual Male XL outlet stores and 10 Rochester Clothing stores. Our direct business includes our DestinationXL.com e-commerce site and several mailers which support our brands and product extensions.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Unless the context indicates otherwise, all references to “we,” “our,” “ours,” “us” and “the Company” refer to Destination XL Group, Inc. and our consolidated subsidiaries. We refer to our fiscal years which end on January 31, 2015 and February 1, 2014 as “fiscal 2014” and “fiscal 2013,” respectively. Both fiscal years are 52-week periods.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Beginning in the first quarter of fiscal 2013, total comparable sales for all periods include our retail stores that have been open for at least 13 months and our direct businesses.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The method of calculating comparable sales varies across the retail industry and, as a result, our calculation of comparable sales is not necessarily comparable to similarly titled measures reported by other companies.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Through the end of fiscal 2013, the majority of our DXL stores were considered relocations and comparable to all the closed Casual Male and/or Rochester stores in each respective market area for the first twelve months. Due to the small number of DXL stores opened for more than a year, we believed that this was a useful comparison as to how a DXL store was performing in the market when compared to the sales of the predecessor stores. However, at the end of the first quarter of fiscal 2014, we now have 52 DXL stores that have been open at least 13 months and we believe that this DXL comparable will have more meaning going forward. Therefore, beginning in the first quarter of fiscal 2014, only DXL stores that have been open at least 13 months will be included in comparable store sales.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REPORTING</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shows GAAP net loss per diluted share for fiscal 2014 and Non-GAAP adjusted net loss per diluted share for fiscal 2014, with a comparison to GAAP net income for fiscal 2014. See “Presentation of Non-GAAP Measures” below for a reconciliation of GAAP net loss to non-GAAP adjusted net loss.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First Quarter of</w:t>
            </w:r>
          </w:p>
        </w:tc>
        <w:tc>
          <w:tcPr>
            <w:tcW w:w="3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First Quarter of</w:t>
            </w:r>
          </w:p>
        </w:tc>
        <w:tc>
          <w:tcPr>
            <w:tcW w:w="3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First Quarter of</w:t>
            </w:r>
          </w:p>
        </w:tc>
      </w:tr>
      <w:tr>
        <w:trPr>
          <w:trHeight w:val="149"/>
        </w:trPr>
        <w:tc>
          <w:tcPr>
            <w:tcW w:w="19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Fiscal 2014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Fiscal 2014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Fiscal 2013</w:t>
            </w:r>
          </w:p>
        </w:tc>
      </w:tr>
      <w:tr>
        <w:trPr>
          <w:trHeight w:val="171"/>
        </w:trPr>
        <w:tc>
          <w:tcPr>
            <w:tcW w:w="1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(GAAP)</w:t>
            </w:r>
          </w:p>
        </w:tc>
        <w:tc>
          <w:tcPr>
            <w:tcW w:w="3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(Non-GAAP) </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(GAAP)</w:t>
            </w:r>
          </w:p>
        </w:tc>
      </w:tr>
      <w:tr>
        <w:trPr>
          <w:trHeight w:val="176"/>
        </w:trPr>
        <w:tc>
          <w:tcPr>
            <w:tcW w:w="49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(0.07)</w:t>
            </w:r>
          </w:p>
        </w:tc>
        <w:tc>
          <w:tcPr>
            <w:tcW w:w="50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(0.04)</w:t>
            </w: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loss per diluted share, on a non-GAAP basis, assumes a normalized tax rate of 40%.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first quarter of fiscal 2014, we reported a net loss of $3.5 million, or $(0.07) per diluted share, as compared to net income for the first quarter of fiscal 2013 of $1.0 million, or $0.02 per diluted share. On a non-GAAP basis, our adjusted net loss for the first quarter of fiscal 2014, assuming a normal tax benefit was $2.1 million, or $(0.04) per diluted share. For the first quarter of fiscal 2014 we incurred transition costs of $1.5 million, or $0.03 per diluted share (no tax benefit), related to $0.3 million of pre-opening occupancy costs, $0.9 million of selling, general and administrative (SG&amp;A) expenses and $0.3 million related to trademark amortization. This compares to transition costs incurred in the first quarter of fiscal 2013 of $2.4 million, or $0.03 per diluted share.</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Due to the harsh winter weather experienced through much of the United States, our comparable sales for February and March 2014, while positive, were below expectations. However, we saw a significant improvement beginning in April 2014, which had a comparable sales increase of 6.8% for the month, resulting in a comparable sales increase for the first quarter of fiscal 2014 of 3.4%. The strength of our comparable sales continues to be driven by our DXL stores, which have had double-digit comparable sales increases for four consecutive quarters.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Merchandise margin for the first quarter of fiscal 2014 decreased by approximately 160 basis points from the prior year first quarter. The primary reason for the decrease was due to increased promotional activity in the first quarter as we focused on driving top line sales. Markdowns were higher due to increased in-store promotions, customer acquisition initiatives and increased penetration of clearance merchandise. While these efforts adversely affected our merchandise margin rate for the first quarter of fiscal 2014, we believe it is helping to transition our existing customer base to our DXL store locations and to drive overall store traffic. Beginning in the first quarter of fiscal 2014, we began reporting alterations revenue in top line sales with the associated tailor wages in cost of goods sold. As alterations and tailors become a more significant part of our business model, we believe the revenue and cost should be shown within gross margin rather than encompassed in SG&amp;A. We have reclassified the results for the first quarter of fiscal 2013 to reflect this presentation on a comparative basis.</w:t>
      </w:r>
    </w:p>
    <w:p>
      <w:pPr>
        <w:spacing w:after="0" w:line="19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Overall, although the first quarter of fiscal 2014 started sluggish as a result of the winter weather, we are optimistic about our sales trends since April 2014. Store traffic, transactions and conversion metrics for our DXL stores were up over the prior year first quarter despite the lower than expected sales in February and March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implementing several other initiatives in fiscal 2014 that we discussed at the end of fiscal 2013. In summary:</w:t>
      </w:r>
    </w:p>
    <w:p>
      <w:pPr>
        <w:spacing w:after="0" w:line="131" w:lineRule="exact"/>
        <w:rPr>
          <w:sz w:val="20"/>
          <w:szCs w:val="20"/>
          <w:color w:val="auto"/>
        </w:rPr>
      </w:pPr>
    </w:p>
    <w:p>
      <w:pPr>
        <w:ind w:left="900" w:hanging="325"/>
        <w:spacing w:after="0" w:line="25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Protecting and growing our existing customer base. Our promotional activity during the first quarter of fiscal 2014 showed promise as we work to achieve this goal. This quarter marked the first quarter during the DXL store era where we closed Casual Male XL stores, while increasing our customer base. Our existing customer base had been slow to convert to our DXL stores. Our marketing program is helping to improve brand recognition through in-store marketing at our Casual Male XL stores. In addition, we are implementing specific marketing initiatives geared only to our existing customer base.</w:t>
      </w:r>
    </w:p>
    <w:p>
      <w:pPr>
        <w:spacing w:after="0" w:line="93"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Opening 5,000 – 6,000 square foot DXL stores. Although none was opened during the first quarter of fiscal 2014, we are planning to open a limited number of smaller-format DXL stores this fiscal year.</w:t>
      </w:r>
    </w:p>
    <w:p>
      <w:pPr>
        <w:spacing w:after="0" w:line="7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Slowing down the pace of our existing Casual Male XL store closings. In addition, we have also extended the operating hours for most of our Casual Male XL stores. Our existing Casual Male XL retail stores had a strong first quarter comparable sales increase of 3.2%. Through Casual Male XL in-store advertising and promotional coupons for our DXL stores, our existing Casual Male stores are providing us with a marketing tool to help build our DXL brand awareness.</w:t>
      </w:r>
    </w:p>
    <w:p>
      <w:pPr>
        <w:spacing w:after="0" w:line="92" w:lineRule="exact"/>
        <w:rPr>
          <w:rFonts w:ascii="Arial" w:cs="Arial" w:eastAsia="Arial" w:hAnsi="Arial"/>
          <w:sz w:val="18"/>
          <w:szCs w:val="18"/>
          <w:color w:val="auto"/>
        </w:rPr>
      </w:pPr>
    </w:p>
    <w:p>
      <w:pPr>
        <w:ind w:left="900" w:right="160" w:hanging="325"/>
        <w:spacing w:after="0" w:line="31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Opening the majority of our DXL stores prior to the fourth quarter of fiscal 2014. During the first quarter of fiscal 2014, we opened 7 new DXL stores and are scheduled to open an additional 33 stores through the remainder of fiscal 2014, with the majority opening by the end of the third quarter. Our intention is to get these new stores open prior to the holiday shopping season to maximize the profitability of each store.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At the end of the first quarter of fiscal 2014, we launched our spring advertising campaign, which included new television and radio commercials geared toward highlighting our DXL store and the many merchandise styles available to our customers. In addition, during the first quarter of fiscal 2014, we also implemented several initiatives to educate our Casual Male XL customer about our new DXL stores, including several promotions to entice our existing customers to shop the new store format. While we will not know the immediate impact of our new marketing campaign until after Father’s Day, we are optimistic that our marketing programs within the stores will result in increased traffic to our DXL stores and customer reactivations.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Outlook</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earnings guidance of a net loss of $(0.21)-$(0.27) per diluted share, or $(0.12)-$(0.16) per diluted share on a non-GAAP basis, remains unchanged from the guidance previously disclosed. However, during the first quarter of fiscal 2014 we identified approximately twenty Casual Male XL stores that we had planned to close in fiscal 2014 that are now expected to remain open through the end of the year. We also re-established normal store hours for our Casual Male XL stores, which is having a positive impact on our comp sales. In addition, we also ran various promotions and coupon offers which were successful in driving traffic to our DXL stores. Based on these positive results, we are planning to continue similar programs throughout fiscal 2014. As a result, our sales expectations for fiscal 2014 have improved; however, most of the increase in sales will be absorbed through a lower than originally planned merchandise margin and additional payroll costs. We believe improving store traffic and customer transition to our DXL stores will benefit us and drive top line sales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guidance for fiscal 2014 has been revised as follows:</w:t>
      </w:r>
    </w:p>
    <w:p>
      <w:pPr>
        <w:spacing w:after="0" w:line="131"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range of $413.0 million to $418.0 million (an increase from our original guidance of $405.0 million to $410.0 million)</w:t>
      </w:r>
    </w:p>
    <w:p>
      <w:pPr>
        <w:spacing w:after="0" w:line="130" w:lineRule="exact"/>
        <w:rPr>
          <w:rFonts w:ascii="Arial" w:cs="Arial" w:eastAsia="Arial" w:hAnsi="Arial"/>
          <w:sz w:val="18"/>
          <w:szCs w:val="18"/>
          <w:color w:val="auto"/>
        </w:rPr>
      </w:pPr>
    </w:p>
    <w:p>
      <w:pPr>
        <w:ind w:left="440" w:right="80" w:hanging="324"/>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rate is expected to be 45.5% to 46.1% (a decrease from our original guidance of 46.2% to 46.9%). The basis point change as compared to fiscal 2013 of a decrease of 50 basis points to an increase of 10 basis points is based on merchandise margins decreasing by approximately 60 to 100 basis points (down from our original guidance of flat to up 40 basis points) and occupancy as a percentage of sales improving by 50 to 70 basis points (an improvement from our guidance of 60 to 80 basis points).</w:t>
      </w:r>
    </w:p>
    <w:p>
      <w:pPr>
        <w:spacing w:after="0" w:line="92" w:lineRule="exact"/>
        <w:rPr>
          <w:rFonts w:ascii="Arial" w:cs="Arial" w:eastAsia="Arial" w:hAnsi="Arial"/>
          <w:sz w:val="18"/>
          <w:szCs w:val="18"/>
          <w:color w:val="auto"/>
        </w:rPr>
      </w:pPr>
    </w:p>
    <w:p>
      <w:pPr>
        <w:ind w:left="440" w:right="120" w:hanging="324"/>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SG&amp;A costs are expected to be $176.0 million to $177.6 million. This increase of approximately $5.3 million to $6.9 million is an increase from our original range of $4.3 million to $6.0 million. This increase is primarily related to store payroll hours to support the increase in forecasted sales, discussed above. As a percentage of sales, SG&amp;A expenses are expected to increase by 140 to 150 basis points, an increase from our original guidance of 75 to 90 basis points.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to spend approximately $45.7 million in capital expenditures in fiscal 2014, which will be partially offset by approximately $9.3 million in tenant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allowances, primarily related to opening our DXL stores. We expect to fund the remainder of our capital expenditures through a combination of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flow, equipment financings, and borrowings under our credit facility. At the end of fiscal 2014, we expect to have total debt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$50.0-$55.0 million, consisting of $20.0 million from equipment financing notes with the balance from our credit facility. From a liquidity perspective,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expect cash flow from operating activities of $22.5 million (including the $9.3 million of tenant allowances), resulting in free cash flow (as defined below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under “Presentation of Non-GAAP Measures”) of approximately $(23.2)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above discussion includes a net loss for the first quarter of fiscal 2014, on a non-GAAP basis, of $(0.04) per diluted share and guidance for fiscal 2014 of a net loss, on a non-GAAP basis, of $(0.12) to $(0.16) per diluted share. For fiscal 2014, we expect to continue to provide a full valuation allowance against our deferred tax assets; therefore, we will not recognize any income tax benefit in fiscal 2014.</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net loss of $(0.12) to $(0.16) per diluted share for fiscal 2014 was calculated by taking the 2014 forecasted net loss of $(0.21)-$(0.27) and multiplying each by 40% to calculate an estimated income tax benefit of $0.09-$0.11 per diluted share, resulting in an adjusted non-GAAP net loss of $(0.12)-$(0.16) per diluted share.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comparison purposes, the following is a reconciliation of net loss, on a GAAP basis, to a net loss, on a non-GAAP basis, assuming a normal tax benefit of 40% for the first quarter of fiscal 2014: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GAAP TO NON-GAAP RECONCILIATION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May 3, 2014</w:t>
            </w: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May 4,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w w:val="89"/>
              </w:rPr>
              <w:t>Per diluted</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Per diluted</w:t>
            </w:r>
          </w:p>
        </w:tc>
        <w:tc>
          <w:tcPr>
            <w:tcW w:w="0" w:type="dxa"/>
            <w:vAlign w:val="bottom"/>
          </w:tcPr>
          <w:p>
            <w:pPr>
              <w:spacing w:after="0"/>
              <w:rPr>
                <w:sz w:val="1"/>
                <w:szCs w:val="1"/>
                <w:color w:val="auto"/>
              </w:rPr>
            </w:pPr>
          </w:p>
        </w:tc>
      </w:tr>
      <w:tr>
        <w:trPr>
          <w:trHeight w:val="167"/>
        </w:trPr>
        <w:tc>
          <w:tcPr>
            <w:tcW w:w="66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color w:val="auto"/>
                <w:w w:val="96"/>
              </w:rPr>
              <w:t>share</w:t>
            </w:r>
          </w:p>
        </w:tc>
        <w:tc>
          <w:tcPr>
            <w:tcW w:w="5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GAAP basis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$(3,536)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(0.07)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324"/>
        </w:trPr>
        <w:tc>
          <w:tcPr>
            <w:tcW w:w="6660" w:type="dxa"/>
            <w:vAlign w:val="bottom"/>
            <w:gridSpan w:val="3"/>
          </w:tcPr>
          <w:p>
            <w:pPr>
              <w:spacing w:after="0"/>
              <w:rPr>
                <w:sz w:val="20"/>
                <w:szCs w:val="20"/>
                <w:color w:val="auto"/>
              </w:rPr>
            </w:pPr>
            <w:r>
              <w:rPr>
                <w:rFonts w:ascii="Arial" w:cs="Arial" w:eastAsia="Arial" w:hAnsi="Arial"/>
                <w:sz w:val="18"/>
                <w:szCs w:val="18"/>
                <w:color w:val="auto"/>
              </w:rPr>
              <w:t>Add back: Actual income tax provision</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Income tax benefit, assuming normal tax rate of 40%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non-GAAP basis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$(2,093)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4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0"/>
              </w:rPr>
              <w:t>$1,011</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48,656</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48,587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rPr>
              <w:t>For the quarter</w:t>
            </w:r>
          </w:p>
        </w:tc>
        <w:tc>
          <w:tcPr>
            <w:tcW w:w="1260" w:type="dxa"/>
            <w:vAlign w:val="bottom"/>
            <w:gridSpan w:val="3"/>
          </w:tcPr>
          <w:p>
            <w:pPr>
              <w:spacing w:after="0"/>
              <w:rPr>
                <w:sz w:val="20"/>
                <w:szCs w:val="20"/>
                <w:color w:val="auto"/>
              </w:rPr>
            </w:pPr>
            <w:r>
              <w:rPr>
                <w:rFonts w:ascii="Arial" w:cs="Arial" w:eastAsia="Arial" w:hAnsi="Arial"/>
                <w:sz w:val="14"/>
                <w:szCs w:val="14"/>
                <w:color w:val="auto"/>
              </w:rPr>
              <w:t>For the quarter</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ended</w:t>
            </w:r>
          </w:p>
        </w:tc>
        <w:tc>
          <w:tcPr>
            <w:tcW w:w="180" w:type="dxa"/>
            <w:vAlign w:val="bottom"/>
          </w:tcPr>
          <w:p>
            <w:pPr>
              <w:spacing w:after="0"/>
              <w:rPr>
                <w:sz w:val="12"/>
                <w:szCs w:val="12"/>
                <w:color w:val="auto"/>
              </w:rPr>
            </w:pP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ended</w:t>
            </w: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Cash Flow</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Pr>
          <w:p>
            <w:pPr>
              <w:spacing w:after="0"/>
              <w:rPr>
                <w:sz w:val="14"/>
                <w:szCs w:val="14"/>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4"/>
                <w:szCs w:val="14"/>
                <w:color w:val="auto"/>
              </w:rPr>
              <w:t>May 3, 2014</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color w:val="auto"/>
              </w:rPr>
              <w:t>May 4, 2013</w:t>
            </w: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provided by operating activities:</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360"/>
              <w:spacing w:after="0" w:line="201" w:lineRule="exact"/>
              <w:rPr>
                <w:sz w:val="20"/>
                <w:szCs w:val="20"/>
                <w:color w:val="auto"/>
              </w:rPr>
            </w:pPr>
            <w:r>
              <w:rPr>
                <w:rFonts w:ascii="Arial" w:cs="Arial" w:eastAsia="Arial" w:hAnsi="Arial"/>
                <w:sz w:val="18"/>
                <w:szCs w:val="18"/>
                <w:color w:val="auto"/>
                <w:w w:val="91"/>
              </w:rPr>
              <w:t>Cash flow provided by operating activities other than tenant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allowances</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allowances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9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(11.1)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9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(25.0)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(13.6)</w:t>
            </w: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(23.2)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940" w:type="dxa"/>
            <w:vAlign w:val="bottom"/>
          </w:tcPr>
          <w:p>
            <w:pPr>
              <w:jc w:val="right"/>
              <w:ind w:right="670"/>
              <w:spacing w:after="0"/>
              <w:rPr>
                <w:sz w:val="20"/>
                <w:szCs w:val="20"/>
                <w:color w:val="auto"/>
              </w:rPr>
            </w:pPr>
            <w:r>
              <w:rPr>
                <w:rFonts w:ascii="Arial" w:cs="Arial" w:eastAsia="Arial" w:hAnsi="Arial"/>
                <w:sz w:val="18"/>
                <w:szCs w:val="18"/>
                <w:color w:val="auto"/>
                <w:w w:val="79"/>
              </w:rPr>
              <w:t>18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8" w:name="page19"/>
    <w:bookmarkEnd w:id="18"/>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decrease in free cash flow of $11.4 million for the first quarter of fiscal 2014 as compared to the first quarter of the prior year is due to the timing of certain working capital accounts, specifically trade payables, as well as an increase in capital expenditures related to information technology projects and DXL store openings.</w:t>
      </w:r>
    </w:p>
    <w:p>
      <w:pPr>
        <w:sectPr>
          <w:pgSz w:w="11900" w:h="16838" w:orient="portrait"/>
          <w:cols w:equalWidth="0" w:num="1">
            <w:col w:w="11420"/>
          </w:cols>
          <w:pgMar w:left="240" w:top="274" w:right="2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00" w:lineRule="exact"/>
        <w:rPr>
          <w:sz w:val="20"/>
          <w:szCs w:val="20"/>
          <w:color w:val="auto"/>
        </w:rPr>
      </w:pPr>
    </w:p>
    <w:p>
      <w:pPr>
        <w:spacing w:after="0" w:line="35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First quarter of 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2013 sales for stores that have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31750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4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Increase in DXL comparable sales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Increase in other retail comparable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Decrease in direct business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Non-comparable sales, primarily DXL stores open less than 13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net</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First quarter of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454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jc w:val="center"/>
        <w:ind w:right="1940"/>
        <w:spacing w:after="0"/>
        <w:rPr>
          <w:sz w:val="20"/>
          <w:szCs w:val="20"/>
          <w:color w:val="auto"/>
        </w:rPr>
      </w:pPr>
      <w:r>
        <w:rPr>
          <w:rFonts w:ascii="Arial" w:cs="Arial" w:eastAsia="Arial" w:hAnsi="Arial"/>
          <w:sz w:val="14"/>
          <w:szCs w:val="14"/>
          <w:i w:val="1"/>
          <w:iCs w:val="1"/>
          <w:color w:val="auto"/>
        </w:rPr>
        <w:t>(in millions)</w:t>
      </w:r>
    </w:p>
    <w:p>
      <w:pPr>
        <w:ind w:left="400" w:hanging="394"/>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94.0</w:t>
      </w:r>
    </w:p>
    <w:p>
      <w:pPr>
        <w:spacing w:after="0" w:line="101"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454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2" w:lineRule="exact"/>
        <w:rPr>
          <w:sz w:val="20"/>
          <w:szCs w:val="20"/>
          <w:color w:val="auto"/>
        </w:rPr>
      </w:pPr>
    </w:p>
    <w:p>
      <w:pPr>
        <w:ind w:left="400" w:hanging="394"/>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90.1</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0.6</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(0.3)</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4546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ind w:left="400" w:hanging="394"/>
        <w:spacing w:after="0"/>
        <w:tabs>
          <w:tab w:leader="none" w:pos="400"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4546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660"/>
          </w:cols>
          <w:pgMar w:left="240" w:top="274" w:right="239" w:bottom="1440" w:gutter="0" w:footer="0" w:header="0"/>
          <w:type w:val="continuous"/>
        </w:sectPr>
      </w:pP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first quarter of fiscal 2014, total sales were $96.8 million as compared to $94.0 million for the first quarter of fiscal 2013. The increase of $2.8 million in total sales was primarily due to an increase in comparable sales of $2.5 million and an increase in non-comparable store sales of $4.0 million, partially offset by $3.9 million in closed stores. The comparable sales increase of 3.4% consisted of an increase in our retail business of 4.7%, or $2.8 million, offset by a decrease in our direct business of 1.6%, or $0.3 million. In total, sales for February and March of 2014 were well below expectations as a result of unfavorable continued cold winter weather which negatively impacted most of our stores. However, as the warmer weather arrived, April saw a significant improvement in sales with a comparable sales increase of 6.8%, despite the fact that it was up against a 7.4% increase from April 2013.</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our 188 Casual Male XL retail stores performed well during the first quarter of fiscal 2014, with a comparable sales increase of 3.2%, or $0.9 million, the majority of our comparable sales growth is coming from our 52 DXL stores which had a comparable sales increase of 12.8%, or $2.2 million. Our Casual Male outlets and Rochester Clothing stores were down 2.0% or $(0.3) million over the prior year first quarter.</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With respect to our direct business, our US direct business improved slightly with an increase of 1.0%. This increase was offset by a decrease of approximately $0.4 million from our Sears-Canada business. Our web presence on the Sears-Canada Direct business continues to struggle. We are continuing to evaluate and monitor the business, which accounted for slightly less than 5% of our total direct business in fiscal 2014. In addition, sales for the first quarter of fiscal 2013 had catalog sales of approximately $1.0 million. We discontinued our catalog business in the second quarter of fiscal 2013. In the long-term, we expect our direct business to more than replace the shortfall in sales from legacy brand catalogs.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discussed above, through the end of fiscal 2013, revenue from our on-site tailoring business was netted against the associated tailoring costs and included in SG&amp;A expense. However, because tailoring is increasing as part of our growing DXL business, in the first quarter of fiscal 2014, we started reporting tailoring revenue as a component of sales, with the associated costs recorded as cost of goods sold. Accordingly, the results for the first quarter of fiscal 2013 were reclassified to reflect this presentation. Sales for the first quarter of fiscal 2013 increased $0.4 million, cost of goods sold increased $0.5 million and selling, general and administrative expenses decreased $0.1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of the breakdown of our comparable sales for the first quarter of fiscal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Comparable sales:</w:t>
            </w:r>
          </w:p>
        </w:tc>
        <w:tc>
          <w:tcPr>
            <w:tcW w:w="3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stores</w:t>
            </w:r>
          </w:p>
        </w:tc>
        <w:tc>
          <w:tcPr>
            <w:tcW w:w="24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Comparable Sales %</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Retail Business</w:t>
            </w:r>
          </w:p>
        </w:tc>
        <w:tc>
          <w:tcPr>
            <w:tcW w:w="4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302</w:t>
            </w:r>
          </w:p>
        </w:tc>
        <w:tc>
          <w:tcPr>
            <w:tcW w:w="86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DXL comp stores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460" w:type="dxa"/>
            <w:vAlign w:val="bottom"/>
            <w:gridSpan w:val="3"/>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 and Rochester Clothing stores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Direct Business</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direct business</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w w:val="97"/>
              </w:rPr>
              <w:t>Total comparable sales for the first quarter of fiscal 2014</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6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first quarter of fiscal 2014, our gross margin rate, inclusive of occupancy costs, was 45.4% as compared to a gross margin rate of 47.2% for the first quarter of fiscal 2013. The decrease of 180 basis points for the first quarter of fiscal 2014 was the result of an increase in occupancy costs of 20 basis points and a decrease in merchandise margins of 160 basis points. The decrease in merchandise margin for the first quarter of fiscal 2014 was due to a higher level of year-end clearance and an increase in our promotional activity. During the first quarter of fiscal 2014, we implemented a new promotional coupon program to incentivize our Casual Male XL customers to visit one of our DXL stores. This higher level of promotional activity is a strong indicator that our marketing initiative to convert our existing Casual Male XL customers to DXL is working, which will benefit our sales in the long-term as well. On a dollar basis, occupancy costs for the first quarter of fiscal 2014 increased 4.6% over the prior year. The increase in occupancy costs for the first quarter of fiscal 2014 as compared to the prior year’s first quarter was due to the DXL store openings and the associated pre-opening costs as well as the timing of our Casual Male XL store closings.</w:t>
      </w:r>
    </w:p>
    <w:p>
      <w:pPr>
        <w:spacing w:after="0" w:line="197" w:lineRule="exact"/>
        <w:rPr>
          <w:sz w:val="20"/>
          <w:szCs w:val="20"/>
          <w:color w:val="auto"/>
        </w:rPr>
      </w:pPr>
    </w:p>
    <w:p>
      <w:pPr>
        <w:jc w:val="both"/>
        <w:ind w:right="320"/>
        <w:spacing w:after="0" w:line="293" w:lineRule="auto"/>
        <w:rPr>
          <w:sz w:val="20"/>
          <w:szCs w:val="20"/>
          <w:color w:val="auto"/>
        </w:rPr>
      </w:pPr>
      <w:r>
        <w:rPr>
          <w:rFonts w:ascii="Arial" w:cs="Arial" w:eastAsia="Arial" w:hAnsi="Arial"/>
          <w:sz w:val="16"/>
          <w:szCs w:val="16"/>
          <w:color w:val="auto"/>
        </w:rPr>
        <w:t>For fiscal 2014, we are expecting that our occupancy costs will increase approximately $1.5 to $1.7 million as a result of adding approximately 40 DXL stores in fiscal 2014 and certain lease termination costs associated with closing 38 Casual Male XL and 2 Rochester Clothing stores. However, we expect occupancy costs as a percentage of sales will improve 50 to 70 basis points over fiscal 2013. We are expecting that our merchandise margins, which have improved over 170 basis points over the past four years, will decrease by 60 to 100 basis points as a result of our increase in promotional activity which is geared towards converting our customers to our DXL stores and improving overall store traffic. Accordingly, for fiscal 2014, we are expecting that gross margin will range from a decrease of 50 basis points to an increase of 10 basis points as compared to fiscal 2013.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percentage of sales, SG&amp;A expenses for the first quarter of fiscal 2014 increased to 43.0% as compared to 40.6% for the first quarter of fiscal 2013. On a dollar basis, SG&amp;A expenses increased $3.4 million, or 8.9%, for the first quarter of fiscal 2014 as compared to the prior year’s first quarter. The increase of $3.4 million includes incremental costs of approximately $0.9 million related pre-opening payroll, training and store operations to support the new DXL stores and a net increase of $0.6 million in marketing costs associated with the launch of our spring campaign. The remainder of the increase is primarily from higher than planned store payroll and medical and workers compensation claims.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fiscal 2014, we are expecting that our SG&amp;A expenses will increase to $176.0 to $177.6 million as we continue to grow the DXL format. The $5.3-$6.9 million increase is primarily related to incremental operating costs associated with our growing DXL concept, as well as costs to close approximately 38 Casual Male XL stores and 2 Rochester Clothing stores. Overall, we expect to limit our SG&amp;A growth rates, except where necessary to support our growth activities or where there are unanticipated costs that are necessary to support our overall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for the first quarter of fiscal 2014 was $5.4 million as compared to $4.2 million for the first quarter of fiscal 2013. The increase of $1.2 million is due to the store growth associated with our DXL store concept.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Expense, Net</w:t>
      </w:r>
    </w:p>
    <w:p>
      <w:pPr>
        <w:spacing w:after="0" w:line="117"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Net interest expense was $0.4 million for the first quarter of fiscal 2014 as compared to $0.2 million for the first quarter of fiscal 2013. Interest expense for the past few years has remained relatively low due to minimal borrowings on our credit facility. However, with our continued planned store growth in fiscal 2014, we expect interest costs during fiscal 2014 will increase as we fund a portion of our store growth with equipment financing loans and borrowings from our credit facility. Through the end of the first quarter of fiscal 2014, we funded approximately $24.8 million of our capital expenditures through equipment financing. See “Liquidity and Capital Resources” for more discussion regarding our current credit facility, equipment financings and future liquidity needs.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At May 3, 2014, we had total deferred tax assets of $73.5 million, total deferred tax liabilities of $16.8 million and a corresponding valuation allowance of $56.7 million. The deferred tax assets include approximately $28.4 million of net operating loss carryforwards and approximately $7.4 million of deferred gain on our sale-leaseback and, to a lesser extent, other book/tax timing differences.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the end of fiscal 2013, we were in a three-year cumulative loss. Based on our forecasts and our expectations that we will continue to be in a cumulative three-year loss position through the end of fiscal 2014, we determined at that time that it was more likely than not that we would not be able to realize the benefits of our deferred tax assets in the United States. Accordingly, at February 1, 2014, we established a full valuation allowance against our deferred tax assets. Based on our earnings guidance for fiscal 2014, we continue to believe that, as of May 3, 2014, a full valuation allowance against our deferred tax assets is appropriate.</w:t>
      </w:r>
    </w:p>
    <w:p>
      <w:pPr>
        <w:spacing w:after="0" w:line="18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tax provision for the first quarter of fiscal 2014, which was computed on a discrete basis, reflects the increase in the valuation allowance against our deferred tax assets as well as state gross margin tax and foreign income tax. Our effective tax rate for the first quarter of fiscal 2013 was 43.9%, which was consistent with the statutory U.S. federal tax rate and blended state tax rate for the states in which the Company conducted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For the first quarter of fiscal 2014, we had a net loss of $3.5 million, or $(0.07) per diluted share, compared with net income of $1.0 million, or $0.02 per diluted share, for the first quarter of fiscal 2013. On a non-GAAP basis, assuming a normalized tax rate for fiscal 2014, the net loss for the first quarter of fiscal 2014 was $(0.04) per diluted share. See “Presentation of Non-GAAP measures” above for a reconciliation.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non-GAAP decrease in earnings of $0.06 per diluted share in earnings for the first quarter of fiscal 2014, as compared to the first quarter of fiscal 2013, is slightly worse than our expectations due to the weak retail environment in February and March, largely due to the tough winter weather. In addition, our merchandise margins decreased in the first quarter of fiscal 2014 as compared to the prior year as a result of increased promotional activity. As we discussed above, we are forecasting a decrease in operating income in fiscal 2014, as compared to fiscal 2013, as we continue to rollout our DXL stores.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May 3, 2014, total inventory was $114.2 million compared to $105.6 million at February 1, 2014 and $112.4 million at May 4, 2013. While inventory levels on a dollar basis increased $1.8 million over the prior year’s first quarter, on a unit basis, inventories decreased 6.5%. Although our store count has decreased from the first quarter of fiscal 2013, our square footage increased 4.2% and, as a result, our average inventory per square foot was lower than the prior year’s first quarter. The increase in inventory from February 1, 2014 is consistent with the prior year as we increase our inventory levels for the upcoming Father’s Day weekend.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above, our capital expenditures for fiscal 2014 are expected to be $45.7 million, primarily related to the planned opening of 40 new DXL stores and information technology projects. However, we expect to receive approximately $9.3 million in tenant allowances to offset these capital expenditures for a net spend of $36.4 million. We expect to fund our store growth in fiscal 2014 primarily through cash flow from operations and borrowings from our Credit Facility as well as equipment financing loans. For fiscal 2014, while our total debt is projected to reach approximately $65.0 - $70.0 million during our key seasonal buying periods, we expect that our borrowings at the end of fiscal 2014 will be approximately $50.0-$55.0 million.</w:t>
      </w:r>
    </w:p>
    <w:p>
      <w:pPr>
        <w:spacing w:after="0" w:line="16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the first quarter of fiscal 2014, we financed approximately $7.3 million of capital expenditures through equipment financing loans pursuant to a Master Loan and Security Agreement described below. Through the end of the first quarter of fiscal 2014, we have financed an aggregate of $24.8 million. We have the ability to finance up to an additional $3.2 million through equipment financing loans during the second quarter of fiscal 2014.</w:t>
      </w:r>
    </w:p>
    <w:p>
      <w:pPr>
        <w:spacing w:after="0" w:line="16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currently believe that our existing cash generated by operations together with our availability under our credit facility will be sufficient within current forecasts for us to meet our foreseeable liquidity requirements. For the first three months of fiscal 2014, free cash flow, which we define as cash flow from operating activities, less capital expenditures and discretionary store asset acquisitions, if any, decreased by $11.4 million to $(25.0) million from $(13.6) million for the first three months of fiscal 2013. This decrease in free cash flow was principally due to the timing of working capital accounts, specifically trade payables, as well an increase in capital expenditures of $3.1 million related to information technology projects and new store construction. See “Presentation of Non-GAAP Measure” above regarding non-GAAP free cash flow.</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provides for a maximum committed borrowing of $100 million, which, pursuant to an accordion feature, may be increased to $150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June 26, 2018. Our Credit Facility is described in more detail in Note 2 to the Notes to the Consolidated Financial Statements included in this report.</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had outstanding borrowings of $29.2 million under the Credit Facility at May 3, 2014. Outstanding standby letters of credit were $2.2 million and outstanding documentary letters of credit were $0.7 million. The average monthly borrowing outstanding under the Credit Facility during the first three months of fiscal 2014 was approximately $25.8 million, resulting in an average unused excess availability of approximately $67.2 million. Unused excess availability at May 3, 2014 was $67.9 million. Our obligations under the Credit Facility are secured by a lien on all of our assets. The facility contains no financial covenants.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Through the end of the first quarter of fiscal 2014, we entered into ten Equipment Security Notes (the “Notes”), whereby we borrowed an aggregate of $24.8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2" w:name="page23"/>
    <w:bookmarkEnd w:id="22"/>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monthly. We are subject to a prepayment penalty equal to 1% of the prepaid principal of the Notes until the first anniversary, 0.5% of the prepaid principal from the first anniversary until the second anniversary and no prepayment penalty thereafter. At May 3, 2014, the outstanding balance of Notes was $22.6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Notes were used to fund partially the capital expenditures associated with our DXL store rollout.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May 3, 2014 and May 4, 2013, respectively: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3600" w:type="dxa"/>
            <w:vAlign w:val="bottom"/>
            <w:gridSpan w:val="4"/>
          </w:tcPr>
          <w:p>
            <w:pPr>
              <w:jc w:val="right"/>
              <w:ind w:right="1720"/>
              <w:spacing w:after="0"/>
              <w:rPr>
                <w:sz w:val="20"/>
                <w:szCs w:val="20"/>
                <w:color w:val="auto"/>
              </w:rPr>
            </w:pPr>
            <w:r>
              <w:rPr>
                <w:rFonts w:ascii="Arial" w:cs="Arial" w:eastAsia="Arial" w:hAnsi="Arial"/>
                <w:sz w:val="14"/>
                <w:szCs w:val="14"/>
                <w:b w:val="1"/>
                <w:bCs w:val="1"/>
                <w:color w:val="auto"/>
              </w:rPr>
              <w:t>At May 3, 2014</w:t>
            </w:r>
          </w:p>
        </w:tc>
        <w:tc>
          <w:tcPr>
            <w:tcW w:w="29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At May 4, 2013</w:t>
            </w:r>
          </w:p>
        </w:tc>
        <w:tc>
          <w:tcPr>
            <w:tcW w:w="0" w:type="dxa"/>
            <w:vAlign w:val="bottom"/>
          </w:tcPr>
          <w:p>
            <w:pPr>
              <w:spacing w:after="0"/>
              <w:rPr>
                <w:sz w:val="1"/>
                <w:szCs w:val="1"/>
                <w:color w:val="auto"/>
              </w:rPr>
            </w:pPr>
          </w:p>
        </w:tc>
      </w:tr>
      <w:tr>
        <w:trPr>
          <w:trHeight w:val="178"/>
        </w:trPr>
        <w:tc>
          <w:tcPr>
            <w:tcW w:w="4000" w:type="dxa"/>
            <w:vAlign w:val="bottom"/>
            <w:gridSpan w:val="2"/>
            <w:vMerge w:val="continue"/>
          </w:tcPr>
          <w:p>
            <w:pPr>
              <w:spacing w:after="0"/>
              <w:rPr>
                <w:sz w:val="15"/>
                <w:szCs w:val="15"/>
                <w:color w:val="auto"/>
              </w:rPr>
            </w:pPr>
          </w:p>
        </w:tc>
        <w:tc>
          <w:tcPr>
            <w:tcW w:w="186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w w:val="90"/>
              </w:rPr>
              <w:t>Number of Stores</w:t>
            </w:r>
          </w:p>
        </w:tc>
        <w:tc>
          <w:tcPr>
            <w:tcW w:w="174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w w:val="88"/>
              </w:rPr>
              <w:t>Square Footage</w:t>
            </w:r>
          </w:p>
        </w:tc>
        <w:tc>
          <w:tcPr>
            <w:tcW w:w="18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Number of Stores</w:t>
            </w:r>
          </w:p>
        </w:tc>
        <w:tc>
          <w:tcPr>
            <w:tcW w:w="106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w w:val="88"/>
              </w:rPr>
              <w:t>Square Footage</w:t>
            </w:r>
          </w:p>
        </w:tc>
        <w:tc>
          <w:tcPr>
            <w:tcW w:w="0" w:type="dxa"/>
            <w:vAlign w:val="bottom"/>
          </w:tcPr>
          <w:p>
            <w:pPr>
              <w:spacing w:after="0"/>
              <w:rPr>
                <w:sz w:val="1"/>
                <w:szCs w:val="1"/>
                <w:color w:val="auto"/>
              </w:rPr>
            </w:pPr>
          </w:p>
        </w:tc>
      </w:tr>
      <w:tr>
        <w:trPr>
          <w:trHeight w:val="136"/>
        </w:trPr>
        <w:tc>
          <w:tcPr>
            <w:tcW w:w="8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i w:val="1"/>
                <w:iCs w:val="1"/>
                <w:color w:val="auto"/>
                <w:w w:val="87"/>
              </w:rPr>
              <w:t>(square footage</w:t>
            </w:r>
          </w:p>
        </w:tc>
        <w:tc>
          <w:tcPr>
            <w:tcW w:w="3120" w:type="dxa"/>
            <w:vAlign w:val="bottom"/>
          </w:tcPr>
          <w:p>
            <w:pPr>
              <w:ind w:left="60"/>
              <w:spacing w:after="0" w:line="136" w:lineRule="exact"/>
              <w:rPr>
                <w:sz w:val="20"/>
                <w:szCs w:val="20"/>
                <w:color w:val="auto"/>
              </w:rPr>
            </w:pPr>
            <w:r>
              <w:rPr>
                <w:rFonts w:ascii="Arial" w:cs="Arial" w:eastAsia="Arial" w:hAnsi="Arial"/>
                <w:sz w:val="14"/>
                <w:szCs w:val="14"/>
                <w:i w:val="1"/>
                <w:iCs w:val="1"/>
                <w:color w:val="auto"/>
              </w:rPr>
              <w:t>in thousands)</w:t>
            </w:r>
          </w:p>
        </w:tc>
        <w:tc>
          <w:tcPr>
            <w:tcW w:w="10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240</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834</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DXL</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106</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969</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54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w:t>
            </w: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7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7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7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February 1, 2014 to May 3,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Casual</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Rochester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Casual</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Stores:</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DXL</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Male XL</w:t>
            </w:r>
          </w:p>
        </w:tc>
        <w:tc>
          <w:tcPr>
            <w:tcW w:w="1100" w:type="dxa"/>
            <w:vAlign w:val="bottom"/>
            <w:gridSpan w:val="2"/>
            <w:vMerge w:val="continue"/>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Male XL</w:t>
            </w: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Retail</w:t>
            </w:r>
          </w:p>
        </w:tc>
        <w:tc>
          <w:tcPr>
            <w:tcW w:w="11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Clothing</w:t>
            </w:r>
          </w:p>
        </w:tc>
        <w:tc>
          <w:tcPr>
            <w:tcW w:w="10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Outlets</w:t>
            </w:r>
          </w:p>
        </w:tc>
        <w:tc>
          <w:tcPr>
            <w:tcW w:w="4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0"/>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February 1, 2014</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198</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w w:val="79"/>
              </w:rPr>
              <w:t>10</w:t>
            </w: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May 3, 2014</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106</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188</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opening of new DXL stores represents DXL stores opened in new markets.</w:t>
      </w:r>
    </w:p>
    <w:p>
      <w:pPr>
        <w:spacing w:after="0" w:line="23" w:lineRule="exact"/>
        <w:rPr>
          <w:rFonts w:ascii="Arial" w:cs="Arial" w:eastAsia="Arial" w:hAnsi="Arial"/>
          <w:sz w:val="18"/>
          <w:szCs w:val="18"/>
          <w:color w:val="auto"/>
        </w:rPr>
      </w:pPr>
    </w:p>
    <w:p>
      <w:pPr>
        <w:ind w:left="580" w:right="720" w:hanging="572"/>
        <w:spacing w:after="0" w:line="250"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Our capital expenditures for the first quarter of fiscal 2014 were $11.1 million as compared to $8.0 million for the first quarter of fiscal 2013. The $3.1 million increase is primarily related to the timing of expenditures for new DXL store construction during the first quarter of fiscal 2014.</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2014, our capital expenditures are expected to be approximately $45.7 million and we expect to receive approximately $9.3 million in tenant allowances to offset these expenditures partially. The budget includes approximately $35.4 million, excluding any allowance, related to the opening of 40 Destination XL stores and approximately $8.7 million for continued information technology projects, including enhanced web in-store inventory visibility, in-store pick-up of web purchases and access to Company-wide inventory for customer fulfillment, with the remainder relating to general overhead projects. In addition, we expect to close approximately 38 existing Casual Male XL stores and 2 Rochester Clothing stores, most of which are in connection with the opening of new DXL stores.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1, 2014 filed with the SEC on March 17,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June 26, 2018, bear interest at variable rates based on Bank of America’s prime rate or LIBOR. At May 3, 2014, the interest rate on our prime based borrowings was 3.75%. Approximately $21.0 million of our outstanding borrowings were in LIBOR contracts with an interest rate of 1.62%. Based upon a sensitivity analysis as of May 3, 2014, assuming average outstanding borrowing during the first quarter of fiscal 2013 of $25.8 million, a 50 basis point increase in interest rates would have resulted in a potential increase in interest expense of approximately $129,000 on an annualized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May 3, 2014,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Interim Chief Financial Officer, evaluated the effectiveness of our disclosure controls and procedures (as defined in Rules 13a-15(e) and 15d-15(e) under the Exchange Act) as of May 3, 2014.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Interim Chief Financial Officer concluded that, as of May 3, 2014,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May 3, 2014 that has materially affected, or is reasonably likely to materially affect, our internal control over financial reporting.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1, 2014 filed with the SEC on March 17,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920" w:right="460" w:hanging="814"/>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Temporary Employment Agreement, effective February 2, 2014, between the Company and John E. Kyees (included as Exhibit 10.1 to the Company’s Current Report on Form 8-K filed on March 10, 2014, and incorporated herein by reference).</w:t>
      </w:r>
    </w:p>
    <w:p>
      <w:pPr>
        <w:spacing w:after="0" w:line="76" w:lineRule="exact"/>
        <w:rPr>
          <w:sz w:val="20"/>
          <w:szCs w:val="20"/>
          <w:color w:val="auto"/>
        </w:rPr>
      </w:pPr>
    </w:p>
    <w:p>
      <w:pPr>
        <w:ind w:left="920" w:right="260" w:hanging="814"/>
        <w:spacing w:after="0" w:line="264"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Equipment Security Note Number 17608-70010 to the Master Loan and Security Agreement, as amended, dated March 28, 2014 between the Company and Banc of America Leasing &amp; Capital LLC (included as Exhibit 10.1 to the Company’s Current Report on Form 8-K filed on April 1, 2014, and incorporated herein by reference).</w:t>
      </w:r>
    </w:p>
    <w:p>
      <w:pPr>
        <w:spacing w:after="0" w:line="87" w:lineRule="exact"/>
        <w:rPr>
          <w:sz w:val="20"/>
          <w:szCs w:val="20"/>
          <w:color w:val="auto"/>
        </w:rPr>
      </w:pPr>
    </w:p>
    <w:p>
      <w:pPr>
        <w:ind w:left="920" w:right="260" w:hanging="814"/>
        <w:spacing w:after="0" w:line="264"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Equipment Security Note Number 17608-70011 to the Master Loan and Security Agreement, as amended, dated March 28, 2014 between the Company and Banc of America Leasing &amp; Capital LLC (included as Exhibit 10.2 to the Company’s Current Report on Form 8-K filed on April 1, 2014, and incorporated herein by reference).</w:t>
      </w:r>
    </w:p>
    <w:p>
      <w:pPr>
        <w:spacing w:after="0" w:line="87" w:lineRule="exact"/>
        <w:rPr>
          <w:sz w:val="20"/>
          <w:szCs w:val="20"/>
          <w:color w:val="auto"/>
        </w:rPr>
      </w:pPr>
    </w:p>
    <w:p>
      <w:pPr>
        <w:ind w:left="920" w:right="260" w:hanging="814"/>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Equipment Security Note Number 17608-70012 to the Master Loan and Security Agreement, as amended, dated March 28, 2014 between the Company and Banc of America Leasing &amp; Capital LLC (included as Exhibit 10.3 to the Company’s Current Report on Form 8-K filed on April 1, 2014, and incorporated herein by reference).</w:t>
      </w:r>
    </w:p>
    <w:p>
      <w:pPr>
        <w:spacing w:after="0" w:line="8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Interim Chief Financial Officer of the Company pursuant to Rule 13a-14(a) under the Securities Exchange Act of 1934.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0" w:right="299" w:bottom="1440" w:gutter="0" w:footer="0" w:header="0"/>
        </w:sectPr>
      </w:pPr>
    </w:p>
    <w:bookmarkStart w:id="25" w:name="page26"/>
    <w:bookmarkEnd w:id="25"/>
    <w:p>
      <w:pPr>
        <w:ind w:left="100"/>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920" w:right="240" w:hanging="814"/>
        <w:spacing w:after="0" w:line="277"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Interim Chief Financial Officer pursuant to 18 U.S.C. Section 1350, as adopted pursuant to Section 906 of the Sarbanes-Oxley Act of 2002.</w:t>
      </w:r>
    </w:p>
    <w:p>
      <w:pPr>
        <w:spacing w:after="0" w:line="76" w:lineRule="exact"/>
        <w:rPr>
          <w:sz w:val="20"/>
          <w:szCs w:val="20"/>
          <w:color w:val="auto"/>
        </w:rPr>
      </w:pPr>
    </w:p>
    <w:p>
      <w:pPr>
        <w:ind w:left="920" w:hanging="912"/>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May 3, 2014,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29, 2014</w:t>
      </w:r>
      <w:r>
        <w:rPr>
          <w:sz w:val="20"/>
          <w:szCs w:val="20"/>
          <w:color w:val="auto"/>
        </w:rPr>
        <w:tab/>
      </w:r>
      <w:r>
        <w:rPr>
          <w:rFonts w:ascii="Arial" w:cs="Arial" w:eastAsia="Arial" w:hAnsi="Arial"/>
          <w:sz w:val="17"/>
          <w:szCs w:val="17"/>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Peter H. Stratton, Jr.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of Finance, Corporate Controller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Chief Accounting Officer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E. Kyees,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Kyees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3, 2014, as filed with the Securities and Exchange Commission on the date hereof (the “Report”), I, David A. Levin, Chief Executive Officer of the Company, certify pursuant to 18 U.S.C. § 1350, as adopted pursuant to § 906 of the Sarbanes-Oxley Act of 2002, that:</w:t>
      </w:r>
    </w:p>
    <w:p>
      <w:pPr>
        <w:spacing w:after="0" w:line="87" w:lineRule="exact"/>
        <w:rPr>
          <w:sz w:val="20"/>
          <w:szCs w:val="20"/>
          <w:color w:val="auto"/>
        </w:rPr>
      </w:pPr>
    </w:p>
    <w:p>
      <w:pPr>
        <w:ind w:left="1480" w:right="500" w:hanging="567"/>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29, 2014</w:t>
      </w:r>
      <w:r>
        <w:rPr>
          <w:sz w:val="20"/>
          <w:szCs w:val="20"/>
          <w:color w:val="auto"/>
        </w:rPr>
        <w:tab/>
      </w:r>
      <w:r>
        <w:rPr>
          <w:rFonts w:ascii="Arial" w:cs="Arial" w:eastAsia="Arial" w:hAnsi="Arial"/>
          <w:sz w:val="17"/>
          <w:szCs w:val="17"/>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May 3, 2014, as filed with the Securities and Exchange Commission on the date hereof (the “Report”), I, John E. Kyees, Interim Chief Financial Officer of the Company, certify pursuant to 18 U.S.C. § 1350, as adopted pursuant to § 906 of the Sarbanes-Oxley Act of 2002, that:</w:t>
      </w:r>
    </w:p>
    <w:p>
      <w:pPr>
        <w:spacing w:after="0" w:line="87" w:lineRule="exact"/>
        <w:rPr>
          <w:sz w:val="20"/>
          <w:szCs w:val="20"/>
          <w:color w:val="auto"/>
        </w:rPr>
      </w:pPr>
    </w:p>
    <w:p>
      <w:pPr>
        <w:ind w:left="1480" w:right="500" w:hanging="567"/>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29, 2014</w:t>
      </w:r>
      <w:r>
        <w:rPr>
          <w:sz w:val="20"/>
          <w:szCs w:val="20"/>
          <w:color w:val="auto"/>
        </w:rPr>
        <w:tab/>
      </w:r>
      <w:r>
        <w:rPr>
          <w:rFonts w:ascii="Arial" w:cs="Arial" w:eastAsia="Arial" w:hAnsi="Arial"/>
          <w:sz w:val="16"/>
          <w:szCs w:val="16"/>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E. Kyees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Interim Chief Financial Officer</w:t>
      </w:r>
    </w:p>
    <w:p>
      <w:pPr>
        <w:spacing w:after="0" w:line="21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2019-12-05T23:13:49Z</dcterms:created>
  <dcterms:modified xsi:type="dcterms:W3CDTF">2019-12-05T23:13:49Z</dcterms:modified>
</cp:coreProperties>
</file>