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Exchange Act of 1934</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3"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DESTINATION XL GROUP,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760" w:hanging="253"/>
        <w:spacing w:after="0" w:line="277"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60" w:right="240" w:hanging="252"/>
        <w:spacing w:after="0" w:line="306" w:lineRule="auto"/>
        <w:tabs>
          <w:tab w:leader="none" w:pos="2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-3019425</wp:posOffset>
            </wp:positionV>
            <wp:extent cx="6643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-2676525</wp:posOffset>
            </wp:positionV>
            <wp:extent cx="6643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-2204720</wp:posOffset>
            </wp:positionV>
            <wp:extent cx="6643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-1870710</wp:posOffset>
            </wp:positionV>
            <wp:extent cx="6643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-1527810</wp:posOffset>
            </wp:positionV>
            <wp:extent cx="6643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-739140</wp:posOffset>
            </wp:positionV>
            <wp:extent cx="6643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-438785</wp:posOffset>
            </wp:positionV>
            <wp:extent cx="664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-130175</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765175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422" w:right="5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DESTINATION XL GROUP,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5, 2021</w:t>
      </w:r>
    </w:p>
    <w:p>
      <w:pPr>
        <w:spacing w:after="0" w:line="171"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Notice is hereby given that the 2021 Annual Meeting of Stockholders of Destination XL Group, Inc. (the “Company”) will be held at the corporate offices of the Company, 555 Turnpike Street, Canton, Massachusetts 02021 at 11:30 A.M., local time, on Thursday, August 5, 2021 for the following purposes:</w:t>
      </w:r>
    </w:p>
    <w:p>
      <w:pPr>
        <w:spacing w:after="0" w:line="15" w:lineRule="exact"/>
        <w:rPr>
          <w:sz w:val="20"/>
          <w:szCs w:val="20"/>
          <w:color w:val="auto"/>
        </w:rPr>
      </w:pPr>
    </w:p>
    <w:p>
      <w:pPr>
        <w:ind w:left="740" w:right="320" w:hanging="368"/>
        <w:spacing w:after="0" w:line="24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directors to serve until the next Annual Meeting of Stockholders and until their respective successors have been duly elected and qualified.</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90" w:lineRule="exact"/>
        <w:rPr>
          <w:rFonts w:ascii="Arial" w:cs="Arial" w:eastAsia="Arial" w:hAnsi="Arial"/>
          <w:sz w:val="18"/>
          <w:szCs w:val="18"/>
          <w:color w:val="auto"/>
        </w:rPr>
      </w:pPr>
    </w:p>
    <w:p>
      <w:pPr>
        <w:ind w:left="740" w:right="200" w:hanging="368"/>
        <w:spacing w:after="0" w:line="24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Restated Certificate of Incorporation to increase the authorized number of shares of our common stock from 100,000,000 shares to 125,000,000 shares.</w:t>
      </w:r>
    </w:p>
    <w:p>
      <w:pPr>
        <w:spacing w:after="0" w:line="61" w:lineRule="exact"/>
        <w:rPr>
          <w:rFonts w:ascii="Arial" w:cs="Arial" w:eastAsia="Arial" w:hAnsi="Arial"/>
          <w:sz w:val="18"/>
          <w:szCs w:val="18"/>
          <w:color w:val="auto"/>
        </w:rPr>
      </w:pPr>
    </w:p>
    <w:p>
      <w:pPr>
        <w:ind w:left="740" w:right="560" w:hanging="368"/>
        <w:spacing w:after="0" w:line="24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our 2016 Incentive Compensation Plan to increase the total number of shares of common stock authorized for issuance under the plan by 4,855,000 shares.</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January 29, 2022.</w:t>
      </w:r>
    </w:p>
    <w:p>
      <w:pPr>
        <w:spacing w:after="0" w:line="101" w:lineRule="exact"/>
        <w:rPr>
          <w:rFonts w:ascii="Arial" w:cs="Arial" w:eastAsia="Arial" w:hAnsi="Arial"/>
          <w:sz w:val="17"/>
          <w:szCs w:val="17"/>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Board of Directors recommends that you vote FOR the election of all six nominees to serve as directors of the Company and FOR the approval of all other Proposals being presented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a copy of our Annual Report on Form 10-K for the fiscal year ended January 30, 2021.</w:t>
      </w:r>
    </w:p>
    <w:p>
      <w:pPr>
        <w:spacing w:after="0" w:line="21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Board of Directors has fixed the close of business on June 8, 2021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8, 2021 will be available for inspection by any of our stockholders for any purpose germane to the Annual Meeting during normal business hours at our principal executive offices, 555 Turnpike Street, Canton, Massachusetts 02021, beginning on July 26, 2021 and at the Annual Meeting.</w:t>
      </w:r>
    </w:p>
    <w:p>
      <w:pPr>
        <w:spacing w:after="0" w:line="17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7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i w:val="1"/>
          <w:iCs w:val="1"/>
          <w:color w:val="auto"/>
        </w:rPr>
        <w:t>Special Note Regarding COVID-19</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12121"/>
        </w:rPr>
        <w:t>We are following evolving guidance and protocols issued by Centers for Disease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If you elect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in person, we ask that you follow the COVID-19 protocols that we may have in place.</w:t>
      </w:r>
    </w:p>
    <w:p>
      <w:pPr>
        <w:spacing w:after="0" w:line="10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order of the Board of Directors,</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ROBERT S. MOLLOY</w: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ROBERT S. MOLLOY</w:t>
      </w:r>
    </w:p>
    <w:p>
      <w:pPr>
        <w:ind w:left="4600"/>
        <w:spacing w:after="0"/>
        <w:rPr>
          <w:sz w:val="20"/>
          <w:szCs w:val="20"/>
          <w:color w:val="auto"/>
        </w:rPr>
      </w:pPr>
      <w:r>
        <w:rPr>
          <w:rFonts w:ascii="Arial" w:cs="Arial" w:eastAsia="Arial" w:hAnsi="Arial"/>
          <w:sz w:val="18"/>
          <w:szCs w:val="18"/>
          <w:color w:val="auto"/>
        </w:rPr>
        <w:t>Secretary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12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5, 2021: The Proxy Statement and 2021 Annual Report to Stockholders are available at: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0" w:type="dxa"/>
            <w:vAlign w:val="bottom"/>
            <w:gridSpan w:val="7"/>
          </w:tcPr>
          <w:p>
            <w:pPr>
              <w:ind w:left="36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3660" w:type="dxa"/>
            <w:vAlign w:val="bottom"/>
            <w:gridSpan w:val="1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Information About the Annual Meeting and Voting</w:t>
              </w:r>
            </w:hyperlink>
          </w:p>
        </w:tc>
        <w:tc>
          <w:tcPr>
            <w:tcW w:w="7040" w:type="dxa"/>
            <w:vAlign w:val="bottom"/>
            <w:gridSpan w:val="10"/>
            <w:vMerge w:val="restart"/>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660" w:type="dxa"/>
            <w:vAlign w:val="bottom"/>
            <w:tcBorders>
              <w:bottom w:val="single" w:sz="8" w:color="0000EE"/>
            </w:tcBorders>
            <w:gridSpan w:val="15"/>
            <w:vMerge w:val="continue"/>
          </w:tcPr>
          <w:p>
            <w:pPr>
              <w:spacing w:after="0"/>
              <w:rPr>
                <w:sz w:val="14"/>
                <w:szCs w:val="14"/>
                <w:color w:val="auto"/>
              </w:rPr>
            </w:pPr>
          </w:p>
        </w:tc>
        <w:tc>
          <w:tcPr>
            <w:tcW w:w="7040" w:type="dxa"/>
            <w:vAlign w:val="bottom"/>
            <w:gridSpan w:val="10"/>
            <w:vMerge w:val="continue"/>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 1: Election of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Corporate Governance</w:t>
              </w:r>
            </w:hyperlink>
          </w:p>
        </w:tc>
        <w:tc>
          <w:tcPr>
            <w:tcW w:w="834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Director Compensation</w:t>
              </w:r>
            </w:hyperlink>
          </w:p>
        </w:tc>
        <w:tc>
          <w:tcPr>
            <w:tcW w:w="902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gridSpan w:val="3"/>
          </w:tcPr>
          <w:p>
            <w:pPr>
              <w:spacing w:after="0"/>
              <w:rPr>
                <w:sz w:val="17"/>
                <w:szCs w:val="17"/>
                <w:color w:val="auto"/>
              </w:rPr>
            </w:pPr>
          </w:p>
        </w:tc>
        <w:tc>
          <w:tcPr>
            <w:tcW w:w="786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Summary Compensation Table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2020 Grants of Plan-Based Awards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7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2020 Outstanding Equity Awards at Fiscal Year End</w:t>
              </w:r>
            </w:hyperlink>
          </w:p>
        </w:tc>
        <w:tc>
          <w:tcPr>
            <w:tcW w:w="69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2020 Option Exercises and Stock Vested</w:t>
              </w:r>
            </w:hyperlink>
          </w:p>
        </w:tc>
        <w:tc>
          <w:tcPr>
            <w:tcW w:w="778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Proposal 2: Advisory Vote to Approve Named Executive Officer Compensation</w:t>
              </w:r>
            </w:hyperlink>
          </w:p>
        </w:tc>
        <w:tc>
          <w:tcPr>
            <w:tcW w:w="496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 xml:space="preserve">Proposal 3: Approval of Amendment to Restated Certificate of Incorporation to Increase Authorized Number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Shares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Proposal 4: Approval of Amendments to the 2016 Incentive Compensation Plan</w:t>
              </w:r>
            </w:hyperlink>
          </w:p>
        </w:tc>
        <w:tc>
          <w:tcPr>
            <w:tcW w:w="2140" w:type="dxa"/>
            <w:vAlign w:val="bottom"/>
            <w:tcBorders>
              <w:top w:val="single" w:sz="8" w:color="0000EE"/>
            </w:tcBorders>
            <w:gridSpan w:val="3"/>
          </w:tcPr>
          <w:p>
            <w:pPr>
              <w:spacing w:after="0"/>
              <w:rPr>
                <w:sz w:val="17"/>
                <w:szCs w:val="17"/>
                <w:color w:val="auto"/>
              </w:rPr>
            </w:pPr>
          </w:p>
        </w:tc>
        <w:tc>
          <w:tcPr>
            <w:tcW w:w="28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Proposal 5: Ratification of Appointment of Independent Registered Public Accounting Firm</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Report of the Audit Committee</w:t>
              </w:r>
            </w:hyperlink>
          </w:p>
        </w:tc>
        <w:tc>
          <w:tcPr>
            <w:tcW w:w="40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5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 of Management</w:t>
              </w:r>
            </w:hyperlink>
          </w:p>
        </w:tc>
        <w:tc>
          <w:tcPr>
            <w:tcW w:w="712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Solicitation</w:t>
              </w:r>
            </w:hyperlink>
          </w:p>
        </w:tc>
        <w:tc>
          <w:tcPr>
            <w:tcW w:w="784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Delivery of Documents to Stockholders Sharing an Address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Stockholder Proposals</w:t>
              </w:r>
            </w:hyperlink>
          </w:p>
        </w:tc>
        <w:tc>
          <w:tcPr>
            <w:tcW w:w="64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Stockholder Communications with the Board of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Other Matters</w:t>
              </w:r>
            </w:hyperlink>
          </w:p>
        </w:tc>
        <w:tc>
          <w:tcPr>
            <w:tcW w:w="3160" w:type="dxa"/>
            <w:vAlign w:val="bottom"/>
            <w:tcBorders>
              <w:top w:val="single" w:sz="8" w:color="0000EE"/>
            </w:tcBorders>
            <w:gridSpan w:val="15"/>
          </w:tcPr>
          <w:p>
            <w:pPr>
              <w:spacing w:after="0"/>
              <w:rPr>
                <w:sz w:val="17"/>
                <w:szCs w:val="17"/>
                <w:color w:val="auto"/>
              </w:rPr>
            </w:pPr>
          </w:p>
        </w:tc>
        <w:tc>
          <w:tcPr>
            <w:tcW w:w="654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00" w:type="dxa"/>
            <w:vAlign w:val="bottom"/>
            <w:gridSpan w:val="2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Appendix A – Certificate of Amendment to Restated Certificate of Incorporation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82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Appendix B – 2016 Incentive Compensation Plan, as proposed to be amended</w:t>
              </w:r>
            </w:hyperlink>
          </w:p>
        </w:tc>
        <w:tc>
          <w:tcPr>
            <w:tcW w:w="48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2"/>
        </w:trPr>
        <w:tc>
          <w:tcPr>
            <w:tcW w:w="6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32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5, 2021</w:t>
      </w: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July 2, 2021,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11:30 A.M., local time, on Thursday, August 5, 2021 and at any and all adjournments thereof (the “Annual Meeting”). This Proxy Statement describes the matters to be voted on at the Annual Meeting and contains other required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8, 2021, the record date for the Annual Meeting, will be entitled to notice of, and to vote at, the Annual Meeting. On that date, there were 63,526,601 shares of common stock issued and outstanding. Each share is entitled to one vote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Stockholders are encouraged to vote on the matters to be considered. If no instructions have been specified by a stockholder, however, the shares covered by an executed proxy will be voted (i) FOR the election of all six nominees to serve as directors of the Company, (ii) FOR the approval of all other Proposals described in this Proxy Statement and being presented at the Annual Meeting, and (iii) in the discretion of the proxies serving at the Annual Meeting with respect to any other matters properly brought before the Annual Meeting. We are not aware of any other matter that may be properly presented at the Annual Meeting.</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3 to approve an amendment to our certificate of incorporation to increase the authorized number of shares of our common stock and Proposal 5 to ratify the appointment of our independent registered public accounting firm, each of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117"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117"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majority of the votes properly cast “FOR” a matter is required for approval of all matters except Proposal 3 to approve an amendment to our certificate of incorporation to increase the authorized number of shares of our common stock. With respect to Proposal 3, to be approved, a majority of the shares of common stock outstanding on the record date must vote “FOR” the proposal. In addition, as described in more detail in Proposal 2 below, Proposal 2 is an advisory vote and non-binding.</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Votes cast means the votes actually cast “FOR” or “AGAINST” a particular proposal, whether in person or by proxy. With respect to all matters presented at the Annual Meeting except Proposal 3, abstentions and non-votes will not be deemed to be votes “cast” with respect to such matters and will not count as votes “FOR” or “AGAINST” such matter. With respect to Proposal 3, abstentions and non-votes will have the effect of an “AGAINST” vote with respect to that proposal. Votes will be tabulated by our transfer agent subject to the supervision of the person designated by the Board of Directors as an inspector.</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Special Note Regarding COVID-19</w:t>
      </w:r>
      <w:r>
        <w:rPr>
          <w:rFonts w:ascii="Arial" w:cs="Arial" w:eastAsia="Arial" w:hAnsi="Arial"/>
          <w:sz w:val="16"/>
          <w:szCs w:val="16"/>
          <w:color w:val="auto"/>
        </w:rPr>
        <w:t>: If you elect to attend the Annual Meeting in person, we ask that you follow the COVID-19 protocols that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instituted in our corporate office. If you are not feeling well or think you may have been exposed to COVID-19, we ask that you vote by proxy.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June 2021, in accordance with our Fourth Amended and Restated By-Laws (the “By-Laws”), our Board of Directors (“Board”), at the recommendation of the Nominating and Corporate Governance Committee, voted to set the board size to six, effective as of the Annual Meeting.</w:t>
      </w:r>
    </w:p>
    <w:p>
      <w:pPr>
        <w:spacing w:after="0" w:line="14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At the Annual Meeting, six nominees will be elected to serve on the Board until the 2022 Annual Meeting of Stockholders and until their respective successors have been duly elected and qualified. Accordingly, the Nominating and Corporate Governance Committee has recommended, and our Board has nominated, Harvey S. Kanter, Jack Boyle, Lionel F. Conacher, Willem Mesdag, Ivy Ross and Elaine Rubin as nominees, all of whom currently serve as members of our Board. Mitchell Presser, who has served on our Board since 2007, will step off of the Board when his term of service ends at the Annual Meeting. The Company gratefully acknowledges and thanks Mr. Presser for his many years of service and dedication to our Board and to our Company.</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Unless a proxy shall specify that it is not to be voted for a nominee, it is intended that the shares represented by each duly executed and returned proxy will be voted in favor of the election as directors of Harvey S. Kanter, Jack Boyle, Lionel F. Conacher, Willem Mesdag, Ivy Ross and Elaine Rubin. Although management expects all nominees to serve if elected, proxies will be voted for a substitute if a nominee is unable or unwilling to accept nomination or election. Cumulative voting is not permitted.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election of each of the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six individuals named above as directors of our Company.</w:t>
      </w:r>
    </w:p>
    <w:p>
      <w:pPr>
        <w:spacing w:after="0" w:line="21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following table sets forth the names, ages as of June 8, 2021, and certain other information for each of our current directors, all terms expiring at the Annual Meeting.</w:t>
      </w:r>
    </w:p>
    <w:tbl>
      <w:tblPr>
        <w:tblLayout w:type="fixed"/>
        <w:tblInd w:w="0" w:type="dxa"/>
        <w:tblCellMar>
          <w:top w:w="0" w:type="dxa"/>
          <w:left w:w="0" w:type="dxa"/>
          <w:bottom w:w="0" w:type="dxa"/>
          <w:right w:w="0" w:type="dxa"/>
        </w:tblCellMar>
      </w:tblPr>
      <w:tr>
        <w:trPr>
          <w:trHeight w:val="141"/>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Director</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4"/>
              </w:rPr>
              <w:t>Nominating and</w:t>
            </w: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Cybersecurity</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Age</w:t>
            </w:r>
          </w:p>
        </w:tc>
        <w:tc>
          <w:tcPr>
            <w:tcW w:w="86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Audit</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Compensation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Corporate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Since</w:t>
            </w:r>
          </w:p>
        </w:tc>
        <w:tc>
          <w:tcPr>
            <w:tcW w:w="10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Governance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Data Privacy</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Lionel F. Conacher, Chairman of the Board and Director</w:t>
            </w: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1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80" w:type="dxa"/>
            <w:vAlign w:val="bottom"/>
            <w:gridSpan w:val="2"/>
          </w:tcPr>
          <w:p>
            <w:pPr>
              <w:spacing w:after="0"/>
              <w:rPr>
                <w:sz w:val="20"/>
                <w:szCs w:val="20"/>
                <w:color w:val="auto"/>
              </w:rPr>
            </w:pPr>
            <w:r>
              <w:rPr>
                <w:rFonts w:ascii="Arial" w:cs="Arial" w:eastAsia="Arial" w:hAnsi="Arial"/>
                <w:sz w:val="18"/>
                <w:szCs w:val="18"/>
                <w:color w:val="auto"/>
              </w:rPr>
              <w:t>Harvey S. Kanter, President and Chief Executive Officer and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X</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X</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 (1)</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C</w:t>
            </w: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Elaine Rubin, Director (2)</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96" w:lineRule="exact"/>
        <w:rPr>
          <w:sz w:val="20"/>
          <w:szCs w:val="20"/>
          <w:color w:val="auto"/>
        </w:rPr>
      </w:pPr>
    </w:p>
    <w:p>
      <w:pPr>
        <w:ind w:left="740" w:right="800" w:hanging="368"/>
        <w:spacing w:after="0" w:line="29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Presser will step off of the Board when his term of service ends. The Board will appoint a new Non-Executive Chairperson of the Nominating and Corporate Governance Committee and a new member of the Audit Committee immediately after the Annual Meeting.</w:t>
      </w:r>
    </w:p>
    <w:p>
      <w:pPr>
        <w:ind w:left="740" w:right="100" w:hanging="368"/>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April 14, 2021, the Board of Directors expanded the size of the Board to seven members and appointed Ms. Rubin as a director. At the same time, the Cybersecurity and Data Privacy Committee was expanded to three members, and Ms. Rubin was appointed as a member of that committee.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Board Nominees</w:t>
      </w:r>
    </w:p>
    <w:p>
      <w:pPr>
        <w:spacing w:after="0" w:line="11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Lionel F. Conacher </w:t>
      </w:r>
      <w:r>
        <w:rPr>
          <w:rFonts w:ascii="Arial" w:cs="Arial" w:eastAsia="Arial" w:hAnsi="Arial"/>
          <w:sz w:val="17"/>
          <w:szCs w:val="17"/>
          <w:color w:val="auto"/>
        </w:rPr>
        <w:t>has been a director since June 2018 and became Chairman of the Board on August 12, 2020. Mr. Conacher was co-founder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of Next Ventures, GP from July 2018 until February 2021. From January 2011 to June 2018, Mr. Conacher was a senior advisor and operating partner for Altamont Capital Partners LLC (“ACP”), a private equity firm. Additionally, Mr. Conacher served as the chairman of Wunderlich Securities, and as a director for Mervin Manufacturing and Dakine Inc., investee companies of ACP, from December 2013 until July 2018. Prior to joining ACP, from January 2008 until July 2010, Mr. Conacher was the president and chief operating officer of Thomas Weisel Partners, a Nasdaq-listed investment bank. Mr. Conacher also previously served as a member of the board of directors for PowerDot Inc., AmpHP Inc., SteadyMD Inc. and Kinetyx Sciences Inc. Mr. Conacher brings extensive financial and operational experience to the Board.</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Harvey S. Kanter </w:t>
      </w:r>
      <w:r>
        <w:rPr>
          <w:rFonts w:ascii="Arial" w:cs="Arial" w:eastAsia="Arial" w:hAnsi="Arial"/>
          <w:sz w:val="17"/>
          <w:szCs w:val="17"/>
          <w:color w:val="auto"/>
        </w:rPr>
        <w:t>is the President, Chief Executive Officer and a director of the Company. Mr. Kanter joined the Company in February 2019 in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role 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currently serves as a non-executive co-chair, Seattle University Center for Leadership Formation, Albers School of Business and Economics. Mr. Kanter served as a director and a member of the compensation committee of Potbelly Corporation, a publicly-traded company, from August 2015 until May 2019. He was a former brand ambassador for the Fred Hutch Cancer Research Institute, and previously served as an advisory member to the Seattle University Executive MBA Program. Mr. Kanter brings an extensive knowledge of omni-channel retailing, with strong strategic and operational expertise.</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Jack Boyle </w:t>
      </w:r>
      <w:r>
        <w:rPr>
          <w:rFonts w:ascii="Arial" w:cs="Arial" w:eastAsia="Arial" w:hAnsi="Arial"/>
          <w:sz w:val="18"/>
          <w:szCs w:val="18"/>
          <w:color w:val="auto"/>
        </w:rPr>
        <w:t>has been a director since August 2017. Since February 2019, Mr. Boyle has been the global co-president of direct to consumer/omni-channel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Fanatics, Inc., a market leader for officially licensed sports merchandise. Mr. Boyle originally joined Fanatics as president of merchandising in June 2012, and from December 2017 to February 2019, served as co-president of North America direct to 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i w:val="1"/>
          <w:iCs w:val="1"/>
          <w:color w:val="auto"/>
        </w:rPr>
        <w:t xml:space="preserve">Elaine Rubin </w:t>
      </w:r>
      <w:r>
        <w:rPr>
          <w:rFonts w:ascii="Arial" w:cs="Arial" w:eastAsia="Arial" w:hAnsi="Arial"/>
          <w:sz w:val="18"/>
          <w:szCs w:val="18"/>
          <w:color w:val="auto"/>
        </w:rPr>
        <w:t>was appointed a director of the Company in April 2021. Since January 2010, Ms. Rubin has been the founder and president of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Prophets Network, 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which were formerly publicly-traded companies. Ms. Rubin co-founded shop.org in February 1996 and served as its elected chair of the board of directors from February 1996 to October 2007 and served on the board of the National Retail Federation (NRF) from 2001 until 2010. Ms. Rubin brings extensive knowledge of, and experience in, digital commerce business and will provide a valuable insight to the Board as it continues to grow its direct business.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557" w:right="5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Board is currently comprised of seven members. In June 2021, at the recommendation of the Nominating and Corporate Governance Committee, the Board set the board size to six, effective as of the Annual Meeting, and nominated six of our current directors to serve as directors.</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Board met 33 times during our fiscal year ended January 30, 2021 (“fiscal 2020”). During fiscal 2020, our full board met with management regularly to discuss the business decisions that were being made, given the impact of the COVID-19 pandemic on the business. All directors attended at least 75% of the Board meetings and meetings of the committees of the Board on which each director served. We believe that it is important for the members of the Board to attend our annual stockholder meetings. All members of the Board then in office attended our 2020 Annual Meeting of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comply with the corporate governance requirements imposed by the Sarbanes-Oxley Act of 2002, the SEC and OTCQX tier of the OTC Markets (“OTCQX”), and, with respect to the independence of our directors, the corporate governance requirements of the Nasdaq Stock Market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45" w:lineRule="exact"/>
        <w:rPr>
          <w:sz w:val="20"/>
          <w:szCs w:val="20"/>
          <w:color w:val="auto"/>
        </w:rPr>
      </w:pPr>
    </w:p>
    <w:p>
      <w:pPr>
        <w:ind w:left="740" w:right="540" w:hanging="36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and qualification of their successors).</w:t>
      </w:r>
    </w:p>
    <w:p>
      <w:pPr>
        <w:spacing w:after="0" w:line="53" w:lineRule="exact"/>
        <w:rPr>
          <w:rFonts w:ascii="Arial" w:cs="Arial" w:eastAsia="Arial" w:hAnsi="Arial"/>
          <w:sz w:val="18"/>
          <w:szCs w:val="18"/>
          <w:color w:val="auto"/>
        </w:rPr>
      </w:pPr>
    </w:p>
    <w:p>
      <w:pPr>
        <w:ind w:left="740" w:right="100" w:hanging="368"/>
        <w:spacing w:after="0" w:line="289"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Board Size</w:t>
      </w:r>
      <w:r>
        <w:rPr>
          <w:rFonts w:ascii="Arial" w:cs="Arial" w:eastAsia="Arial" w:hAnsi="Arial"/>
          <w:sz w:val="17"/>
          <w:szCs w:val="17"/>
          <w:color w:val="auto"/>
        </w:rPr>
        <w:t>. In May 2020, the Board</w:t>
      </w:r>
      <w:r>
        <w:rPr>
          <w:rFonts w:ascii="Arial" w:cs="Arial" w:eastAsia="Arial" w:hAnsi="Arial"/>
          <w:sz w:val="17"/>
          <w:szCs w:val="17"/>
          <w:b w:val="1"/>
          <w:bCs w:val="1"/>
          <w:color w:val="auto"/>
        </w:rPr>
        <w:t xml:space="preserve"> </w:t>
      </w:r>
      <w:r>
        <w:rPr>
          <w:rFonts w:ascii="Arial" w:cs="Arial" w:eastAsia="Arial" w:hAnsi="Arial"/>
          <w:sz w:val="17"/>
          <w:szCs w:val="17"/>
          <w:color w:val="2E2E2E"/>
        </w:rPr>
        <w:t>determined that it would be in the best interests of the Company and its shareholders to reduce the size of</w:t>
      </w:r>
      <w:r>
        <w:rPr>
          <w:rFonts w:ascii="Arial" w:cs="Arial" w:eastAsia="Arial" w:hAnsi="Arial"/>
          <w:sz w:val="17"/>
          <w:szCs w:val="17"/>
          <w:b w:val="1"/>
          <w:bCs w:val="1"/>
          <w:color w:val="auto"/>
        </w:rPr>
        <w:t xml:space="preserve"> </w:t>
      </w:r>
      <w:r>
        <w:rPr>
          <w:rFonts w:ascii="Arial" w:cs="Arial" w:eastAsia="Arial" w:hAnsi="Arial"/>
          <w:sz w:val="17"/>
          <w:szCs w:val="17"/>
          <w:color w:val="2E2E2E"/>
        </w:rPr>
        <w:t>the Board to six directors effective with the 2020 annual meeting of stockholders</w:t>
      </w:r>
      <w:r>
        <w:rPr>
          <w:rFonts w:ascii="Arial" w:cs="Arial" w:eastAsia="Arial" w:hAnsi="Arial"/>
          <w:sz w:val="17"/>
          <w:szCs w:val="17"/>
          <w:color w:val="000000"/>
        </w:rPr>
        <w:t>. In April 2021, the board was increased to seven directors with</w:t>
      </w:r>
      <w:r>
        <w:rPr>
          <w:rFonts w:ascii="Arial" w:cs="Arial" w:eastAsia="Arial" w:hAnsi="Arial"/>
          <w:sz w:val="17"/>
          <w:szCs w:val="17"/>
          <w:color w:val="2E2E2E"/>
        </w:rPr>
        <w:t xml:space="preserve"> </w:t>
      </w:r>
      <w:r>
        <w:rPr>
          <w:rFonts w:ascii="Arial" w:cs="Arial" w:eastAsia="Arial" w:hAnsi="Arial"/>
          <w:sz w:val="17"/>
          <w:szCs w:val="17"/>
          <w:color w:val="000000"/>
        </w:rPr>
        <w:t>the appointment of Ms. Rubin. In June 2021, the Board set the current board size to six, effective as of the Annual Meeting.</w:t>
      </w:r>
    </w:p>
    <w:p>
      <w:pPr>
        <w:spacing w:after="0" w:line="49" w:lineRule="exact"/>
        <w:rPr>
          <w:rFonts w:ascii="Arial" w:cs="Arial" w:eastAsia="Arial" w:hAnsi="Arial"/>
          <w:sz w:val="17"/>
          <w:szCs w:val="17"/>
          <w:color w:val="auto"/>
        </w:rPr>
      </w:pPr>
    </w:p>
    <w:p>
      <w:pPr>
        <w:ind w:left="740" w:hanging="368"/>
        <w:spacing w:after="0" w:line="298"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Majority Vote for Uncontested Director Elections. </w:t>
      </w:r>
      <w:r>
        <w:rPr>
          <w:rFonts w:ascii="Arial" w:cs="Arial" w:eastAsia="Arial" w:hAnsi="Arial"/>
          <w:sz w:val="16"/>
          <w:szCs w:val="16"/>
          <w:color w:val="auto"/>
        </w:rPr>
        <w:t>Under our By-Laws, in an uncontested election, a majority of the votes properly cast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45" w:lineRule="exact"/>
        <w:rPr>
          <w:rFonts w:ascii="Arial" w:cs="Arial" w:eastAsia="Arial" w:hAnsi="Arial"/>
          <w:sz w:val="16"/>
          <w:szCs w:val="16"/>
          <w:color w:val="auto"/>
        </w:rPr>
      </w:pPr>
    </w:p>
    <w:p>
      <w:pPr>
        <w:ind w:left="740" w:right="8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majority of our Board is comprised of independent directors. All members of our Board’s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and Corporate Governance committees are independent directors, and none receives compensation from us other than for service on our Board or its committees.</w:t>
      </w:r>
    </w:p>
    <w:p>
      <w:pPr>
        <w:spacing w:after="0" w:line="67" w:lineRule="exact"/>
        <w:rPr>
          <w:rFonts w:ascii="Arial" w:cs="Arial" w:eastAsia="Arial" w:hAnsi="Arial"/>
          <w:sz w:val="18"/>
          <w:szCs w:val="18"/>
          <w:color w:val="auto"/>
        </w:rPr>
      </w:pPr>
    </w:p>
    <w:p>
      <w:pPr>
        <w:ind w:left="740" w:right="20" w:hanging="36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Chairperson/Independent Lead Director. </w:t>
      </w:r>
      <w:r>
        <w:rPr>
          <w:rFonts w:ascii="Arial" w:cs="Arial" w:eastAsia="Arial" w:hAnsi="Arial"/>
          <w:sz w:val="18"/>
          <w:szCs w:val="18"/>
          <w:color w:val="auto"/>
        </w:rPr>
        <w:t>We have had a Non-Executive Chairman of the Board since January 24, 2019.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from February 2, 2017 until January 24, 2019 we had a Lead Independent Director.</w:t>
      </w:r>
    </w:p>
    <w:p>
      <w:pPr>
        <w:spacing w:after="0" w:line="53" w:lineRule="exact"/>
        <w:rPr>
          <w:rFonts w:ascii="Arial" w:cs="Arial" w:eastAsia="Arial" w:hAnsi="Arial"/>
          <w:sz w:val="18"/>
          <w:szCs w:val="18"/>
          <w:color w:val="auto"/>
        </w:rPr>
      </w:pPr>
    </w:p>
    <w:p>
      <w:pPr>
        <w:ind w:left="740" w:right="6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Executive Sessions. </w:t>
      </w:r>
      <w:r>
        <w:rPr>
          <w:rFonts w:ascii="Arial" w:cs="Arial" w:eastAsia="Arial" w:hAnsi="Arial"/>
          <w:sz w:val="18"/>
          <w:szCs w:val="18"/>
          <w:color w:val="auto"/>
        </w:rPr>
        <w:t>Our Board holds independent executive sessions on at least a semi-annual basis, where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 In addition to the independent executive sessions, periodically throughout 2020, the full Board, including the Chief Executive Officer and the former Executive Chairman, would meet without management participation.</w:t>
      </w:r>
    </w:p>
    <w:p>
      <w:pPr>
        <w:spacing w:after="0" w:line="67" w:lineRule="exact"/>
        <w:rPr>
          <w:rFonts w:ascii="Arial" w:cs="Arial" w:eastAsia="Arial" w:hAnsi="Arial"/>
          <w:sz w:val="18"/>
          <w:szCs w:val="18"/>
          <w:color w:val="auto"/>
        </w:rPr>
      </w:pPr>
    </w:p>
    <w:p>
      <w:pPr>
        <w:ind w:left="740" w:right="60" w:hanging="368"/>
        <w:spacing w:after="0" w:line="29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Through the end of fiscal 2020, each non-employee director was required to receive at least 50%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retainer in equity, in the form of options, shares or deferred stock or any combination thereof. The directors could also elect to receive any or all of the other 50% of his or her compensation in equity as described in this paragraph. Pursuant to the Company’s Fourth Amended and Restated Non-Employee Director Compensation Plan, effective December 31, 2018, a director may not sell any equity received under the plan while each director is still serving on the Board without the approval of the Board. We encourage our senior management to have meaningful ownership in our Company. However, given that management ownership is typically measured as a multiple of salary and our current low stock price, we do not currently have any required stock ownership guidelines for members of senior management.</w:t>
      </w:r>
    </w:p>
    <w:p>
      <w:pPr>
        <w:spacing w:after="0" w:line="53" w:lineRule="exact"/>
        <w:rPr>
          <w:rFonts w:ascii="Arial" w:cs="Arial" w:eastAsia="Arial" w:hAnsi="Arial"/>
          <w:sz w:val="16"/>
          <w:szCs w:val="16"/>
          <w:color w:val="auto"/>
        </w:rPr>
      </w:pPr>
    </w:p>
    <w:p>
      <w:pPr>
        <w:ind w:left="740" w:right="160" w:hanging="368"/>
        <w:spacing w:after="0" w:line="312"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COVID-19 Measures</w:t>
      </w:r>
      <w:r>
        <w:rPr>
          <w:rFonts w:ascii="Arial" w:cs="Arial" w:eastAsia="Arial" w:hAnsi="Arial"/>
          <w:sz w:val="17"/>
          <w:szCs w:val="17"/>
          <w:color w:val="auto"/>
        </w:rPr>
        <w:t>. Due to the impact of the COVID-19 pandemic, which included temporarily closing all of our stores on March 17, 2020,</w:t>
      </w:r>
      <w:r>
        <w:rPr>
          <w:rFonts w:ascii="Arial" w:cs="Arial" w:eastAsia="Arial" w:hAnsi="Arial"/>
          <w:sz w:val="17"/>
          <w:szCs w:val="17"/>
          <w:b w:val="1"/>
          <w:bCs w:val="1"/>
          <w:color w:val="auto"/>
        </w:rPr>
        <w:t xml:space="preserve"> </w:t>
      </w:r>
      <w:r>
        <w:rPr>
          <w:rFonts w:ascii="Arial" w:cs="Arial" w:eastAsia="Arial" w:hAnsi="Arial"/>
          <w:sz w:val="17"/>
          <w:szCs w:val="17"/>
          <w:color w:val="auto"/>
        </w:rPr>
        <w:t>in March 2020 all of our independent directors elected to suspend their director compensation for the second quarter of fiscal 2020.</w:t>
      </w:r>
    </w:p>
    <w:p>
      <w:pPr>
        <w:spacing w:after="0" w:line="31" w:lineRule="exact"/>
        <w:rPr>
          <w:rFonts w:ascii="Arial" w:cs="Arial" w:eastAsia="Arial" w:hAnsi="Arial"/>
          <w:sz w:val="17"/>
          <w:szCs w:val="17"/>
          <w:color w:val="auto"/>
        </w:rPr>
      </w:pPr>
    </w:p>
    <w:p>
      <w:pPr>
        <w:ind w:left="740" w:right="30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left="740" w:hanging="368"/>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8" w:lineRule="exact"/>
        <w:rPr>
          <w:rFonts w:ascii="Arial" w:cs="Arial" w:eastAsia="Arial" w:hAnsi="Arial"/>
          <w:sz w:val="17"/>
          <w:szCs w:val="17"/>
          <w:color w:val="auto"/>
        </w:rPr>
      </w:pPr>
    </w:p>
    <w:p>
      <w:pPr>
        <w:ind w:left="740" w:right="8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a merger or business combination.</w:t>
      </w:r>
    </w:p>
    <w:p>
      <w:pPr>
        <w:spacing w:after="0" w:line="53" w:lineRule="exact"/>
        <w:rPr>
          <w:rFonts w:ascii="Arial" w:cs="Arial" w:eastAsia="Arial" w:hAnsi="Arial"/>
          <w:sz w:val="18"/>
          <w:szCs w:val="18"/>
          <w:color w:val="auto"/>
        </w:rPr>
      </w:pPr>
    </w:p>
    <w:p>
      <w:pPr>
        <w:ind w:left="740" w:hanging="368"/>
        <w:spacing w:after="0" w:line="30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and our long-term incentive plans contain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that provide for remedies in the event we learn, after the senior executive is terminated by us other than for “justifiable cause,” that the senior executive could have been terminated for “justifiable cause.” Since August 2018, we have had an Executive Incentive Pay Clawback Policy (“Clawback Policy”) that permits the Company to recover incentive-based compensation (cash and/or equity) in certain circumstances.</w:t>
      </w:r>
    </w:p>
    <w:p>
      <w:pPr>
        <w:spacing w:after="0" w:line="42" w:lineRule="exact"/>
        <w:rPr>
          <w:rFonts w:ascii="Arial" w:cs="Arial" w:eastAsia="Arial" w:hAnsi="Arial"/>
          <w:sz w:val="16"/>
          <w:szCs w:val="16"/>
          <w:color w:val="auto"/>
        </w:rPr>
      </w:pPr>
    </w:p>
    <w:p>
      <w:pPr>
        <w:ind w:left="740" w:right="54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Directors Overboarding Policy. </w:t>
      </w:r>
      <w:r>
        <w:rPr>
          <w:rFonts w:ascii="Arial" w:cs="Arial" w:eastAsia="Arial" w:hAnsi="Arial"/>
          <w:sz w:val="18"/>
          <w:szCs w:val="18"/>
          <w:color w:val="auto"/>
        </w:rPr>
        <w:t>No director can serve on more than five public company boards. In addition, no director who is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can serve on more than one public company board besides that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Members of our Board and senior management regularly engage with our shareholders throughout the year and welcome their feedback on our practices and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our common stock currently trades on the OTCQX, we have chosen to continue to comply with the definition of “independence” as set forth in the corporate governance rules of Nasdaq. A majority of the members of the Board are “independent” under the rules of Nasdaq and the corporate governance requirements of the OTCQX. The Board has determined that the following current directors are independent: Messrs. Boyle, Conacher, Mesdag, Presser, Ross and Rubin.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Board has four standing committees: the Nominating and Corporate Governance Committee, the Audit Committee, the Compensation Committee and the Cybersecurity and Data Privacy Committee. Each committee is comprised of directors who are “independent”.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Presser and Boyle and Ms. Ross, each of whom is “independent” under the rules of Nasdaq and the OTCQX. The Nominating Committee met four times during fiscal 2020. Immediately following the Annual Meeting, the Board will add a new member and appoint a Chairperson to the Nominating Committee.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620"/>
        <w:spacing w:after="0" w:line="277"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2"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40" w:right="40" w:hanging="368"/>
        <w:spacing w:after="0" w:line="30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2"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current procedures to be followed by stockholders in submitting recommendations for director candidates can be found in Section 4.15 of our By-Laws.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Conacher, Mesdag and Presser. Each of the members of the Audit Committee is independent, as independence for Audit Committee members is defined under the rules of Nasdaq and the OTCQX. Messrs. Conacher and Mesdag each qualifies as an audit committee financial expert under the rules of the SEC.</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2020, the Audit Committee met six times.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 Audit Committee, see the “</w:t>
      </w:r>
      <w:r>
        <w:rPr>
          <w:rFonts w:ascii="Arial" w:cs="Arial" w:eastAsia="Arial" w:hAnsi="Arial"/>
          <w:sz w:val="17"/>
          <w:szCs w:val="17"/>
          <w:i w:val="1"/>
          <w:iCs w:val="1"/>
          <w:color w:val="auto"/>
        </w:rPr>
        <w:t>Report of the Audit Committee</w:t>
      </w:r>
      <w:r>
        <w:rPr>
          <w:rFonts w:ascii="Arial" w:cs="Arial" w:eastAsia="Arial" w:hAnsi="Arial"/>
          <w:sz w:val="17"/>
          <w:szCs w:val="17"/>
          <w:color w:val="auto"/>
        </w:rPr>
        <w:t>” included elsewhere in this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right="100"/>
        <w:spacing w:after="0" w:line="311" w:lineRule="auto"/>
        <w:rPr>
          <w:sz w:val="20"/>
          <w:szCs w:val="20"/>
          <w:color w:val="auto"/>
        </w:rPr>
      </w:pPr>
      <w:r>
        <w:rPr>
          <w:rFonts w:ascii="Arial" w:cs="Arial" w:eastAsia="Arial" w:hAnsi="Arial"/>
          <w:sz w:val="16"/>
          <w:szCs w:val="16"/>
          <w:color w:val="auto"/>
        </w:rPr>
        <w:t>compensation awards to our executive officers under our equity incentive plans. The Compensation Committee has the authority to retain independent advisors, with all fees and expenses to be paid by the Company. The Compensation Committee met seven times during fiscal 2020. The current members of the Compensation Committee are Messrs. Mesdag, Boyle and Conacher, each of whom is “independent” under the rules of Nasdaq and the OTCQX.</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and Data Privacy Committee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Mr. Boyle, Ms. Ross and Ms. Rubin. The Cybersecurity Committee met three times during fiscal 2020.</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Board believes that the Company and its stockholders are best served by maintaining flexibility to have any director serve as Chairperson of the Board. Under our Corporate Governance Guidelines, if the Chairperson is not independent, the Board appoints an independent Lead Director.</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human capital and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DXL, Corporate Social Compliance and Responsibility has been a focus for many years. We recognize the importance of environmental, social and governance (ES&amp;G) issues and are diligently working to enhance and develop a platform that we can share with our stakeholders and consumers. In May 2021, the Company formed the Corporate Social Responsibility Committee, comprising a cross-discipline of corporate management, with a dedicated focus on the Company’s policies and practices including the development of our communication of such initiatives to our stakeholders. The committee will report to the senior management team of the Company, with our full board involved in the oversight of these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associates are our greatest asset and we are committed to providing them a safe and healthy work environment. We are committed to inclusivity, acceptance, and equality. Since 2017, we have had a diversity and inclusion initiative called “Normalizing the Brand.” The program brings awareness to unconscious bias and focuses on ensuring that the composition of our organization looks and feels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480"/>
        <w:spacing w:after="0" w:line="291" w:lineRule="auto"/>
        <w:rPr>
          <w:sz w:val="20"/>
          <w:szCs w:val="20"/>
          <w:color w:val="auto"/>
        </w:rPr>
      </w:pPr>
      <w:r>
        <w:rPr>
          <w:rFonts w:ascii="Arial" w:cs="Arial" w:eastAsia="Arial" w:hAnsi="Arial"/>
          <w:sz w:val="16"/>
          <w:szCs w:val="16"/>
          <w:color w:val="auto"/>
        </w:rPr>
        <w:t>like the world we live in and serve. We have policies and training in place with respect to anti-discrimination and anti-harassment, among others, and provide our associates with access to an anonymous hot-line for reporting any concerns. In early 2021, we joined with CEO Action for Diversity</w:t>
      </w:r>
    </w:p>
    <w:p>
      <w:pPr>
        <w:jc w:val="both"/>
        <w:ind w:right="540" w:firstLine="8"/>
        <w:spacing w:after="0" w:line="302" w:lineRule="auto"/>
        <w:tabs>
          <w:tab w:leader="none" w:pos="1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Inclusion, a growing coalition pledging to advance diversity and inclusion in the workplace. Nearly 2,000 CEOs have come together and we have committed to this effort. By signing on to this commitment, we have pledged to take action to cultivate a workplace where diverse perspectives and experiences are welcomed and respected, and where employees feel encouraged to discuss diversity and inclusion without retribution.</w:t>
      </w:r>
    </w:p>
    <w:p>
      <w:pPr>
        <w:spacing w:after="0" w:line="15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 Advisory Council, personally headed up by the CEO, was created in 2020 to give cross-functional associates an opportunity to provide input on issues affecting the Company’s workforce and the employer-associate relationship. The purpose of the Advisory Council is to facilitate networking, exchange ideas, and suggest ways to enhance staff satisfaction and work effectiveness.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Perhaps most importantly, we promote professional and career development and mentorship programs. In 2014, our Associate Engagement &amp; Development Committee implemented the DXLG Mentor Program, which pairs up to 20 mentees with mentors for one-year periods. In April 2016, the DXL Women’s Leadership Group was formed with a mission of “Women supporting, educating and empowering each other @ DXLG”. It started as a pilot program and quickly expanded to now include over 40 female leaders, both people and process managers, in the corporate office and field. In addition, for the past three years, we have presented Leadercast, a platform for leadership development content (held annually in May) and Leadercast Women (held annually in October) as a host site at our corporate headquarters. In 2020, the programs were made available via an online platform.</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benefits are designed to help employees and their families stay healthy and help them balance their work and personal lives. These benefits include health and wellness, paid time off, employee assistance, competitive pay, career growth opportunities, paid volunteer time, product discounts, and a culture of recognition. The challenges created by the global pandemic brought mental health awareness to the forefront. We began a pilot program with CALM, an app that provides our home office associates an opportunity to incorporate meditation and other mindfulness activities into their daily routines as well as BurnAlong, a free online health, wellness and fitness platform available to all associates.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Responsible Sourcing</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expect our values and principles to be maintained throughout our business, including our supply chain. Our Vendor Code of Conduct defines our expectations of our suppliers, and all of our suppliers are required to agree to this code of conduct to do business with us.</w:t>
      </w:r>
    </w:p>
    <w:p>
      <w:pPr>
        <w:spacing w:after="0" w:line="146"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With the addition of our Wholesale Business and the increase in demand on our supply chain, in fiscal 2019 we became a member of Sedex Global, a leading ethical trade service provider, to increase our social, environmental and ethical sustainability, and we participate in their Ethical Trade Audit platform. In 2020, we retained Elevate, a global leader in supply chain assessment, and instituted 4-Pillar audits of our supply chain factories. Through collaboration with Elevate, we are pursuing what we call a “5-Pillar Audit”, which includes traceability of both raw materials and the equipment used to produce finished goods. We take seriously the US Customs Border Protection (“CBP”) Withhold Release Order on Products Made in Xinjiang region of China released on January 13, 2021 and will be responsive to any inquiries. In response to the problems in Xinjiang, we developed a Compliance Certificate of Traceability for our cotton vendors.</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merchandise offering includes a growing selection of merchandise that is sustainable and consciously-manufactured. Our customers can easily find our product selection under “sustainable styles” on dxl.com.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17"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 xml:space="preserve">Community engagement is a key part of our culture. Since 2005, we have been a partner with St. Jude and have raised over $14.2 million through their </w:t>
      </w:r>
      <w:r>
        <w:rPr>
          <w:rFonts w:ascii="Arial" w:cs="Arial" w:eastAsia="Arial" w:hAnsi="Arial"/>
          <w:sz w:val="16"/>
          <w:szCs w:val="16"/>
          <w:i w:val="1"/>
          <w:iCs w:val="1"/>
          <w:color w:val="auto"/>
        </w:rPr>
        <w:t xml:space="preserve">Thanks and Giving </w:t>
      </w:r>
      <w:r>
        <w:rPr>
          <w:rFonts w:ascii="Arial" w:cs="Arial" w:eastAsia="Arial" w:hAnsi="Arial"/>
          <w:sz w:val="16"/>
          <w:szCs w:val="16"/>
          <w:color w:val="auto"/>
        </w:rPr>
        <w:t>program, the St. Jude Walk/Run to End Childhood Cancer as well as other campaigns that run throughout the year. We consistently</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the families of St. Jude year-round as we help St. Jude fund the “Light Microscopy Center presented by DXL”, a shared resource lab on the St. Jude campus that allows doctors and researchers to study cells in order understand what is happening within cells and ultimately help find cures.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Workplace Environment and Community Outreach Committee administers our Volunteer Service Program and sponsors the events throughout the year, such as, clothing drives, food drives, electronics recycling event, and an Earth Day event. For the past 20 years, we have supported a local center for the prevention of child abuse and neglect by running an annual holiday toy drive.</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Every year, we offer paid internships in our corporate office to college students providing them relevant work experience in their chosen career paths. Unfortunately, due to the COVID-19 pandemic, we had to suspend this program for the summer of 2020 and 2021 but look forward to offering it again in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Environment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seek to minimize the impact on the environment by reducing the waste we produce in connection with the manufacture, distribution and sale of our products to our customers. We also look for ways in which our stores and our corporate office can operate in a more environmentally friendly way. In fiscal 2019, we completed the conversion of all lighting in our corporate headquarters and distribution center to dimmable LED fixtures. We recycle metal, plastic and white paper and approximately 95% of our corrugated material is recycled as well. Miscellaneous trash is hauled to a “trash to energy” plant located near our corporate office. As we replace aging HVAC or other motor-driven equipment, such as conveyors, we install energy-efficient equipment, equipped with variable frequency drives.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two largest freight providers have implemented proactive environmental policy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060"/>
        <w:spacing w:after="0" w:line="308" w:lineRule="auto"/>
        <w:rPr>
          <w:sz w:val="20"/>
          <w:szCs w:val="20"/>
          <w:color w:val="auto"/>
        </w:rPr>
      </w:pPr>
      <w:r>
        <w:rPr>
          <w:rFonts w:ascii="Arial" w:cs="Arial" w:eastAsia="Arial" w:hAnsi="Arial"/>
          <w:sz w:val="17"/>
          <w:szCs w:val="17"/>
          <w:color w:val="auto"/>
        </w:rPr>
        <w:t>The Board has adopted Corporate Governance Guidelines, which set forth our governance principles relating to, among other things, director independence, director qualifications and responsibilities, board structure and meetings, and management succession.</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A copy of the Governance Guidelines can be found under “Corporate Governance –Charters &amp; Policies” on the Investor Relations page of our corporate website,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the members of the Compensation Committee who served on the Compensation Committee during fiscal 2020 was at any time during fiscal 2020 or at any other time an officer or employee of our Company. During fiscal 2020, none of our executive officers served as a member of the board of directors or compensation committee of any other entity that had one or more executive officers serving as a member of our Board or Compensation Committee.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 Pursuant to the Company’s Fourth Amended and Restated Compensation Plan (the “Non-Employee Director Compensation Plan”), non-employee directors are compensated as follows:</w:t>
      </w:r>
    </w:p>
    <w:p>
      <w:pPr>
        <w:spacing w:after="0" w:line="76" w:lineRule="exact"/>
        <w:rPr>
          <w:sz w:val="20"/>
          <w:szCs w:val="20"/>
          <w:color w:val="auto"/>
        </w:rPr>
      </w:pPr>
    </w:p>
    <w:p>
      <w:pPr>
        <w:ind w:left="800" w:hanging="37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independent director receives a quarterly retainer of $30,000;</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Chairman of the Board or Lead Director, as applicable, will receive a quarterly retainer of $5,000;</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quarterly retainer of $2,500; and</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Chairperson of each other Board committee will receive a quarterly retainer of $1,250.</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were 500,000 shares authorized for issuance under this plan for the sole purpose of satisfying elections to receive shares of common stock in lieu of cash for service as a director.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fiscal 2020, each non-employee director was required to receive 50% of his or her annual retainer in equity, in the form of stock options, stock or deferred shares. Because the Non-Employee Director Compensation Plan is not a shareholder-approved plan and the acquisition of equity must be voluntary under Nasdaq rules (which applied to us through December 20, 2020), we could not utilize shares under this plan to satisfy this mandated election. Therefore, in fiscal 2020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In connection with the COVID-19 pandemic, in March 2020, the non-employee directors agreed to suspend their compensation for the second quarter of fiscal 2020.</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November 2020, the directors approved the Fifth Amended and Restated Non-Employee Director Compensation Plan. The plan was amended, among other things, to increase the number of shares available for grant under the plan by an additional 1,000,000 shares, limit the number of shares that can be issued each quarter to 250,000 shares (with any shortfall satisfied in cash), remove the requirement for directors to take 50% of their annual retainer in equity and remove the ability for directors to elect deferred stock. The change to remove the requirement for directors to take 50% of their annual retainer in equity was made to preserve the shares available for grant under the 2016 Plan, which is used to support the Company’s employee incentive programs. At January 30, 2021, there were 1,000,000 shares that remained available for future issuances.</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sets forth the compensation paid to our directors during fiscal 2020. Ms. Rubin is not included in the following table because she did not become a director until April 14, 2021. Mr. Kanter is not included in the following table as he is a Named Executive Officer and, accordingly, received no compensation for his services as a director. Compensation earned by Mr. Kanter is included below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DIRECTOR COMPENSATION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Fees Earned or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All Other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9"/>
              </w:rPr>
              <w:t>($)(1)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($)(2)</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($)(3)</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9"/>
              </w:rPr>
              <w:t>($)(4)</w:t>
            </w: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Lionel F. Conacher, Chairman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Jack Boyle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24,958</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67,404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Mitchell S. Presser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3,596</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90,152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John E. Kyees, former Chairman and director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22,507</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 former director</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5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Ward K. Mooney, former director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20,179</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40" w:right="40" w:hanging="368"/>
        <w:spacing w:after="0" w:line="26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fiscal 2020, all non-employee directors were required to receive at least 50% of their annual retainer in the form of equity. For fiscal 2020,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Chairman of the Board and chair fees, in a combination of 50% deferred stock and 50% cash. Mr. Boyle elected to receive 75% of his retainer and chairperson fees in unrestricted shares of our common stock and 25% in cash. Messrs. Conacher, Mooney and Ms. Ross elected to receive 50% of their retainer in unrestricted shares of our common stock and 50% in cash. With respect to chairperson fees, Ms. Ross elected cash and Messrs. Conacher and Mooney elected a combination of 50% cash and 50% unrestricted shares. Due to a shortfall in shares under the Director Plan, Messrs. Boyle, Conacher and Presser received a portion of the shares that they were entitled to as part of their fourth quarter retainer in cash.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7" w:lineRule="exact"/>
        <w:rPr>
          <w:rFonts w:ascii="Arial" w:cs="Arial" w:eastAsia="Arial" w:hAnsi="Arial"/>
          <w:sz w:val="17"/>
          <w:szCs w:val="17"/>
          <w:color w:val="auto"/>
        </w:rPr>
      </w:pPr>
    </w:p>
    <w:p>
      <w:pPr>
        <w:ind w:left="740" w:right="260" w:hanging="368"/>
        <w:spacing w:after="0" w:line="258"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 through either the issuance of unrestricted shares of common stock or deferred stock.</w:t>
      </w:r>
    </w:p>
    <w:p>
      <w:pPr>
        <w:ind w:left="740" w:right="6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were no stock option grants to any director in fiscal 2020. Each director had the following number of stock options outstanding at January 30, 2021: Mr. Boyle: 15,000; Mr. Conacher: 15,000; Mr. Mesdag: 15,000; and Ms. Ross: 15,000.</w:t>
      </w:r>
    </w:p>
    <w:p>
      <w:pPr>
        <w:ind w:left="740" w:right="44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Holtzman received compensation pursuant to the Employment and Chairman Compensation Agreement which terminated on August 7, 2020. See “</w:t>
      </w:r>
      <w:r>
        <w:rPr>
          <w:rFonts w:ascii="Arial" w:cs="Arial" w:eastAsia="Arial" w:hAnsi="Arial"/>
          <w:sz w:val="18"/>
          <w:szCs w:val="18"/>
          <w:i w:val="1"/>
          <w:iCs w:val="1"/>
          <w:color w:val="auto"/>
        </w:rPr>
        <w:t>Former Executive Chairman Compensation</w:t>
      </w:r>
      <w:r>
        <w:rPr>
          <w:rFonts w:ascii="Arial" w:cs="Arial" w:eastAsia="Arial" w:hAnsi="Arial"/>
          <w:sz w:val="18"/>
          <w:szCs w:val="18"/>
          <w:color w:val="auto"/>
        </w:rPr>
        <w:t>” below for additional information.</w:t>
      </w:r>
    </w:p>
    <w:p>
      <w:pPr>
        <w:ind w:left="740" w:right="200" w:hanging="368"/>
        <w:spacing w:after="0" w:line="26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the impact of COVID-19 which resulted in the temporary closure of all stores on March 17, 2020, the non-employee directors agreed to suspend their compensation for the second quarter of fiscal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380"/>
        <w:spacing w:after="0"/>
        <w:rPr>
          <w:sz w:val="20"/>
          <w:szCs w:val="20"/>
          <w:color w:val="auto"/>
        </w:rPr>
      </w:pPr>
      <w:r>
        <w:rPr>
          <w:rFonts w:ascii="Arial" w:cs="Arial" w:eastAsia="Arial" w:hAnsi="Arial"/>
          <w:sz w:val="18"/>
          <w:szCs w:val="18"/>
          <w:b w:val="1"/>
          <w:bCs w:val="1"/>
          <w:i w:val="1"/>
          <w:iCs w:val="1"/>
          <w:color w:val="auto"/>
        </w:rPr>
        <w:t>Former Executive Chairman Compensation</w:t>
      </w:r>
    </w:p>
    <w:p>
      <w:pPr>
        <w:spacing w:after="0" w:line="117"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Since August 7, 2014, Mr. Holtzman was compensated for his services pursuant to an Employment and Chairman Compensation Agreement (“Compensation Agreement”). Mr. Holtzman served as the Company’s Executive Chairman of the Board from August 2014 through January</w:t>
      </w:r>
    </w:p>
    <w:p>
      <w:pPr>
        <w:ind w:right="60"/>
        <w:spacing w:after="0" w:line="295" w:lineRule="auto"/>
        <w:rPr>
          <w:sz w:val="20"/>
          <w:szCs w:val="20"/>
          <w:color w:val="auto"/>
        </w:rPr>
      </w:pPr>
      <w:r>
        <w:rPr>
          <w:rFonts w:ascii="Arial" w:cs="Arial" w:eastAsia="Arial" w:hAnsi="Arial"/>
          <w:sz w:val="16"/>
          <w:szCs w:val="16"/>
          <w:color w:val="auto"/>
        </w:rPr>
        <w:t>2019. Pursuant to the Compensation Agreement, Mr. Holtzman served as both an employee of the Company, reporting to the Board, and as Executive Chairman, with the duties of the Chairman of the Board set forth in the Company’s Fourth Amended and Restated By-Laws. The initial term of the agreement was for two years and was automatically extended for additional one-year terms. On August 9, 2018, Mr. Holtzman was provided written notification that the Company would not be extending the term of the agreement and, as a result, the agreement terminated on August 7, 2020.</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agreement, as most recently amended on August 9, 2018, Mr. Holtzman was entitled to receive an annual base salary of $24,000 for his employment services and an annual compensation of $176,000. Accordingly, for fiscal 2020, Mr. Holtzman was compensated through August 7, 2020 when the agreement terminated and received total compensation of $100,000.</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320" w:top="557" w:right="69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other executive officers who served in fiscal 2020 (collectively,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2020 were:</w:t>
      </w:r>
    </w:p>
    <w:p>
      <w:pPr>
        <w:spacing w:after="0" w:line="225" w:lineRule="exact"/>
        <w:rPr>
          <w:sz w:val="20"/>
          <w:szCs w:val="20"/>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Harvey S. Kanter, President, CEO and Director</w:t>
      </w:r>
    </w:p>
    <w:p>
      <w:pPr>
        <w:spacing w:after="0" w:line="25"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CFO and Treasurer</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Ujjwal Dhoot, Chief Marketing Officer</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Robert S. Molloy, General Counsel and Secretary</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Anthony J. Gaeta, Senior Vice President of Store Sales and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2020 Financial and Executive Compensation Highlights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COVID-19 pandemic had an adverse impact on our revenues and, as a result, our earnings in fiscal 2020. Our retail stores were closed on March 17, 2020. Even after all of our stores were reopened by June 2020, they were operating at reduced hours and some store locations experienced subsequent temporary closures in response to the pandemic and individual state/county/city mandates. While comparable store sales were down 47.1%, our direct business, specifically our DXL.com website, which experienced a sales increase of 38.6% over the prior year, provided us with the ability to navigate through this unprecedented time.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2020, the Compensation Committee set metrics for the 2020 Annual Incentive Plan, with performance metrics and potential payout levels derived from the Company’s revised annual operating plan and budget for fiscal 2020 taking into account the adverse impact of the pandemic on the Company’s operations. We believed that achievement of the 2020 Annual Incentive Plan would be an indication that management had successfully navigated through fiscal 2020 and protected the future viability of the Company, and that any compensation earned by our Named Executive Officers in fiscal 2020 would reward management’s effective response to the pandemic.</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response to the pandemic, we took decisive steps in fiscal 2020 to pivot our business model and reposition ourselves for recovery with significantly more operating leverage in fiscal 2021. Our primary focus in fiscal 2020 was managing liquidity to weather the impact of the pandemic, which we believe our management team successfully accomplished. While total sales decreased by $155.1 million in fiscal 2020, we maintained sufficient liquidity to support operations while our total debt, net of cash, increased by only $5.6 million over the prior year. Management took several steps to preserve liquidity, which among other things included: (i) canceling approximately $148.0 million, at retail, of on-order inventory early, (ii) eliminating substantially all capital spending, (iii) drawing approximately $30.0 million under the credit facility and renegotiating the credit facility to increase availability, (iv) working with landlords on rent deferments and abatements while stores were closed and renegotiating existing lease terms, (v) negotiating extended payment terms with vendors including entering into a few short-term promissory notes, (vi) implementing cost savings initiatives to reduce expenses, (vii) pursuing all opportunities available under the CARES Act, (viii) furloughing the majority of the organization while the stores were closed, (ix) suspending merit increases, and (x) instituting a temporary reduction in pay for management (director-level and above) and suspending Board compensation for the second quarter. During fiscal 2020, we reduced our field organization by approximately 54% and our corporate workforce by 29%. While difficult, this was necessary to align our cost structure with sales trends given the uncertainty regarding the duration of the pandemic. We believe that our management team successfully navigated through the pandemic and the adverse impact that it has had on our business.</w:t>
      </w:r>
    </w:p>
    <w:p>
      <w:pPr>
        <w:spacing w:after="0" w:line="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Consequently, for fiscal 2020, the compensation earned by our Named Executive Officers, except for Mr. Kanter, increased from fiscal 2019, due primarily to an increase in the earned payout under the annual incentive plan in fiscal 2020 (as discussed below) as compared to fiscal 2019, partially offset by the temporary reduction in salary. Mr. Kanter’s compensation in fiscal 2020 decreased due primarily to the fact that his compensation in fiscal 2019 included his sign-on awards in connection with his hiring. Also in June 2020, the Board, at the recommendation of the Compensation Committee,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determined that it was important to preserve continuity of leadership through the COVID-19 pandemic and the uncertain recovery period, and accordingly to provide Mr. Kanter with a long-term equity incentive that aligns his interests with those of our stockholders. With respect to the Company’s long-term incentive plan for the 2020-2022 performance period, due to the limited share availability under the Company’s 2016 Incentive Compensation Plan and the low stock price, the Compensation Committee shifted to the use of stock options as opposed to the historical use of restricted stock units.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The following table shows total compensation earned for those Named Executive Officers (NEOs) who were serving at the end of fiscal 2020 as compared to fiscal 2019, as applicable:</w:t>
      </w:r>
    </w:p>
    <w:p>
      <w:pPr>
        <w:spacing w:after="0" w:line="6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Total Compensation</w:t>
            </w:r>
            <w:r>
              <w:rPr>
                <w:rFonts w:ascii="Arial" w:cs="Arial" w:eastAsia="Arial" w:hAnsi="Arial"/>
                <w:sz w:val="12"/>
                <w:szCs w:val="12"/>
                <w:b w:val="1"/>
                <w:bCs w:val="1"/>
                <w:color w:val="auto"/>
              </w:rPr>
              <w:t>(1)</w:t>
            </w:r>
          </w:p>
        </w:tc>
        <w:tc>
          <w:tcPr>
            <w:tcW w:w="11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 xml:space="preserve">Total Realized Pay </w:t>
            </w:r>
            <w:r>
              <w:rPr>
                <w:rFonts w:ascii="Arial" w:cs="Arial" w:eastAsia="Arial" w:hAnsi="Arial"/>
                <w:sz w:val="12"/>
                <w:szCs w:val="12"/>
                <w:b w:val="1"/>
                <w:bCs w:val="1"/>
                <w:color w:val="auto"/>
              </w:rPr>
              <w:t>(2)</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Fiscal 2020</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 xml:space="preserve">Fiscal 2019 </w:t>
            </w:r>
            <w:r>
              <w:rPr>
                <w:rFonts w:ascii="Arial" w:cs="Arial" w:eastAsia="Arial" w:hAnsi="Arial"/>
                <w:sz w:val="12"/>
                <w:szCs w:val="12"/>
                <w:b w:val="1"/>
                <w:bCs w:val="1"/>
                <w:color w:val="auto"/>
                <w:w w:val="96"/>
              </w:rPr>
              <w:t>(3)</w:t>
            </w:r>
          </w:p>
        </w:tc>
        <w:tc>
          <w:tcPr>
            <w:tcW w:w="16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 Change</w:t>
            </w:r>
          </w:p>
        </w:tc>
        <w:tc>
          <w:tcPr>
            <w:tcW w:w="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8"/>
              </w:rPr>
              <w:t>Fiscal 2020</w:t>
            </w: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6"/>
              </w:rPr>
              <w:t xml:space="preserve">Fiscal 2019 </w:t>
            </w:r>
            <w:r>
              <w:rPr>
                <w:rFonts w:ascii="Arial" w:cs="Arial" w:eastAsia="Arial" w:hAnsi="Arial"/>
                <w:sz w:val="12"/>
                <w:szCs w:val="12"/>
                <w:b w:val="1"/>
                <w:bCs w:val="1"/>
                <w:color w:val="auto"/>
                <w:w w:val="96"/>
              </w:rPr>
              <w:t>(3)</w:t>
            </w: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2,110,929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3,164,067</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1,710,074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1,222,093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656,025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588,245</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609,771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639,910</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606,122</w:t>
            </w:r>
          </w:p>
        </w:tc>
        <w:tc>
          <w:tcPr>
            <w:tcW w:w="3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592,925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533,245</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549,184</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583,951</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455,561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421,087</w:t>
            </w:r>
          </w:p>
        </w:tc>
        <w:tc>
          <w:tcPr>
            <w:tcW w:w="3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433,128</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40" w:right="300" w:hanging="368"/>
        <w:spacing w:after="0" w:line="293"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compensation reflects amounts as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which for Mr. Kanter includes the fair value of $1.6 million in fiscal 2019 for one-time, sign-on awards granted in connection with his hiring.</w:t>
      </w:r>
    </w:p>
    <w:p>
      <w:pPr>
        <w:spacing w:after="0" w:line="171" w:lineRule="exact"/>
        <w:rPr>
          <w:rFonts w:ascii="Arial" w:cs="Arial" w:eastAsia="Arial" w:hAnsi="Arial"/>
          <w:sz w:val="16"/>
          <w:szCs w:val="16"/>
          <w:color w:val="auto"/>
        </w:rPr>
      </w:pPr>
    </w:p>
    <w:p>
      <w:pPr>
        <w:ind w:left="740" w:right="20" w:hanging="368"/>
        <w:spacing w:after="0" w:line="303" w:lineRule="auto"/>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realized pay is calculated as total compensation per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minus the value of equity awards granted, as reported in the “</w:t>
      </w:r>
      <w:r>
        <w:rPr>
          <w:rFonts w:ascii="Arial" w:cs="Arial" w:eastAsia="Arial" w:hAnsi="Arial"/>
          <w:sz w:val="14"/>
          <w:szCs w:val="14"/>
          <w:i w:val="1"/>
          <w:iCs w:val="1"/>
          <w:color w:val="auto"/>
        </w:rPr>
        <w:t>Stock</w:t>
      </w:r>
      <w:r>
        <w:rPr>
          <w:rFonts w:ascii="Arial" w:cs="Arial" w:eastAsia="Arial" w:hAnsi="Arial"/>
          <w:sz w:val="14"/>
          <w:szCs w:val="14"/>
          <w:color w:val="auto"/>
        </w:rPr>
        <w:t xml:space="preserve"> </w:t>
      </w:r>
      <w:r>
        <w:rPr>
          <w:rFonts w:ascii="Arial" w:cs="Arial" w:eastAsia="Arial" w:hAnsi="Arial"/>
          <w:sz w:val="14"/>
          <w:szCs w:val="14"/>
          <w:i w:val="1"/>
          <w:iCs w:val="1"/>
          <w:color w:val="auto"/>
        </w:rPr>
        <w:t>Awards</w:t>
      </w:r>
      <w:r>
        <w:rPr>
          <w:rFonts w:ascii="Arial" w:cs="Arial" w:eastAsia="Arial" w:hAnsi="Arial"/>
          <w:sz w:val="14"/>
          <w:szCs w:val="14"/>
          <w:color w:val="auto"/>
        </w:rPr>
        <w:t>” column and “</w:t>
      </w:r>
      <w:r>
        <w:rPr>
          <w:rFonts w:ascii="Arial" w:cs="Arial" w:eastAsia="Arial" w:hAnsi="Arial"/>
          <w:sz w:val="14"/>
          <w:szCs w:val="14"/>
          <w:i w:val="1"/>
          <w:iCs w:val="1"/>
          <w:color w:val="auto"/>
        </w:rPr>
        <w:t>Option Awards</w:t>
      </w:r>
      <w:r>
        <w:rPr>
          <w:rFonts w:ascii="Arial" w:cs="Arial" w:eastAsia="Arial" w:hAnsi="Arial"/>
          <w:sz w:val="14"/>
          <w:szCs w:val="14"/>
          <w:color w:val="auto"/>
        </w:rPr>
        <w:t>” column of that table, plus the value of any options exercised or stock awards that vested, as reflected in the “</w:t>
      </w:r>
      <w:r>
        <w:rPr>
          <w:rFonts w:ascii="Arial" w:cs="Arial" w:eastAsia="Arial" w:hAnsi="Arial"/>
          <w:sz w:val="14"/>
          <w:szCs w:val="14"/>
          <w:i w:val="1"/>
          <w:iCs w:val="1"/>
          <w:color w:val="auto"/>
        </w:rPr>
        <w:t>Option Exercises and Stock Vested</w:t>
      </w:r>
      <w:r>
        <w:rPr>
          <w:rFonts w:ascii="Arial" w:cs="Arial" w:eastAsia="Arial" w:hAnsi="Arial"/>
          <w:sz w:val="14"/>
          <w:szCs w:val="14"/>
          <w:color w:val="auto"/>
        </w:rPr>
        <w:t>” table for each of the respective years. The decrease in realized pay for fiscal 2020, as compared to fiscal 2019, for Messrs. Stratton,</w:t>
      </w:r>
      <w:r>
        <w:rPr>
          <w:rFonts w:ascii="Arial" w:cs="Arial" w:eastAsia="Arial" w:hAnsi="Arial"/>
          <w:sz w:val="14"/>
          <w:szCs w:val="14"/>
          <w:i w:val="1"/>
          <w:iCs w:val="1"/>
          <w:color w:val="auto"/>
        </w:rPr>
        <w:t xml:space="preserve"> </w:t>
      </w:r>
      <w:r>
        <w:rPr>
          <w:rFonts w:ascii="Arial" w:cs="Arial" w:eastAsia="Arial" w:hAnsi="Arial"/>
          <w:sz w:val="14"/>
          <w:szCs w:val="14"/>
          <w:color w:val="auto"/>
        </w:rPr>
        <w:t>Molloy and Gaeta was due primarily to the decrease in the value of awards that vested, as a result of the Company’s decreased stock price in fiscal</w:t>
      </w:r>
    </w:p>
    <w:p>
      <w:pPr>
        <w:ind w:left="740"/>
        <w:spacing w:after="0"/>
        <w:rPr>
          <w:rFonts w:ascii="Arial" w:cs="Arial" w:eastAsia="Arial" w:hAnsi="Arial"/>
          <w:sz w:val="14"/>
          <w:szCs w:val="14"/>
          <w:color w:val="auto"/>
        </w:rPr>
      </w:pPr>
      <w:r>
        <w:rPr>
          <w:rFonts w:ascii="Arial" w:cs="Arial" w:eastAsia="Arial" w:hAnsi="Arial"/>
          <w:sz w:val="16"/>
          <w:szCs w:val="16"/>
          <w:color w:val="auto"/>
        </w:rPr>
        <w:t>2020. Because Mr. Kanter was hired in February 2019, Mr. Kanter had no awards that vested during fiscal 2019.</w:t>
      </w:r>
    </w:p>
    <w:p>
      <w:pPr>
        <w:spacing w:after="0" w:line="230" w:lineRule="exact"/>
        <w:rPr>
          <w:rFonts w:ascii="Arial" w:cs="Arial" w:eastAsia="Arial" w:hAnsi="Arial"/>
          <w:sz w:val="14"/>
          <w:szCs w:val="14"/>
          <w:color w:val="auto"/>
        </w:rPr>
      </w:pPr>
    </w:p>
    <w:p>
      <w:pPr>
        <w:ind w:left="740" w:hanging="368"/>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no comparable salary information for Mr. Dhoot, because he only became a named executive officer in fiscal 2020.</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60" w:right="460" w:hanging="253"/>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reviewing compensation, the Compensation Committee emphasizes Direct Compensation. Direct Compensation consists of total cash compensation (base salary and annual performance-based cash incentive awards) plus long-term incentive awards, which are primarily equity-based. Every year, we assess the effectiveness of our compensation plans with the goal of strengthening our overall compensation program as appropriate, including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our executive officers with the interests of our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What We Do</w:t>
            </w:r>
          </w:p>
        </w:tc>
        <w:tc>
          <w:tcPr>
            <w:tcW w:w="6300" w:type="dxa"/>
            <w:vAlign w:val="bottom"/>
            <w:gridSpan w:val="3"/>
          </w:tcPr>
          <w:p>
            <w:pPr>
              <w:ind w:left="2820"/>
              <w:spacing w:after="0"/>
              <w:rPr>
                <w:sz w:val="20"/>
                <w:szCs w:val="20"/>
                <w:color w:val="auto"/>
              </w:rPr>
            </w:pPr>
            <w:r>
              <w:rPr>
                <w:rFonts w:ascii="Arial" w:cs="Arial" w:eastAsia="Arial" w:hAnsi="Arial"/>
                <w:sz w:val="18"/>
                <w:szCs w:val="18"/>
                <w:i w:val="1"/>
                <w:iCs w:val="1"/>
                <w:color w:val="auto"/>
              </w:rPr>
              <w:t>What We Don’t Do</w:t>
            </w: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executives with very limited perquisites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500" w:right="6100" w:hanging="324"/>
        <w:spacing w:after="0" w:line="277" w:lineRule="auto"/>
        <w:tabs>
          <w:tab w:leader="none" w:pos="459"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Maintain a “clawback” policy covering incentive cash and equity programs</w:t>
      </w:r>
    </w:p>
    <w:p>
      <w:pPr>
        <w:spacing w:after="0" w:line="62" w:lineRule="exact"/>
        <w:rPr>
          <w:rFonts w:ascii="MS PGothic" w:cs="MS PGothic" w:eastAsia="MS PGothic" w:hAnsi="MS PGothic"/>
          <w:sz w:val="18"/>
          <w:szCs w:val="18"/>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Compensation Committee periodically consults with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Segal was initially engaged in fiscal 2018 to evaluate CEO compensation in connection with the Company’s search for a new CEO. In fiscal 2020, the Compensation Committee engaged Segal to evaluate a potential incremental grant to the CEO given the pandemic and the need to ensure retention. The Compensation Committee also consulted with Segal in August 2019 to evaluate the Company’s long-term incentive program, including its mix of equity and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Target Compensation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Segal,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current CEO, the Compensation Committee placed additional emphasis on performance pay by increasing the participation rate in the long-term incentive plan. In addition, as part of his compensation package in fiscal 2019 when he joined the Company, Mr. Kanter received a sign-on performance stock unit award (“PSU”) tied directly to the Company’s stock price.</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determining the compensation paid to our other Named Executive Officers,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review and approval of the Compensation Committee. Our other Named Executive Officers are provided with a competitive base salary and an opportunity to earn performance awards each year, which are driven by our overall financial targets. Compensation to our other Named Executive Officers was most recently reviewed by Segal in May 2019, at which time they reported that such compensation was within the median (or 50% percentile) of the Company’s then proxy peer group. See “</w:t>
      </w:r>
      <w:r>
        <w:rPr>
          <w:rFonts w:ascii="Arial" w:cs="Arial" w:eastAsia="Arial" w:hAnsi="Arial"/>
          <w:sz w:val="17"/>
          <w:szCs w:val="17"/>
          <w:i w:val="1"/>
          <w:iCs w:val="1"/>
          <w:color w:val="auto"/>
        </w:rPr>
        <w:t>Compensation Components and Fiscal 2020 Compensation Decisions</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2020 peer group were: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1560"/>
              <w:spacing w:after="0"/>
              <w:rPr>
                <w:sz w:val="20"/>
                <w:szCs w:val="20"/>
                <w:color w:val="auto"/>
              </w:rPr>
            </w:pPr>
            <w:r>
              <w:rPr>
                <w:rFonts w:ascii="Arial" w:cs="Arial" w:eastAsia="Arial" w:hAnsi="Arial"/>
                <w:sz w:val="18"/>
                <w:szCs w:val="18"/>
                <w:color w:val="auto"/>
              </w:rPr>
              <w:t>Boot Barn Holding, Inc.</w:t>
            </w:r>
          </w:p>
        </w:tc>
        <w:tc>
          <w:tcPr>
            <w:tcW w:w="3020" w:type="dxa"/>
            <w:vAlign w:val="bottom"/>
          </w:tcPr>
          <w:p>
            <w:pPr>
              <w:ind w:left="500"/>
              <w:spacing w:after="0"/>
              <w:rPr>
                <w:sz w:val="20"/>
                <w:szCs w:val="20"/>
                <w:color w:val="auto"/>
              </w:rPr>
            </w:pPr>
            <w:r>
              <w:rPr>
                <w:rFonts w:ascii="Arial" w:cs="Arial" w:eastAsia="Arial" w:hAnsi="Arial"/>
                <w:sz w:val="18"/>
                <w:szCs w:val="18"/>
                <w:color w:val="auto"/>
              </w:rPr>
              <w:t>Francesca’s Holding Corp.</w:t>
            </w:r>
          </w:p>
        </w:tc>
        <w:tc>
          <w:tcPr>
            <w:tcW w:w="4040" w:type="dxa"/>
            <w:vAlign w:val="bottom"/>
          </w:tcPr>
          <w:p>
            <w:pPr>
              <w:ind w:left="600"/>
              <w:spacing w:after="0"/>
              <w:rPr>
                <w:sz w:val="20"/>
                <w:szCs w:val="20"/>
                <w:color w:val="auto"/>
              </w:rPr>
            </w:pPr>
            <w:r>
              <w:rPr>
                <w:rFonts w:ascii="Arial" w:cs="Arial" w:eastAsia="Arial" w:hAnsi="Arial"/>
                <w:sz w:val="18"/>
                <w:szCs w:val="18"/>
                <w:color w:val="auto"/>
              </w:rPr>
              <w:t>Tilly’s Inc.</w:t>
            </w:r>
          </w:p>
        </w:tc>
      </w:tr>
      <w:tr>
        <w:trPr>
          <w:trHeight w:val="338"/>
        </w:trPr>
        <w:tc>
          <w:tcPr>
            <w:tcW w:w="4200" w:type="dxa"/>
            <w:vAlign w:val="bottom"/>
          </w:tcPr>
          <w:p>
            <w:pPr>
              <w:ind w:left="1560"/>
              <w:spacing w:after="0"/>
              <w:rPr>
                <w:sz w:val="20"/>
                <w:szCs w:val="20"/>
                <w:color w:val="auto"/>
              </w:rPr>
            </w:pPr>
            <w:r>
              <w:rPr>
                <w:rFonts w:ascii="Arial" w:cs="Arial" w:eastAsia="Arial" w:hAnsi="Arial"/>
                <w:sz w:val="18"/>
                <w:szCs w:val="18"/>
                <w:color w:val="auto"/>
              </w:rPr>
              <w:t>Build-A-Bear Workshop, Inc.</w:t>
            </w:r>
          </w:p>
        </w:tc>
        <w:tc>
          <w:tcPr>
            <w:tcW w:w="3020" w:type="dxa"/>
            <w:vAlign w:val="bottom"/>
          </w:tcPr>
          <w:p>
            <w:pPr>
              <w:ind w:left="500"/>
              <w:spacing w:after="0"/>
              <w:rPr>
                <w:sz w:val="20"/>
                <w:szCs w:val="20"/>
                <w:color w:val="auto"/>
              </w:rPr>
            </w:pPr>
            <w:r>
              <w:rPr>
                <w:rFonts w:ascii="Arial" w:cs="Arial" w:eastAsia="Arial" w:hAnsi="Arial"/>
                <w:sz w:val="18"/>
                <w:szCs w:val="18"/>
                <w:color w:val="auto"/>
              </w:rPr>
              <w:t>Kirkland’s, Inc.</w:t>
            </w:r>
          </w:p>
        </w:tc>
        <w:tc>
          <w:tcPr>
            <w:tcW w:w="4040" w:type="dxa"/>
            <w:vAlign w:val="bottom"/>
          </w:tcPr>
          <w:p>
            <w:pPr>
              <w:ind w:left="600"/>
              <w:spacing w:after="0"/>
              <w:rPr>
                <w:sz w:val="20"/>
                <w:szCs w:val="20"/>
                <w:color w:val="auto"/>
              </w:rPr>
            </w:pPr>
            <w:r>
              <w:rPr>
                <w:rFonts w:ascii="Arial" w:cs="Arial" w:eastAsia="Arial" w:hAnsi="Arial"/>
                <w:sz w:val="18"/>
                <w:szCs w:val="18"/>
                <w:color w:val="auto"/>
              </w:rPr>
              <w:t>Vera Bradley</w:t>
            </w:r>
          </w:p>
        </w:tc>
      </w:tr>
      <w:tr>
        <w:trPr>
          <w:trHeight w:val="338"/>
        </w:trPr>
        <w:tc>
          <w:tcPr>
            <w:tcW w:w="4200" w:type="dxa"/>
            <w:vAlign w:val="bottom"/>
          </w:tcPr>
          <w:p>
            <w:pPr>
              <w:ind w:left="1560"/>
              <w:spacing w:after="0"/>
              <w:rPr>
                <w:sz w:val="20"/>
                <w:szCs w:val="20"/>
                <w:color w:val="auto"/>
              </w:rPr>
            </w:pPr>
            <w:r>
              <w:rPr>
                <w:rFonts w:ascii="Arial" w:cs="Arial" w:eastAsia="Arial" w:hAnsi="Arial"/>
                <w:sz w:val="18"/>
                <w:szCs w:val="18"/>
                <w:color w:val="auto"/>
              </w:rPr>
              <w:t>Cato Group</w:t>
            </w:r>
          </w:p>
        </w:tc>
        <w:tc>
          <w:tcPr>
            <w:tcW w:w="3020" w:type="dxa"/>
            <w:vAlign w:val="bottom"/>
          </w:tcPr>
          <w:p>
            <w:pPr>
              <w:ind w:left="500"/>
              <w:spacing w:after="0"/>
              <w:rPr>
                <w:sz w:val="20"/>
                <w:szCs w:val="20"/>
                <w:color w:val="auto"/>
              </w:rPr>
            </w:pPr>
            <w:r>
              <w:rPr>
                <w:rFonts w:ascii="Arial" w:cs="Arial" w:eastAsia="Arial" w:hAnsi="Arial"/>
                <w:sz w:val="18"/>
                <w:szCs w:val="18"/>
                <w:color w:val="auto"/>
              </w:rPr>
              <w:t>Movado Group</w:t>
            </w:r>
          </w:p>
        </w:tc>
        <w:tc>
          <w:tcPr>
            <w:tcW w:w="4040" w:type="dxa"/>
            <w:vAlign w:val="bottom"/>
          </w:tcPr>
          <w:p>
            <w:pPr>
              <w:ind w:left="600"/>
              <w:spacing w:after="0"/>
              <w:rPr>
                <w:sz w:val="20"/>
                <w:szCs w:val="20"/>
                <w:color w:val="auto"/>
              </w:rPr>
            </w:pPr>
            <w:r>
              <w:rPr>
                <w:rFonts w:ascii="Arial" w:cs="Arial" w:eastAsia="Arial" w:hAnsi="Arial"/>
                <w:sz w:val="18"/>
                <w:szCs w:val="18"/>
                <w:color w:val="auto"/>
              </w:rPr>
              <w:t>Vince Holding Corp.</w:t>
            </w:r>
          </w:p>
        </w:tc>
      </w:tr>
      <w:tr>
        <w:trPr>
          <w:trHeight w:val="337"/>
        </w:trPr>
        <w:tc>
          <w:tcPr>
            <w:tcW w:w="4200" w:type="dxa"/>
            <w:vAlign w:val="bottom"/>
          </w:tcPr>
          <w:p>
            <w:pPr>
              <w:ind w:left="1560"/>
              <w:spacing w:after="0"/>
              <w:rPr>
                <w:sz w:val="20"/>
                <w:szCs w:val="20"/>
                <w:color w:val="auto"/>
              </w:rPr>
            </w:pPr>
            <w:r>
              <w:rPr>
                <w:rFonts w:ascii="Arial" w:cs="Arial" w:eastAsia="Arial" w:hAnsi="Arial"/>
                <w:sz w:val="18"/>
                <w:szCs w:val="18"/>
                <w:color w:val="auto"/>
              </w:rPr>
              <w:t>Christopher &amp; Banks</w:t>
            </w:r>
          </w:p>
        </w:tc>
        <w:tc>
          <w:tcPr>
            <w:tcW w:w="3020" w:type="dxa"/>
            <w:vAlign w:val="bottom"/>
          </w:tcPr>
          <w:p>
            <w:pPr>
              <w:ind w:left="500"/>
              <w:spacing w:after="0"/>
              <w:rPr>
                <w:sz w:val="20"/>
                <w:szCs w:val="20"/>
                <w:color w:val="auto"/>
              </w:rPr>
            </w:pPr>
            <w:r>
              <w:rPr>
                <w:rFonts w:ascii="Arial" w:cs="Arial" w:eastAsia="Arial" w:hAnsi="Arial"/>
                <w:sz w:val="18"/>
                <w:szCs w:val="18"/>
                <w:color w:val="auto"/>
              </w:rPr>
              <w:t>Retailwinds, Inc.</w:t>
            </w:r>
          </w:p>
        </w:tc>
        <w:tc>
          <w:tcPr>
            <w:tcW w:w="4040" w:type="dxa"/>
            <w:vAlign w:val="bottom"/>
          </w:tcPr>
          <w:p>
            <w:pPr>
              <w:ind w:left="600"/>
              <w:spacing w:after="0"/>
              <w:rPr>
                <w:sz w:val="20"/>
                <w:szCs w:val="20"/>
                <w:color w:val="auto"/>
              </w:rPr>
            </w:pPr>
            <w:r>
              <w:rPr>
                <w:rFonts w:ascii="Arial" w:cs="Arial" w:eastAsia="Arial" w:hAnsi="Arial"/>
                <w:sz w:val="18"/>
                <w:szCs w:val="18"/>
                <w:color w:val="auto"/>
              </w:rPr>
              <w:t>Zumiez, Inc.</w:t>
            </w:r>
          </w:p>
        </w:tc>
      </w:tr>
      <w:tr>
        <w:trPr>
          <w:trHeight w:val="554"/>
        </w:trPr>
        <w:tc>
          <w:tcPr>
            <w:tcW w:w="4200" w:type="dxa"/>
            <w:vAlign w:val="bottom"/>
          </w:tcPr>
          <w:p>
            <w:pPr>
              <w:spacing w:after="0"/>
              <w:rPr>
                <w:sz w:val="24"/>
                <w:szCs w:val="24"/>
                <w:color w:val="auto"/>
              </w:rPr>
            </w:pPr>
          </w:p>
        </w:tc>
        <w:tc>
          <w:tcPr>
            <w:tcW w:w="3020" w:type="dxa"/>
            <w:vAlign w:val="bottom"/>
          </w:tcPr>
          <w:p>
            <w:pPr>
              <w:ind w:left="1340"/>
              <w:spacing w:after="0"/>
              <w:rPr>
                <w:sz w:val="20"/>
                <w:szCs w:val="20"/>
                <w:color w:val="auto"/>
              </w:rPr>
            </w:pPr>
            <w:r>
              <w:rPr>
                <w:rFonts w:ascii="Arial" w:cs="Arial" w:eastAsia="Arial" w:hAnsi="Arial"/>
                <w:sz w:val="18"/>
                <w:szCs w:val="18"/>
                <w:color w:val="auto"/>
              </w:rPr>
              <w:t>16</w:t>
            </w:r>
          </w:p>
        </w:tc>
        <w:tc>
          <w:tcPr>
            <w:tcW w:w="404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9" w:name="page20"/>
    <w:bookmarkEnd w:id="19"/>
    <w:p>
      <w:pPr>
        <w:ind w:left="1560"/>
        <w:spacing w:after="0"/>
        <w:rPr>
          <w:sz w:val="20"/>
          <w:szCs w:val="20"/>
          <w:color w:val="auto"/>
        </w:rPr>
      </w:pPr>
      <w:r>
        <w:rPr>
          <w:rFonts w:ascii="Arial" w:cs="Arial" w:eastAsia="Arial" w:hAnsi="Arial"/>
          <w:sz w:val="16"/>
          <w:szCs w:val="16"/>
          <w:color w:val="auto"/>
        </w:rPr>
        <w:t>Citi Trends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Sportsman’s Warehouse</w:t>
      </w:r>
    </w:p>
    <w:p>
      <w:pPr>
        <w:spacing w:after="0" w:line="165" w:lineRule="exact"/>
        <w:rPr>
          <w:sz w:val="20"/>
          <w:szCs w:val="20"/>
          <w:color w:val="auto"/>
        </w:rPr>
      </w:pPr>
    </w:p>
    <w:p>
      <w:pPr>
        <w:sectPr>
          <w:pgSz w:w="11900" w:h="16838" w:orient="portrait"/>
          <w:cols w:equalWidth="0" w:num="2">
            <w:col w:w="3980" w:space="720"/>
            <w:col w:w="6540"/>
          </w:cols>
          <w:pgMar w:left="320" w:top="341" w:right="339" w:bottom="1440" w:gutter="0" w:footer="0" w:header="0"/>
        </w:sectPr>
      </w:pPr>
    </w:p>
    <w:p>
      <w:pPr>
        <w:jc w:val="center"/>
        <w:ind w:left="640"/>
        <w:spacing w:after="0"/>
        <w:rPr>
          <w:sz w:val="20"/>
          <w:szCs w:val="20"/>
          <w:color w:val="auto"/>
        </w:rPr>
      </w:pPr>
      <w:r>
        <w:rPr>
          <w:rFonts w:ascii="Arial" w:cs="Arial" w:eastAsia="Arial" w:hAnsi="Arial"/>
          <w:sz w:val="17"/>
          <w:szCs w:val="17"/>
          <w:color w:val="auto"/>
        </w:rPr>
        <w:t>Duluth Holding,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Tile Shop Holdings</w:t>
      </w:r>
    </w:p>
    <w:p>
      <w:pPr>
        <w:spacing w:after="0" w:line="211" w:lineRule="exact"/>
        <w:rPr>
          <w:sz w:val="20"/>
          <w:szCs w:val="20"/>
          <w:color w:val="auto"/>
        </w:rPr>
      </w:pPr>
    </w:p>
    <w:p>
      <w:pPr>
        <w:sectPr>
          <w:pgSz w:w="11900" w:h="16838" w:orient="portrait"/>
          <w:cols w:equalWidth="0" w:num="2">
            <w:col w:w="3980" w:space="720"/>
            <w:col w:w="6540"/>
          </w:cols>
          <w:pgMar w:left="320" w:top="341" w:right="339" w:bottom="1440" w:gutter="0" w:footer="0" w:header="0"/>
          <w:type w:val="continuous"/>
        </w:sectPr>
      </w:pP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2021, we updated our peer group to remove Christopher &amp; Banks, Francesca’s Holding Corp. and Retailwinds, Inc. due to bankruptcy, and to add Delta Apparel, Inc., J.Jill, Inc., and Kaspien Holding, Inc.</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With respect to our fiscal 2020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our 2020 Annual Meeting, stockholders had an opportunity to cast a non-binding advisory vote on executive compensation as disclosed in the 2020 Proxy Statement. Of the votes cast on the say-on-pay proposal, 80.5% voted in favor of the proposal. The Compensation Committee considered the results of the 2020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resulted in a financial restatement. Incentive-Based Compensation includes all cash and equity awards.</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2020 Compensation Decisions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363220</wp:posOffset>
            </wp:positionV>
            <wp:extent cx="6189345" cy="1834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893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The above target compensation for the CEO does not reflect the value of Mr. Kanter’s discretionary grant of stock options on June 10,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60" w:hanging="253"/>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ind w:left="760" w:right="60"/>
        <w:spacing w:after="0" w:line="277" w:lineRule="auto"/>
        <w:rPr>
          <w:rFonts w:ascii="Arial" w:cs="Arial" w:eastAsia="Arial" w:hAnsi="Arial"/>
          <w:sz w:val="18"/>
          <w:szCs w:val="18"/>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rFonts w:ascii="Arial" w:cs="Arial" w:eastAsia="Arial" w:hAnsi="Arial"/>
          <w:sz w:val="18"/>
          <w:szCs w:val="18"/>
          <w:color w:val="auto"/>
        </w:rPr>
      </w:pPr>
    </w:p>
    <w:p>
      <w:pPr>
        <w:ind w:left="76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60" w:right="140"/>
        <w:spacing w:after="0" w:line="286" w:lineRule="auto"/>
        <w:rPr>
          <w:rFonts w:ascii="Arial" w:cs="Arial" w:eastAsia="Arial" w:hAnsi="Arial"/>
          <w:sz w:val="18"/>
          <w:szCs w:val="18"/>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57" w:lineRule="exact"/>
        <w:rPr>
          <w:rFonts w:ascii="Arial" w:cs="Arial" w:eastAsia="Arial" w:hAnsi="Arial"/>
          <w:sz w:val="18"/>
          <w:szCs w:val="18"/>
          <w:color w:val="auto"/>
        </w:rPr>
      </w:pPr>
    </w:p>
    <w:p>
      <w:pPr>
        <w:ind w:left="760"/>
        <w:spacing w:after="0" w:line="286" w:lineRule="auto"/>
        <w:rPr>
          <w:rFonts w:ascii="Arial" w:cs="Arial" w:eastAsia="Arial" w:hAnsi="Arial"/>
          <w:sz w:val="18"/>
          <w:szCs w:val="18"/>
          <w:color w:val="auto"/>
        </w:rPr>
      </w:pPr>
      <w:r>
        <w:rPr>
          <w:rFonts w:ascii="Arial" w:cs="Arial" w:eastAsia="Arial" w:hAnsi="Arial"/>
          <w:sz w:val="17"/>
          <w:szCs w:val="17"/>
          <w:color w:val="auto"/>
        </w:rPr>
        <w:t>Each of our Named Executive Officers took a temporary salary reduction of 20% for the period April 5, 2020 through August 2, 2020. In August 2020, Mr. Dhoot received a salary increase of $85,000 to $385,000 in connection with his promotion from Chief Digital Officer to Chief Marketing Officer. There were no other adjustments to the base salaries of our other Named Executive Officers.</w:t>
      </w:r>
    </w:p>
    <w:p>
      <w:pPr>
        <w:spacing w:after="0" w:line="165" w:lineRule="exact"/>
        <w:rPr>
          <w:rFonts w:ascii="Arial" w:cs="Arial" w:eastAsia="Arial" w:hAnsi="Arial"/>
          <w:sz w:val="18"/>
          <w:szCs w:val="18"/>
          <w:color w:val="auto"/>
        </w:rPr>
      </w:pPr>
    </w:p>
    <w:p>
      <w:pPr>
        <w:ind w:left="760" w:hanging="253"/>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rFonts w:ascii="Arial" w:cs="Arial" w:eastAsia="Arial" w:hAnsi="Arial"/>
          <w:sz w:val="18"/>
          <w:szCs w:val="18"/>
          <w:color w:val="auto"/>
        </w:rPr>
      </w:pPr>
    </w:p>
    <w:p>
      <w:pPr>
        <w:ind w:left="760" w:right="40"/>
        <w:spacing w:after="0" w:line="263"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18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2020 AIP</w:t>
      </w:r>
    </w:p>
    <w:p>
      <w:pPr>
        <w:spacing w:after="0" w:line="117" w:lineRule="exact"/>
        <w:rPr>
          <w:rFonts w:ascii="Arial" w:cs="Arial" w:eastAsia="Arial" w:hAnsi="Arial"/>
          <w:sz w:val="18"/>
          <w:szCs w:val="18"/>
          <w:color w:val="auto"/>
        </w:rPr>
      </w:pPr>
    </w:p>
    <w:p>
      <w:pPr>
        <w:ind w:left="760" w:right="60"/>
        <w:spacing w:after="0" w:line="253" w:lineRule="auto"/>
        <w:rPr>
          <w:rFonts w:ascii="Arial" w:cs="Arial" w:eastAsia="Arial" w:hAnsi="Arial"/>
          <w:sz w:val="18"/>
          <w:szCs w:val="18"/>
          <w:color w:val="auto"/>
        </w:rPr>
      </w:pPr>
      <w:r>
        <w:rPr>
          <w:rFonts w:ascii="Arial" w:cs="Arial" w:eastAsia="Arial" w:hAnsi="Arial"/>
          <w:sz w:val="18"/>
          <w:szCs w:val="18"/>
          <w:color w:val="auto"/>
        </w:rPr>
        <w:t>On June 23, 2020, the Compensation Committee established the performance metrics for the 2020 AIP. The potential payout for each performance metric was based on full-year results for fiscal 2020. A participant’s payout under the AIP was based on earned wages, accordingly, each participant’s earned wages for fiscal 2020 reflected a reduction in normal earnings due to either: (i) furlough or (ii) temporary pay reductions, ranging from 10% to 20%. Each of our Named Executive Officers took a temporary salary reduction of 20% for the period April 5, 2020 through August 2, 2020.</w:t>
      </w:r>
    </w:p>
    <w:p>
      <w:pPr>
        <w:spacing w:after="0" w:line="3" w:lineRule="exact"/>
        <w:rPr>
          <w:rFonts w:ascii="Arial" w:cs="Arial" w:eastAsia="Arial" w:hAnsi="Arial"/>
          <w:sz w:val="18"/>
          <w:szCs w:val="18"/>
          <w:color w:val="auto"/>
        </w:rPr>
      </w:pPr>
    </w:p>
    <w:p>
      <w:pPr>
        <w:ind w:left="760" w:right="60"/>
        <w:spacing w:after="0" w:line="268" w:lineRule="auto"/>
        <w:rPr>
          <w:rFonts w:ascii="Arial" w:cs="Arial" w:eastAsia="Arial" w:hAnsi="Arial"/>
          <w:sz w:val="18"/>
          <w:szCs w:val="18"/>
          <w:color w:val="auto"/>
        </w:rPr>
      </w:pPr>
      <w:r>
        <w:rPr>
          <w:rFonts w:ascii="Arial" w:cs="Arial" w:eastAsia="Arial" w:hAnsi="Arial"/>
          <w:sz w:val="17"/>
          <w:szCs w:val="17"/>
          <w:color w:val="auto"/>
        </w:rPr>
        <w:t>The performance metrics and potential payouts levels were derived from the Company’s revised annual operating plan for fiscal 2020. The revised annual operating plan included the potential impact that the COVID-19 pandemic would have on operations and the objectives that management needed to accomplish in order for the Company to preserve liquidity, weather the negative impact of the pandemic and be positioned to successfully emerge from the pandemic. The Compensation Committee believed it was necessary, due to the uncertainty regarding the impact and duration of the pandemic, to focus on two key financial metrics for fiscal 2020 (Sales and Adjusted EBITDA), removing departmental goals from the AIP for fiscal 2020. Each of these financial metrics were weighted 40%, with the remaining 20% attributable to the achievement of what had been pre-defined personal goals for the fiscal year prior to the advent of the pandemic and the closure of all of our stores beginning on March 17, 2020. See footnote 2 to the below table for a more detailed discussion of these personal goals. These metrics were intended to be achievable, with an approximate 50% probability; however, given the uncertainty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16"/>
          <w:szCs w:val="16"/>
          <w:color w:val="auto"/>
        </w:rPr>
        <w:t>surrounding the COVID-19 pandemic and its impact on our financial results, there was an inherent risk that these metrics might not be attainable.</w:t>
      </w:r>
    </w:p>
    <w:p>
      <w:pPr>
        <w:spacing w:after="0" w:line="140"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For fiscal 2020, Mr. Kanter’s target participation in the AIP was at 100% of his earned salary, Mr. Stratton participated at 55% of his earned salary, Mr. Molloy participated at 50% of his earned salary, and Mr. Gaeta participated at 40% of his earned salary. As a result of his promotion, Mr. Dhoot participated at a blended rate of 45.9% of his earned salary.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2020 AIP performance metrics and actual results against these metrics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Award %</w:t>
            </w:r>
          </w:p>
        </w:tc>
        <w:tc>
          <w:tcPr>
            <w:tcW w:w="3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Minimum/Maximum</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6"/>
              </w:rPr>
              <w:t>Attributable to</w:t>
            </w:r>
          </w:p>
        </w:tc>
        <w:tc>
          <w:tcPr>
            <w:tcW w:w="32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380" w:type="dxa"/>
            <w:vAlign w:val="bottom"/>
            <w:gridSpan w:val="3"/>
          </w:tcPr>
          <w:p>
            <w:pPr>
              <w:ind w:left="600"/>
              <w:spacing w:after="0" w:line="129" w:lineRule="exact"/>
              <w:rPr>
                <w:sz w:val="20"/>
                <w:szCs w:val="20"/>
                <w:color w:val="auto"/>
              </w:rPr>
            </w:pPr>
            <w:r>
              <w:rPr>
                <w:rFonts w:ascii="Arial" w:cs="Arial" w:eastAsia="Arial" w:hAnsi="Arial"/>
                <w:sz w:val="14"/>
                <w:szCs w:val="14"/>
                <w:b w:val="1"/>
                <w:bCs w:val="1"/>
                <w:color w:val="auto"/>
              </w:rPr>
              <w:t>Metric</w:t>
            </w:r>
          </w:p>
        </w:tc>
        <w:tc>
          <w:tcPr>
            <w:tcW w:w="820" w:type="dxa"/>
            <w:vAlign w:val="bottom"/>
            <w:gridSpan w:val="3"/>
          </w:tcPr>
          <w:p>
            <w:pPr>
              <w:jc w:val="center"/>
              <w:ind w:left="68"/>
              <w:spacing w:after="0" w:line="129" w:lineRule="exact"/>
              <w:rPr>
                <w:sz w:val="20"/>
                <w:szCs w:val="20"/>
                <w:color w:val="auto"/>
              </w:rPr>
            </w:pPr>
            <w:r>
              <w:rPr>
                <w:rFonts w:ascii="Arial" w:cs="Arial" w:eastAsia="Arial" w:hAnsi="Arial"/>
                <w:sz w:val="14"/>
                <w:szCs w:val="14"/>
                <w:b w:val="1"/>
                <w:bCs w:val="1"/>
                <w:color w:val="auto"/>
                <w:w w:val="96"/>
              </w:rPr>
              <w:t>Metric</w:t>
            </w:r>
          </w:p>
        </w:tc>
        <w:tc>
          <w:tcPr>
            <w:tcW w:w="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0" w:type="dxa"/>
            <w:vAlign w:val="bottom"/>
            <w:gridSpan w:val="2"/>
          </w:tcPr>
          <w:p>
            <w:pPr>
              <w:jc w:val="center"/>
              <w:ind w:right="1180"/>
              <w:spacing w:after="0" w:line="129" w:lineRule="exact"/>
              <w:rPr>
                <w:sz w:val="20"/>
                <w:szCs w:val="20"/>
                <w:color w:val="auto"/>
              </w:rPr>
            </w:pPr>
            <w:r>
              <w:rPr>
                <w:rFonts w:ascii="Arial" w:cs="Arial" w:eastAsia="Arial" w:hAnsi="Arial"/>
                <w:sz w:val="14"/>
                <w:szCs w:val="14"/>
                <w:b w:val="1"/>
                <w:bCs w:val="1"/>
                <w:color w:val="auto"/>
                <w:w w:val="92"/>
              </w:rPr>
              <w:t>Potential Payout</w:t>
            </w:r>
          </w:p>
        </w:tc>
        <w:tc>
          <w:tcPr>
            <w:tcW w:w="162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2020 Target</w:t>
            </w: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5"/>
              </w:rPr>
              <w:t>2020 Actual (1)</w:t>
            </w:r>
          </w:p>
        </w:tc>
        <w:tc>
          <w:tcPr>
            <w:tcW w:w="12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Payout % earned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shd w:val="clear" w:color="auto" w:fill="CFF0FC"/>
          </w:tcPr>
          <w:p>
            <w:pPr>
              <w:spacing w:after="0" w:line="119" w:lineRule="exact"/>
              <w:rPr>
                <w:sz w:val="20"/>
                <w:szCs w:val="20"/>
                <w:color w:val="auto"/>
              </w:rPr>
            </w:pPr>
            <w:r>
              <w:rPr>
                <w:rFonts w:ascii="Arial" w:cs="Arial" w:eastAsia="Arial" w:hAnsi="Arial"/>
                <w:sz w:val="13"/>
                <w:szCs w:val="13"/>
                <w:b w:val="1"/>
                <w:bCs w:val="1"/>
                <w:color w:val="auto"/>
              </w:rPr>
              <w:t>Corporate</w:t>
            </w:r>
          </w:p>
        </w:tc>
        <w:tc>
          <w:tcPr>
            <w:tcW w:w="600" w:type="dxa"/>
            <w:vAlign w:val="bottom"/>
            <w:shd w:val="clear" w:color="auto" w:fill="CFF0FC"/>
          </w:tcPr>
          <w:p>
            <w:pPr>
              <w:ind w:left="260"/>
              <w:spacing w:after="0" w:line="119" w:lineRule="exact"/>
              <w:rPr>
                <w:sz w:val="20"/>
                <w:szCs w:val="20"/>
                <w:color w:val="auto"/>
              </w:rPr>
            </w:pPr>
            <w:r>
              <w:rPr>
                <w:rFonts w:ascii="Arial" w:cs="Arial" w:eastAsia="Arial" w:hAnsi="Arial"/>
                <w:sz w:val="13"/>
                <w:szCs w:val="13"/>
                <w:color w:val="auto"/>
                <w:w w:val="98"/>
              </w:rPr>
              <w:t>Sales</w:t>
            </w:r>
          </w:p>
        </w:tc>
        <w:tc>
          <w:tcPr>
            <w:tcW w:w="4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shd w:val="clear" w:color="auto" w:fill="CFF0FC"/>
          </w:tcPr>
          <w:p>
            <w:pPr>
              <w:jc w:val="center"/>
              <w:spacing w:after="0" w:line="119" w:lineRule="exact"/>
              <w:rPr>
                <w:sz w:val="20"/>
                <w:szCs w:val="20"/>
                <w:color w:val="auto"/>
              </w:rPr>
            </w:pPr>
            <w:r>
              <w:rPr>
                <w:rFonts w:ascii="Arial" w:cs="Arial" w:eastAsia="Arial" w:hAnsi="Arial"/>
                <w:sz w:val="13"/>
                <w:szCs w:val="13"/>
                <w:color w:val="auto"/>
                <w:w w:val="97"/>
              </w:rPr>
              <w:t>40.0%</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220" w:type="dxa"/>
            <w:vAlign w:val="bottom"/>
            <w:gridSpan w:val="3"/>
            <w:shd w:val="clear" w:color="auto" w:fill="CFF0FC"/>
          </w:tcPr>
          <w:p>
            <w:pPr>
              <w:ind w:left="20"/>
              <w:spacing w:after="0" w:line="119" w:lineRule="exact"/>
              <w:rPr>
                <w:sz w:val="20"/>
                <w:szCs w:val="20"/>
                <w:color w:val="auto"/>
              </w:rPr>
            </w:pPr>
            <w:r>
              <w:rPr>
                <w:rFonts w:ascii="Arial" w:cs="Arial" w:eastAsia="Arial" w:hAnsi="Arial"/>
                <w:sz w:val="13"/>
                <w:szCs w:val="13"/>
                <w:color w:val="auto"/>
              </w:rPr>
              <w:t>100% payout at target, with 50% payout at 94.1%</w:t>
            </w:r>
          </w:p>
        </w:tc>
        <w:tc>
          <w:tcPr>
            <w:tcW w:w="1620" w:type="dxa"/>
            <w:vAlign w:val="bottom"/>
            <w:gridSpan w:val="3"/>
            <w:shd w:val="clear" w:color="auto" w:fill="CFF0FC"/>
          </w:tcPr>
          <w:p>
            <w:pPr>
              <w:jc w:val="center"/>
              <w:ind w:right="340"/>
              <w:spacing w:after="0" w:line="119" w:lineRule="exact"/>
              <w:rPr>
                <w:sz w:val="20"/>
                <w:szCs w:val="20"/>
                <w:color w:val="auto"/>
              </w:rPr>
            </w:pPr>
            <w:r>
              <w:rPr>
                <w:rFonts w:ascii="Arial" w:cs="Arial" w:eastAsia="Arial" w:hAnsi="Arial"/>
                <w:sz w:val="13"/>
                <w:szCs w:val="13"/>
                <w:color w:val="auto"/>
              </w:rPr>
              <w:t>$341.5 million</w:t>
            </w:r>
          </w:p>
        </w:tc>
        <w:tc>
          <w:tcPr>
            <w:tcW w:w="1080" w:type="dxa"/>
            <w:vAlign w:val="bottom"/>
            <w:gridSpan w:val="2"/>
            <w:shd w:val="clear" w:color="auto" w:fill="CFF0FC"/>
          </w:tcPr>
          <w:p>
            <w:pPr>
              <w:jc w:val="center"/>
              <w:ind w:right="140"/>
              <w:spacing w:after="0" w:line="119" w:lineRule="exact"/>
              <w:rPr>
                <w:sz w:val="20"/>
                <w:szCs w:val="20"/>
                <w:color w:val="auto"/>
              </w:rPr>
            </w:pPr>
            <w:r>
              <w:rPr>
                <w:rFonts w:ascii="Arial" w:cs="Arial" w:eastAsia="Arial" w:hAnsi="Arial"/>
                <w:sz w:val="13"/>
                <w:szCs w:val="13"/>
                <w:color w:val="auto"/>
              </w:rPr>
              <w:t>$318.9 million</w:t>
            </w:r>
          </w:p>
        </w:tc>
        <w:tc>
          <w:tcPr>
            <w:tcW w:w="780" w:type="dxa"/>
            <w:vAlign w:val="bottom"/>
            <w:shd w:val="clear" w:color="auto" w:fill="CFF0FC"/>
          </w:tcPr>
          <w:p>
            <w:pPr>
              <w:jc w:val="center"/>
              <w:ind w:left="489"/>
              <w:spacing w:after="0" w:line="119" w:lineRule="exact"/>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8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6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20" w:type="dxa"/>
            <w:vAlign w:val="bottom"/>
            <w:gridSpan w:val="3"/>
            <w:shd w:val="clear" w:color="auto" w:fill="CFF0FC"/>
          </w:tcPr>
          <w:p>
            <w:pPr>
              <w:ind w:left="20"/>
              <w:spacing w:after="0" w:line="153" w:lineRule="exact"/>
              <w:rPr>
                <w:sz w:val="20"/>
                <w:szCs w:val="20"/>
                <w:color w:val="auto"/>
              </w:rPr>
            </w:pPr>
            <w:r>
              <w:rPr>
                <w:rFonts w:ascii="Arial" w:cs="Arial" w:eastAsia="Arial" w:hAnsi="Arial"/>
                <w:sz w:val="14"/>
                <w:szCs w:val="14"/>
                <w:color w:val="auto"/>
              </w:rPr>
              <w:t>of target and 150% payout at 105.9% of target,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with the exception of Mr. Kanter who was eligible</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for maximum payout of 200% at 105.9% of target.</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line="126" w:lineRule="exact"/>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260"/>
              <w:spacing w:after="0" w:line="126" w:lineRule="exact"/>
              <w:rPr>
                <w:sz w:val="20"/>
                <w:szCs w:val="20"/>
                <w:color w:val="auto"/>
              </w:rPr>
            </w:pPr>
            <w:r>
              <w:rPr>
                <w:rFonts w:ascii="Arial" w:cs="Arial" w:eastAsia="Arial" w:hAnsi="Arial"/>
                <w:sz w:val="14"/>
                <w:szCs w:val="14"/>
                <w:color w:val="auto"/>
              </w:rPr>
              <w:t>Adjusted EBITDA</w:t>
            </w:r>
          </w:p>
        </w:tc>
        <w:tc>
          <w:tcPr>
            <w:tcW w:w="680" w:type="dxa"/>
            <w:vAlign w:val="bottom"/>
            <w:gridSpan w:val="2"/>
          </w:tcPr>
          <w:p>
            <w:pPr>
              <w:jc w:val="center"/>
              <w:ind w:left="208"/>
              <w:spacing w:after="0" w:line="126" w:lineRule="exact"/>
              <w:rPr>
                <w:sz w:val="20"/>
                <w:szCs w:val="20"/>
                <w:color w:val="auto"/>
              </w:rPr>
            </w:pPr>
            <w:r>
              <w:rPr>
                <w:rFonts w:ascii="Arial" w:cs="Arial" w:eastAsia="Arial" w:hAnsi="Arial"/>
                <w:sz w:val="14"/>
                <w:szCs w:val="14"/>
                <w:color w:val="auto"/>
                <w:w w:val="90"/>
              </w:rPr>
              <w:t>40.0%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3"/>
          </w:tcPr>
          <w:p>
            <w:pPr>
              <w:ind w:left="20"/>
              <w:spacing w:after="0" w:line="126" w:lineRule="exact"/>
              <w:rPr>
                <w:sz w:val="20"/>
                <w:szCs w:val="20"/>
                <w:color w:val="auto"/>
              </w:rPr>
            </w:pPr>
            <w:r>
              <w:rPr>
                <w:rFonts w:ascii="Arial" w:cs="Arial" w:eastAsia="Arial" w:hAnsi="Arial"/>
                <w:sz w:val="14"/>
                <w:szCs w:val="14"/>
                <w:color w:val="auto"/>
              </w:rPr>
              <w:t>100% payout at target, with 50% payout at 89.1%</w:t>
            </w:r>
          </w:p>
        </w:tc>
        <w:tc>
          <w:tcPr>
            <w:tcW w:w="1620" w:type="dxa"/>
            <w:vAlign w:val="bottom"/>
            <w:gridSpan w:val="3"/>
          </w:tcPr>
          <w:p>
            <w:pPr>
              <w:jc w:val="center"/>
              <w:ind w:right="340"/>
              <w:spacing w:after="0" w:line="126" w:lineRule="exact"/>
              <w:rPr>
                <w:sz w:val="20"/>
                <w:szCs w:val="20"/>
                <w:color w:val="auto"/>
              </w:rPr>
            </w:pPr>
            <w:r>
              <w:rPr>
                <w:rFonts w:ascii="Arial" w:cs="Arial" w:eastAsia="Arial" w:hAnsi="Arial"/>
                <w:sz w:val="14"/>
                <w:szCs w:val="14"/>
                <w:color w:val="auto"/>
              </w:rPr>
              <w:t>$(36.7) million</w:t>
            </w: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4"/>
                <w:szCs w:val="14"/>
                <w:color w:val="auto"/>
                <w:w w:val="97"/>
              </w:rPr>
              <w:t>$(24.2) million</w:t>
            </w:r>
          </w:p>
        </w:tc>
        <w:tc>
          <w:tcPr>
            <w:tcW w:w="1200" w:type="dxa"/>
            <w:vAlign w:val="bottom"/>
            <w:gridSpan w:val="2"/>
          </w:tcPr>
          <w:p>
            <w:pPr>
              <w:jc w:val="center"/>
              <w:ind w:left="49"/>
              <w:spacing w:after="0" w:line="126" w:lineRule="exact"/>
              <w:rPr>
                <w:sz w:val="20"/>
                <w:szCs w:val="20"/>
                <w:color w:val="auto"/>
              </w:rPr>
            </w:pPr>
            <w:r>
              <w:rPr>
                <w:rFonts w:ascii="Arial" w:cs="Arial" w:eastAsia="Arial" w:hAnsi="Arial"/>
                <w:sz w:val="14"/>
                <w:szCs w:val="14"/>
                <w:color w:val="auto"/>
                <w:w w:val="92"/>
              </w:rPr>
              <w:t>150.0%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80" w:type="dxa"/>
            <w:vAlign w:val="bottom"/>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3"/>
          </w:tcPr>
          <w:p>
            <w:pPr>
              <w:ind w:left="20"/>
              <w:spacing w:after="0" w:line="153" w:lineRule="exact"/>
              <w:rPr>
                <w:sz w:val="20"/>
                <w:szCs w:val="20"/>
                <w:color w:val="auto"/>
              </w:rPr>
            </w:pPr>
            <w:r>
              <w:rPr>
                <w:rFonts w:ascii="Arial" w:cs="Arial" w:eastAsia="Arial" w:hAnsi="Arial"/>
                <w:sz w:val="14"/>
                <w:szCs w:val="14"/>
                <w:color w:val="auto"/>
                <w:w w:val="99"/>
              </w:rPr>
              <w:t>of target and 150% payout at 110.9% of target, with</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spacing w:after="0" w:line="153" w:lineRule="exact"/>
              <w:rPr>
                <w:sz w:val="20"/>
                <w:szCs w:val="20"/>
                <w:color w:val="auto"/>
              </w:rPr>
            </w:pPr>
            <w:r>
              <w:rPr>
                <w:rFonts w:ascii="Arial" w:cs="Arial" w:eastAsia="Arial" w:hAnsi="Arial"/>
                <w:sz w:val="14"/>
                <w:szCs w:val="14"/>
                <w:color w:val="auto"/>
                <w:w w:val="96"/>
              </w:rPr>
              <w:t>(200% for Mr.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the exception of Mr. Kanter who was eligible for a</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maximum payout of 200% at 110.9% of target.</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Personal Target 3 </w:t>
            </w:r>
            <w:r>
              <w:rPr>
                <w:rFonts w:ascii="Arial" w:cs="Arial" w:eastAsia="Arial" w:hAnsi="Arial"/>
                <w:sz w:val="14"/>
                <w:szCs w:val="14"/>
                <w:color w:val="auto"/>
              </w:rPr>
              <w:t>Discretionary –</w:t>
            </w:r>
          </w:p>
        </w:tc>
        <w:tc>
          <w:tcPr>
            <w:tcW w:w="680" w:type="dxa"/>
            <w:vAlign w:val="bottom"/>
            <w:gridSpan w:val="2"/>
          </w:tcPr>
          <w:p>
            <w:pPr>
              <w:jc w:val="center"/>
              <w:ind w:left="208"/>
              <w:spacing w:after="0"/>
              <w:rPr>
                <w:sz w:val="20"/>
                <w:szCs w:val="20"/>
                <w:color w:val="auto"/>
              </w:rPr>
            </w:pPr>
            <w:r>
              <w:rPr>
                <w:rFonts w:ascii="Arial" w:cs="Arial" w:eastAsia="Arial" w:hAnsi="Arial"/>
                <w:sz w:val="14"/>
                <w:szCs w:val="14"/>
                <w:color w:val="auto"/>
                <w:w w:val="90"/>
              </w:rPr>
              <w:t>20.0%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Discretionary, at target, based upon individual</w:t>
            </w:r>
          </w:p>
        </w:tc>
        <w:tc>
          <w:tcPr>
            <w:tcW w:w="16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Varies by NEO</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Varies by NEO</w:t>
            </w:r>
          </w:p>
        </w:tc>
        <w:tc>
          <w:tcPr>
            <w:tcW w:w="120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20.0%-30.0%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38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Personal Goals</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performance, as evaluated by the CEO (except with</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(40.0% for Mr.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respect to the CEO whose individual performance</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was evaluated by the Compensation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Committee). Participants were eligible to receive a</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discretionary award up to 30%, with the exception</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-560705</wp:posOffset>
            </wp:positionV>
            <wp:extent cx="6617970"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7970" cy="754380"/>
                    </a:xfrm>
                    <a:prstGeom prst="rect">
                      <a:avLst/>
                    </a:prstGeom>
                    <a:noFill/>
                  </pic:spPr>
                </pic:pic>
              </a:graphicData>
            </a:graphic>
          </wp:anchor>
        </w:drawing>
      </w:r>
    </w:p>
    <w:p>
      <w:pPr>
        <w:ind w:left="3240"/>
        <w:spacing w:after="0" w:line="221" w:lineRule="auto"/>
        <w:rPr>
          <w:sz w:val="20"/>
          <w:szCs w:val="20"/>
          <w:color w:val="auto"/>
        </w:rPr>
      </w:pPr>
      <w:r>
        <w:rPr>
          <w:rFonts w:ascii="Arial" w:cs="Arial" w:eastAsia="Arial" w:hAnsi="Arial"/>
          <w:sz w:val="14"/>
          <w:szCs w:val="14"/>
          <w:color w:val="auto"/>
        </w:rPr>
        <w:t>of Mr. Kanter who was eligible to receive a</w:t>
      </w:r>
    </w:p>
    <w:p>
      <w:pPr>
        <w:ind w:left="3240"/>
        <w:spacing w:after="0"/>
        <w:rPr>
          <w:sz w:val="20"/>
          <w:szCs w:val="20"/>
          <w:color w:val="auto"/>
        </w:rPr>
      </w:pPr>
      <w:r>
        <w:rPr>
          <w:rFonts w:ascii="Arial" w:cs="Arial" w:eastAsia="Arial" w:hAnsi="Arial"/>
          <w:sz w:val="14"/>
          <w:szCs w:val="14"/>
          <w:color w:val="auto"/>
        </w:rPr>
        <w:t>discretionary award up to 40%. (2)</w:t>
      </w:r>
    </w:p>
    <w:p>
      <w:pPr>
        <w:spacing w:after="0" w:line="192" w:lineRule="exact"/>
        <w:rPr>
          <w:sz w:val="20"/>
          <w:szCs w:val="20"/>
          <w:color w:val="auto"/>
        </w:rPr>
      </w:pPr>
    </w:p>
    <w:p>
      <w:pPr>
        <w:ind w:left="1360" w:right="80" w:hanging="368"/>
        <w:spacing w:after="0" w:line="238"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permitted under the AIP and approved by the Compensation Committee, fiscal 2020 actual results were adjusted to exclude the impairment of assets. The sales and adjusted EBITDA targets for fiscal 2020 were based on the Company’s May 2020 forecast, which reflected management’s best estimate at the time for the potential impact of the COVID-19 pandemic on its results.</w:t>
      </w:r>
    </w:p>
    <w:p>
      <w:pPr>
        <w:spacing w:after="0" w:line="182" w:lineRule="exact"/>
        <w:rPr>
          <w:rFonts w:ascii="Arial" w:cs="Arial" w:eastAsia="Arial" w:hAnsi="Arial"/>
          <w:sz w:val="14"/>
          <w:szCs w:val="14"/>
          <w:color w:val="auto"/>
        </w:rPr>
      </w:pPr>
    </w:p>
    <w:p>
      <w:pPr>
        <w:ind w:left="1360" w:right="40" w:hanging="368"/>
        <w:spacing w:after="0" w:line="242" w:lineRule="auto"/>
        <w:tabs>
          <w:tab w:leader="none" w:pos="1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Personal goals are part of the Company’s annual performance review. At the start of the fiscal year, each associate, including each of our Named Executive Officers, develops his/her “SMART” goals, each containing a quantifiable measure, which are approved by the CEO. As a result of the pandemic, which forced the closure of all of our stores and threatened the Company’s viability, the overarching objectives of our senior leadership team pivoted substantially. All participants were measured against their ability to react proactively, adapt and identify new and alternative approaches to help drive sales, reduce costs, preserve cash, keep our furloughed/laid-off associates engaged and informed, and establish effective COVID-19 protections and protocols for our remaining staff and our customers. The personal goals for Messrs. Dhoot, Molloy and Gaeta consisted of a combination of quantifiable goals specific to their respective corporate function, such as acceleration of all aspects of the digital platform, ensuring daily compliance with COVID-19 restrictions in each state/county and city, converting some of our stores to mini-warehouses when they were closed to the public to help with the increase in online ordering and then, once re-opened, transitioning our stores to enable our customers to buy online and pick-up at curbside/in-store and to shop socially-distanced amidst other safety protocols. The personal goals for our CFO were quantifiable and were primarily tied to preserving liquidity, managing and reducing expenses (including store rent deferments and abatements) in light of the expected substantial decrease in store revenues. Our CEO’s personal goals were primarily tied to managing the financial performance and liquidity of the Company, and in leading the Company’s operational organization tactically through the pandemic while also leading all of the business units to keep looking ahead strategically to what may be needed in the next 3, 6 or 12 months, or longer term.</w:t>
      </w:r>
    </w:p>
    <w:p>
      <w:pPr>
        <w:spacing w:after="0" w:line="191" w:lineRule="exact"/>
        <w:rPr>
          <w:sz w:val="20"/>
          <w:szCs w:val="20"/>
          <w:color w:val="auto"/>
        </w:rPr>
      </w:pPr>
    </w:p>
    <w:p>
      <w:pPr>
        <w:ind w:left="360" w:right="320"/>
        <w:spacing w:after="0" w:line="308" w:lineRule="auto"/>
        <w:rPr>
          <w:sz w:val="20"/>
          <w:szCs w:val="20"/>
          <w:color w:val="auto"/>
        </w:rPr>
      </w:pPr>
      <w:r>
        <w:rPr>
          <w:rFonts w:ascii="Arial" w:cs="Arial" w:eastAsia="Arial" w:hAnsi="Arial"/>
          <w:sz w:val="17"/>
          <w:szCs w:val="17"/>
          <w:color w:val="auto"/>
        </w:rPr>
        <w:t>As a result of achieving certain performance targets for fiscal 2020, as shown above, in March 2021 the Compensation Committee approved, subject to the completion of the audited financial statements, cash bonus payouts to our NEOs as follows:</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2"/>
          </w:tcPr>
          <w:p>
            <w:pPr>
              <w:ind w:left="340"/>
              <w:spacing w:after="0"/>
              <w:rPr>
                <w:sz w:val="20"/>
                <w:szCs w:val="20"/>
                <w:color w:val="auto"/>
              </w:rPr>
            </w:pPr>
            <w:r>
              <w:rPr>
                <w:rFonts w:ascii="Arial" w:cs="Arial" w:eastAsia="Arial" w:hAnsi="Arial"/>
                <w:sz w:val="14"/>
                <w:szCs w:val="14"/>
                <w:b w:val="1"/>
                <w:bCs w:val="1"/>
                <w:color w:val="auto"/>
              </w:rPr>
              <w:t>Payout at</w:t>
            </w:r>
          </w:p>
        </w:tc>
        <w:tc>
          <w:tcPr>
            <w:tcW w:w="2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Target (1)</w:t>
            </w:r>
          </w:p>
        </w:tc>
        <w:tc>
          <w:tcPr>
            <w:tcW w:w="340" w:type="dxa"/>
            <w:vAlign w:val="bottom"/>
            <w:vMerge w:val="restart"/>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Payout %</w:t>
            </w:r>
          </w:p>
        </w:tc>
        <w:tc>
          <w:tcPr>
            <w:tcW w:w="2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2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Payout $</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56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CFF0FC"/>
            </w:tcBorders>
            <w:vMerge w:val="continue"/>
          </w:tcPr>
          <w:p>
            <w:pPr>
              <w:spacing w:after="0"/>
              <w:rPr>
                <w:sz w:val="5"/>
                <w:szCs w:val="5"/>
                <w:color w:val="auto"/>
              </w:rPr>
            </w:pPr>
          </w:p>
        </w:tc>
        <w:tc>
          <w:tcPr>
            <w:tcW w:w="206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CFF0FC"/>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686,942</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Peter H. Stratton, Jr.</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203,045</w:t>
            </w:r>
          </w:p>
        </w:tc>
        <w:tc>
          <w:tcPr>
            <w:tcW w:w="3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6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148,264</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Robert S. Molloy</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175,240</w:t>
            </w:r>
          </w:p>
        </w:tc>
        <w:tc>
          <w:tcPr>
            <w:tcW w:w="3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140,192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6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110,285</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360" w:hanging="368"/>
        <w:spacing w:after="0"/>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potential payout at target for each Named Executive Officer was lower in fiscal 2020 due to the temporary reduction in pay discussed above.</w:t>
      </w:r>
    </w:p>
    <w:p>
      <w:pPr>
        <w:spacing w:after="0" w:line="200" w:lineRule="exact"/>
        <w:rPr>
          <w:sz w:val="20"/>
          <w:szCs w:val="20"/>
          <w:color w:val="auto"/>
        </w:rPr>
      </w:pPr>
    </w:p>
    <w:p>
      <w:pPr>
        <w:spacing w:after="0" w:line="2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20"/>
          </w:cols>
          <w:pgMar w:left="740" w:top="341"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u w:val="single" w:color="auto"/>
          <w:color w:val="auto"/>
        </w:rPr>
        <w:t>2021 AIP</w:t>
      </w:r>
    </w:p>
    <w:p>
      <w:pPr>
        <w:spacing w:after="0" w:line="225" w:lineRule="exact"/>
        <w:rPr>
          <w:sz w:val="20"/>
          <w:szCs w:val="20"/>
          <w:color w:val="auto"/>
        </w:rPr>
      </w:pPr>
    </w:p>
    <w:p>
      <w:pPr>
        <w:ind w:left="20" w:right="200"/>
        <w:spacing w:after="0" w:line="263" w:lineRule="auto"/>
        <w:rPr>
          <w:sz w:val="20"/>
          <w:szCs w:val="20"/>
          <w:color w:val="auto"/>
        </w:rPr>
      </w:pPr>
      <w:r>
        <w:rPr>
          <w:rFonts w:ascii="Arial" w:cs="Arial" w:eastAsia="Arial" w:hAnsi="Arial"/>
          <w:sz w:val="18"/>
          <w:szCs w:val="18"/>
          <w:color w:val="auto"/>
        </w:rPr>
        <w:t>On April 1, 2021, the Compensation Committee established the financial and operating metrics for the 2021 AIP. The 2021 AIP metrics were expanded from the 2020 AIP to include functional departmental targets for Store Operations, Marketing &amp; Digital, and Merchandise/Planning and Allocation.</w:t>
      </w:r>
    </w:p>
    <w:p>
      <w:pPr>
        <w:spacing w:after="0" w:line="76" w:lineRule="exact"/>
        <w:rPr>
          <w:sz w:val="20"/>
          <w:szCs w:val="20"/>
          <w:color w:val="auto"/>
        </w:rPr>
      </w:pPr>
    </w:p>
    <w:p>
      <w:pPr>
        <w:ind w:left="20" w:right="40"/>
        <w:spacing w:after="0" w:line="293" w:lineRule="auto"/>
        <w:rPr>
          <w:sz w:val="20"/>
          <w:szCs w:val="20"/>
          <w:color w:val="auto"/>
        </w:rPr>
      </w:pPr>
      <w:r>
        <w:rPr>
          <w:rFonts w:ascii="Arial" w:cs="Arial" w:eastAsia="Arial" w:hAnsi="Arial"/>
          <w:sz w:val="16"/>
          <w:szCs w:val="16"/>
          <w:color w:val="auto"/>
        </w:rPr>
        <w:t>The Company’s financial performance metrics for the 2021 AIP include Sales and Adjusted EBITDA and represent 80% of the AIP for Messrs. Kanter, Stratton and Molloy and 40% for Messrs. Dhoot and Gaeta. Messrs. Dhoot and Gaeta’s performance metrics include specific marketing and store operation targets, respectively, and represent 40% of their respective AIP. Discretionary personal goals represent the remaining 20%. The performance targets for fiscal 2020 were set after the start of the pandemic and as a result were based on the expectation that Adjusted EBITDA would be negative. For the 2021 AIP, the performance targets assume that Adjusted EBITDA will be positive for fiscal 2021, although still below historical levels, which, given initial fiscal 2021 performance, still implied meaningful volatility and uncertainty with respect to the pandemic.</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2021 AIP performance metrics approved by the Compensation Committee are as follows:</w:t>
      </w: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Award %</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0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Award %</w:t>
            </w:r>
          </w:p>
        </w:tc>
        <w:tc>
          <w:tcPr>
            <w:tcW w:w="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Award %</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Metric, other</w:t>
            </w:r>
          </w:p>
        </w:tc>
        <w:tc>
          <w:tcPr>
            <w:tcW w:w="1020" w:type="dxa"/>
            <w:vAlign w:val="bottom"/>
            <w:gridSpan w:val="5"/>
            <w:vMerge w:val="continue"/>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than Messrs.</w:t>
            </w:r>
          </w:p>
        </w:tc>
        <w:tc>
          <w:tcPr>
            <w:tcW w:w="10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9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5"/>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Dhoot and</w:t>
            </w:r>
          </w:p>
        </w:tc>
        <w:tc>
          <w:tcPr>
            <w:tcW w:w="102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98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2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w w:val="96"/>
              </w:rPr>
              <w:t>Metric</w:t>
            </w:r>
          </w:p>
        </w:tc>
        <w:tc>
          <w:tcPr>
            <w:tcW w:w="3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2"/>
            <w:vMerge w:val="restart"/>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Gaeta</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Dhoot</w:t>
            </w:r>
          </w:p>
        </w:tc>
        <w:tc>
          <w:tcPr>
            <w:tcW w:w="320" w:type="dxa"/>
            <w:vAlign w:val="bottom"/>
          </w:tcPr>
          <w:p>
            <w:pPr>
              <w:spacing w:after="0"/>
              <w:rPr>
                <w:sz w:val="11"/>
                <w:szCs w:val="11"/>
                <w:color w:val="auto"/>
              </w:rPr>
            </w:pPr>
          </w:p>
        </w:tc>
        <w:tc>
          <w:tcPr>
            <w:tcW w:w="66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Gaeta</w:t>
            </w:r>
          </w:p>
        </w:tc>
        <w:tc>
          <w:tcPr>
            <w:tcW w:w="94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360" w:type="dxa"/>
            <w:vAlign w:val="bottom"/>
            <w:shd w:val="clear" w:color="auto" w:fill="CFF0FC"/>
          </w:tcPr>
          <w:p>
            <w:pPr>
              <w:spacing w:after="0" w:line="119" w:lineRule="exact"/>
              <w:rPr>
                <w:sz w:val="20"/>
                <w:szCs w:val="20"/>
                <w:color w:val="auto"/>
              </w:rPr>
            </w:pPr>
            <w:r>
              <w:rPr>
                <w:rFonts w:ascii="Arial" w:cs="Arial" w:eastAsia="Arial" w:hAnsi="Arial"/>
                <w:sz w:val="13"/>
                <w:szCs w:val="13"/>
                <w:b w:val="1"/>
                <w:bCs w:val="1"/>
                <w:color w:val="auto"/>
              </w:rPr>
              <w:t>Corporate</w:t>
            </w:r>
          </w:p>
        </w:tc>
        <w:tc>
          <w:tcPr>
            <w:tcW w:w="1380" w:type="dxa"/>
            <w:vAlign w:val="bottom"/>
            <w:gridSpan w:val="3"/>
            <w:shd w:val="clear" w:color="auto" w:fill="CFF0FC"/>
          </w:tcPr>
          <w:p>
            <w:pPr>
              <w:ind w:left="340"/>
              <w:spacing w:after="0" w:line="119" w:lineRule="exact"/>
              <w:rPr>
                <w:sz w:val="20"/>
                <w:szCs w:val="20"/>
                <w:color w:val="auto"/>
              </w:rPr>
            </w:pPr>
            <w:r>
              <w:rPr>
                <w:rFonts w:ascii="Arial" w:cs="Arial" w:eastAsia="Arial" w:hAnsi="Arial"/>
                <w:sz w:val="13"/>
                <w:szCs w:val="13"/>
                <w:color w:val="auto"/>
              </w:rPr>
              <w:t>Sales</w:t>
            </w:r>
          </w:p>
        </w:tc>
        <w:tc>
          <w:tcPr>
            <w:tcW w:w="840" w:type="dxa"/>
            <w:vAlign w:val="bottom"/>
            <w:gridSpan w:val="4"/>
            <w:shd w:val="clear" w:color="auto" w:fill="CFF0FC"/>
          </w:tcPr>
          <w:p>
            <w:pPr>
              <w:jc w:val="center"/>
              <w:ind w:left="129"/>
              <w:spacing w:after="0" w:line="119" w:lineRule="exact"/>
              <w:rPr>
                <w:sz w:val="20"/>
                <w:szCs w:val="20"/>
                <w:color w:val="auto"/>
              </w:rPr>
            </w:pPr>
            <w:r>
              <w:rPr>
                <w:rFonts w:ascii="Arial" w:cs="Arial" w:eastAsia="Arial" w:hAnsi="Arial"/>
                <w:sz w:val="13"/>
                <w:szCs w:val="13"/>
                <w:color w:val="auto"/>
                <w:w w:val="97"/>
              </w:rPr>
              <w:t>40.0%</w:t>
            </w:r>
          </w:p>
        </w:tc>
        <w:tc>
          <w:tcPr>
            <w:tcW w:w="2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center"/>
              <w:ind w:left="249"/>
              <w:spacing w:after="0" w:line="119" w:lineRule="exact"/>
              <w:rPr>
                <w:sz w:val="20"/>
                <w:szCs w:val="20"/>
                <w:color w:val="auto"/>
              </w:rPr>
            </w:pPr>
            <w:r>
              <w:rPr>
                <w:rFonts w:ascii="Arial" w:cs="Arial" w:eastAsia="Arial" w:hAnsi="Arial"/>
                <w:sz w:val="13"/>
                <w:szCs w:val="13"/>
                <w:color w:val="auto"/>
                <w:w w:val="97"/>
              </w:rPr>
              <w:t>20.0%</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center"/>
              <w:ind w:left="249"/>
              <w:spacing w:after="0" w:line="119" w:lineRule="exact"/>
              <w:rPr>
                <w:sz w:val="20"/>
                <w:szCs w:val="20"/>
                <w:color w:val="auto"/>
              </w:rPr>
            </w:pPr>
            <w:r>
              <w:rPr>
                <w:rFonts w:ascii="Arial" w:cs="Arial" w:eastAsia="Arial" w:hAnsi="Arial"/>
                <w:sz w:val="13"/>
                <w:szCs w:val="13"/>
                <w:color w:val="auto"/>
                <w:w w:val="97"/>
              </w:rPr>
              <w:t>20.0%</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920" w:type="dxa"/>
            <w:vAlign w:val="bottom"/>
            <w:gridSpan w:val="3"/>
            <w:shd w:val="clear" w:color="auto" w:fill="CFF0FC"/>
          </w:tcPr>
          <w:p>
            <w:pPr>
              <w:ind w:left="20"/>
              <w:spacing w:after="0" w:line="119" w:lineRule="exact"/>
              <w:rPr>
                <w:sz w:val="20"/>
                <w:szCs w:val="20"/>
                <w:color w:val="auto"/>
              </w:rPr>
            </w:pPr>
            <w:r>
              <w:rPr>
                <w:rFonts w:ascii="Arial" w:cs="Arial" w:eastAsia="Arial" w:hAnsi="Arial"/>
                <w:sz w:val="13"/>
                <w:szCs w:val="13"/>
                <w:color w:val="auto"/>
              </w:rPr>
              <w:t>100% payout at target, with 50% payout at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6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920" w:type="dxa"/>
            <w:vAlign w:val="bottom"/>
            <w:gridSpan w:val="3"/>
            <w:shd w:val="clear" w:color="auto" w:fill="CFF0FC"/>
          </w:tcPr>
          <w:p>
            <w:pPr>
              <w:ind w:left="20"/>
              <w:spacing w:after="0" w:line="153" w:lineRule="exact"/>
              <w:rPr>
                <w:sz w:val="20"/>
                <w:szCs w:val="20"/>
                <w:color w:val="auto"/>
              </w:rPr>
            </w:pPr>
            <w:r>
              <w:rPr>
                <w:rFonts w:ascii="Arial" w:cs="Arial" w:eastAsia="Arial" w:hAnsi="Arial"/>
                <w:sz w:val="14"/>
                <w:szCs w:val="14"/>
                <w:color w:val="auto"/>
                <w:w w:val="99"/>
              </w:rPr>
              <w:t>95.7% of target and 150% payout at 104.3%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for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9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104.3% of target.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60" w:type="dxa"/>
            <w:vAlign w:val="bottom"/>
          </w:tcPr>
          <w:p>
            <w:pPr>
              <w:spacing w:after="0" w:line="126" w:lineRule="exact"/>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340"/>
              <w:spacing w:after="0" w:line="126" w:lineRule="exact"/>
              <w:rPr>
                <w:sz w:val="20"/>
                <w:szCs w:val="20"/>
                <w:color w:val="auto"/>
              </w:rPr>
            </w:pPr>
            <w:r>
              <w:rPr>
                <w:rFonts w:ascii="Arial" w:cs="Arial" w:eastAsia="Arial" w:hAnsi="Arial"/>
                <w:sz w:val="14"/>
                <w:szCs w:val="14"/>
                <w:color w:val="auto"/>
              </w:rPr>
              <w:t>Adjusted</w:t>
            </w:r>
          </w:p>
        </w:tc>
        <w:tc>
          <w:tcPr>
            <w:tcW w:w="840" w:type="dxa"/>
            <w:vAlign w:val="bottom"/>
            <w:gridSpan w:val="4"/>
          </w:tcPr>
          <w:p>
            <w:pPr>
              <w:jc w:val="center"/>
              <w:ind w:left="129"/>
              <w:spacing w:after="0" w:line="126" w:lineRule="exact"/>
              <w:rPr>
                <w:sz w:val="20"/>
                <w:szCs w:val="20"/>
                <w:color w:val="auto"/>
              </w:rPr>
            </w:pPr>
            <w:r>
              <w:rPr>
                <w:rFonts w:ascii="Arial" w:cs="Arial" w:eastAsia="Arial" w:hAnsi="Arial"/>
                <w:sz w:val="14"/>
                <w:szCs w:val="14"/>
                <w:color w:val="auto"/>
                <w:w w:val="90"/>
              </w:rPr>
              <w:t>40.0%</w:t>
            </w:r>
          </w:p>
        </w:tc>
        <w:tc>
          <w:tcPr>
            <w:tcW w:w="220" w:type="dxa"/>
            <w:vAlign w:val="bottom"/>
          </w:tcPr>
          <w:p>
            <w:pPr>
              <w:spacing w:after="0"/>
              <w:rPr>
                <w:sz w:val="10"/>
                <w:szCs w:val="10"/>
                <w:color w:val="auto"/>
              </w:rPr>
            </w:pPr>
          </w:p>
        </w:tc>
        <w:tc>
          <w:tcPr>
            <w:tcW w:w="720" w:type="dxa"/>
            <w:vAlign w:val="bottom"/>
            <w:gridSpan w:val="2"/>
          </w:tcPr>
          <w:p>
            <w:pPr>
              <w:jc w:val="center"/>
              <w:ind w:left="249"/>
              <w:spacing w:after="0" w:line="126" w:lineRule="exact"/>
              <w:rPr>
                <w:sz w:val="20"/>
                <w:szCs w:val="20"/>
                <w:color w:val="auto"/>
              </w:rPr>
            </w:pPr>
            <w:r>
              <w:rPr>
                <w:rFonts w:ascii="Arial" w:cs="Arial" w:eastAsia="Arial" w:hAnsi="Arial"/>
                <w:sz w:val="14"/>
                <w:szCs w:val="14"/>
                <w:color w:val="auto"/>
                <w:w w:val="90"/>
              </w:rPr>
              <w:t>20.0%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jc w:val="center"/>
              <w:ind w:left="209"/>
              <w:spacing w:after="0" w:line="126" w:lineRule="exact"/>
              <w:rPr>
                <w:sz w:val="20"/>
                <w:szCs w:val="20"/>
                <w:color w:val="auto"/>
              </w:rPr>
            </w:pPr>
            <w:r>
              <w:rPr>
                <w:rFonts w:ascii="Arial" w:cs="Arial" w:eastAsia="Arial" w:hAnsi="Arial"/>
                <w:sz w:val="14"/>
                <w:szCs w:val="14"/>
                <w:color w:val="auto"/>
                <w:w w:val="90"/>
              </w:rPr>
              <w:t>20.0%</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3"/>
          </w:tcPr>
          <w:p>
            <w:pPr>
              <w:ind w:left="20"/>
              <w:spacing w:after="0" w:line="126" w:lineRule="exact"/>
              <w:rPr>
                <w:sz w:val="20"/>
                <w:szCs w:val="20"/>
                <w:color w:val="auto"/>
              </w:rPr>
            </w:pPr>
            <w:r>
              <w:rPr>
                <w:rFonts w:ascii="Arial" w:cs="Arial" w:eastAsia="Arial" w:hAnsi="Arial"/>
                <w:sz w:val="14"/>
                <w:szCs w:val="14"/>
                <w:color w:val="auto"/>
              </w:rPr>
              <w:t>100% payout at target, with 50% payout at</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1380" w:type="dxa"/>
            <w:vAlign w:val="bottom"/>
            <w:gridSpan w:val="3"/>
          </w:tcPr>
          <w:p>
            <w:pPr>
              <w:ind w:left="340"/>
              <w:spacing w:after="0" w:line="153" w:lineRule="exact"/>
              <w:rPr>
                <w:sz w:val="20"/>
                <w:szCs w:val="20"/>
                <w:color w:val="auto"/>
              </w:rPr>
            </w:pPr>
            <w:r>
              <w:rPr>
                <w:rFonts w:ascii="Arial" w:cs="Arial" w:eastAsia="Arial" w:hAnsi="Arial"/>
                <w:sz w:val="14"/>
                <w:szCs w:val="14"/>
                <w:color w:val="auto"/>
              </w:rPr>
              <w:t>EBITDA</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3"/>
          </w:tcPr>
          <w:p>
            <w:pPr>
              <w:ind w:left="20"/>
              <w:spacing w:after="0" w:line="153" w:lineRule="exact"/>
              <w:rPr>
                <w:sz w:val="20"/>
                <w:szCs w:val="20"/>
                <w:color w:val="auto"/>
              </w:rPr>
            </w:pPr>
            <w:r>
              <w:rPr>
                <w:rFonts w:ascii="Arial" w:cs="Arial" w:eastAsia="Arial" w:hAnsi="Arial"/>
                <w:sz w:val="14"/>
                <w:szCs w:val="14"/>
                <w:color w:val="auto"/>
                <w:w w:val="99"/>
              </w:rPr>
              <w:t>64.5% of target and 150% payout at 135.5%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eligible for a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135.5% of target.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Personal Target 3</w:t>
            </w:r>
          </w:p>
        </w:tc>
        <w:tc>
          <w:tcPr>
            <w:tcW w:w="1380" w:type="dxa"/>
            <w:vAlign w:val="bottom"/>
            <w:gridSpan w:val="3"/>
            <w:shd w:val="clear" w:color="auto" w:fill="CFF0FC"/>
          </w:tcPr>
          <w:p>
            <w:pPr>
              <w:ind w:left="340"/>
              <w:spacing w:after="0" w:line="130" w:lineRule="exact"/>
              <w:rPr>
                <w:sz w:val="20"/>
                <w:szCs w:val="20"/>
                <w:color w:val="auto"/>
              </w:rPr>
            </w:pPr>
            <w:r>
              <w:rPr>
                <w:rFonts w:ascii="Arial" w:cs="Arial" w:eastAsia="Arial" w:hAnsi="Arial"/>
                <w:sz w:val="14"/>
                <w:szCs w:val="14"/>
                <w:color w:val="auto"/>
              </w:rPr>
              <w:t>Discretionary-</w:t>
            </w:r>
          </w:p>
        </w:tc>
        <w:tc>
          <w:tcPr>
            <w:tcW w:w="840" w:type="dxa"/>
            <w:vAlign w:val="bottom"/>
            <w:gridSpan w:val="4"/>
            <w:shd w:val="clear" w:color="auto" w:fill="CFF0FC"/>
          </w:tcPr>
          <w:p>
            <w:pPr>
              <w:jc w:val="center"/>
              <w:ind w:left="129"/>
              <w:spacing w:after="0" w:line="130" w:lineRule="exact"/>
              <w:rPr>
                <w:sz w:val="20"/>
                <w:szCs w:val="20"/>
                <w:color w:val="auto"/>
              </w:rPr>
            </w:pPr>
            <w:r>
              <w:rPr>
                <w:rFonts w:ascii="Arial" w:cs="Arial" w:eastAsia="Arial" w:hAnsi="Arial"/>
                <w:sz w:val="14"/>
                <w:szCs w:val="14"/>
                <w:color w:val="auto"/>
                <w:w w:val="90"/>
              </w:rPr>
              <w:t>20.0%</w:t>
            </w:r>
          </w:p>
        </w:tc>
        <w:tc>
          <w:tcPr>
            <w:tcW w:w="2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center"/>
              <w:ind w:left="249"/>
              <w:spacing w:after="0" w:line="130" w:lineRule="exact"/>
              <w:rPr>
                <w:sz w:val="20"/>
                <w:szCs w:val="20"/>
                <w:color w:val="auto"/>
              </w:rPr>
            </w:pPr>
            <w:r>
              <w:rPr>
                <w:rFonts w:ascii="Arial" w:cs="Arial" w:eastAsia="Arial" w:hAnsi="Arial"/>
                <w:sz w:val="14"/>
                <w:szCs w:val="14"/>
                <w:color w:val="auto"/>
                <w:w w:val="90"/>
              </w:rPr>
              <w:t>20.0%</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center"/>
              <w:ind w:left="209"/>
              <w:spacing w:after="0" w:line="130" w:lineRule="exact"/>
              <w:rPr>
                <w:sz w:val="20"/>
                <w:szCs w:val="20"/>
                <w:color w:val="auto"/>
              </w:rPr>
            </w:pPr>
            <w:r>
              <w:rPr>
                <w:rFonts w:ascii="Arial" w:cs="Arial" w:eastAsia="Arial" w:hAnsi="Arial"/>
                <w:sz w:val="14"/>
                <w:szCs w:val="14"/>
                <w:color w:val="auto"/>
                <w:w w:val="90"/>
              </w:rPr>
              <w:t>20.0%</w:t>
            </w: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920" w:type="dxa"/>
            <w:vAlign w:val="bottom"/>
            <w:gridSpan w:val="3"/>
            <w:shd w:val="clear" w:color="auto" w:fill="CFF0FC"/>
          </w:tcPr>
          <w:p>
            <w:pPr>
              <w:ind w:left="20"/>
              <w:spacing w:after="0" w:line="130" w:lineRule="exact"/>
              <w:rPr>
                <w:sz w:val="20"/>
                <w:szCs w:val="20"/>
                <w:color w:val="auto"/>
              </w:rPr>
            </w:pPr>
            <w:r>
              <w:rPr>
                <w:rFonts w:ascii="Arial" w:cs="Arial" w:eastAsia="Arial" w:hAnsi="Arial"/>
                <w:sz w:val="14"/>
                <w:szCs w:val="14"/>
                <w:color w:val="auto"/>
              </w:rPr>
              <w:t>Discretionary, at target, based upon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1380" w:type="dxa"/>
            <w:vAlign w:val="bottom"/>
            <w:gridSpan w:val="3"/>
            <w:shd w:val="clear" w:color="auto" w:fill="CFF0FC"/>
          </w:tcPr>
          <w:p>
            <w:pPr>
              <w:ind w:left="340"/>
              <w:spacing w:after="0" w:line="149" w:lineRule="exact"/>
              <w:rPr>
                <w:sz w:val="20"/>
                <w:szCs w:val="20"/>
                <w:color w:val="auto"/>
              </w:rPr>
            </w:pPr>
            <w:r>
              <w:rPr>
                <w:rFonts w:ascii="Arial" w:cs="Arial" w:eastAsia="Arial" w:hAnsi="Arial"/>
                <w:sz w:val="14"/>
                <w:szCs w:val="14"/>
                <w:color w:val="auto"/>
              </w:rPr>
              <w:t>Personal Goals</w:t>
            </w: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w w:val="98"/>
              </w:rPr>
              <w:t>performance, as evaluated by the CEO (except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with respect to the CEO whose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performance will be evaluated by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Compensation Committee). Participants 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30%,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40%.</w:t>
            </w:r>
          </w:p>
        </w:tc>
        <w:tc>
          <w:tcPr>
            <w:tcW w:w="10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b w:val="1"/>
                <w:bCs w:val="1"/>
                <w:color w:val="auto"/>
              </w:rPr>
              <w:t>Departmental Goals, if applicable</w:t>
            </w:r>
          </w:p>
        </w:tc>
        <w:tc>
          <w:tcPr>
            <w:tcW w:w="1380" w:type="dxa"/>
            <w:vAlign w:val="bottom"/>
            <w:gridSpan w:val="3"/>
          </w:tcPr>
          <w:p>
            <w:pPr>
              <w:ind w:left="340"/>
              <w:spacing w:after="0" w:line="130" w:lineRule="exact"/>
              <w:rPr>
                <w:sz w:val="20"/>
                <w:szCs w:val="20"/>
                <w:color w:val="auto"/>
              </w:rPr>
            </w:pPr>
            <w:r>
              <w:rPr>
                <w:rFonts w:ascii="Arial" w:cs="Arial" w:eastAsia="Arial" w:hAnsi="Arial"/>
                <w:sz w:val="14"/>
                <w:szCs w:val="14"/>
                <w:color w:val="auto"/>
              </w:rPr>
              <w:t>Marketing &amp;</w:t>
            </w:r>
          </w:p>
        </w:tc>
        <w:tc>
          <w:tcPr>
            <w:tcW w:w="580" w:type="dxa"/>
            <w:vAlign w:val="bottom"/>
            <w:gridSpan w:val="2"/>
          </w:tcPr>
          <w:p>
            <w:pPr>
              <w:jc w:val="center"/>
              <w:ind w:left="389"/>
              <w:spacing w:after="0" w:line="130"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left="249"/>
              <w:spacing w:after="0" w:line="130" w:lineRule="exact"/>
              <w:rPr>
                <w:sz w:val="20"/>
                <w:szCs w:val="20"/>
                <w:color w:val="auto"/>
              </w:rPr>
            </w:pPr>
            <w:r>
              <w:rPr>
                <w:rFonts w:ascii="Arial" w:cs="Arial" w:eastAsia="Arial" w:hAnsi="Arial"/>
                <w:sz w:val="14"/>
                <w:szCs w:val="14"/>
                <w:color w:val="auto"/>
                <w:w w:val="90"/>
              </w:rPr>
              <w:t>40.0%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left="249"/>
              <w:spacing w:after="0" w:line="130"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Includes DXL.com sales target, promotional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Digital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6"/>
              </w:rPr>
              <w:t>markdown rate target and advertising sales ratio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 target.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w w:val="96"/>
              </w:rPr>
              <w:t>Store Operations</w:t>
            </w:r>
          </w:p>
        </w:tc>
        <w:tc>
          <w:tcPr>
            <w:tcW w:w="580" w:type="dxa"/>
            <w:vAlign w:val="bottom"/>
            <w:gridSpan w:val="2"/>
          </w:tcPr>
          <w:p>
            <w:pPr>
              <w:jc w:val="center"/>
              <w:ind w:left="389"/>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3"/>
          </w:tcPr>
          <w:p>
            <w:pPr>
              <w:jc w:val="center"/>
              <w:ind w:left="209"/>
              <w:spacing w:after="0"/>
              <w:rPr>
                <w:sz w:val="20"/>
                <w:szCs w:val="20"/>
                <w:color w:val="auto"/>
              </w:rPr>
            </w:pPr>
            <w:r>
              <w:rPr>
                <w:rFonts w:ascii="Arial" w:cs="Arial" w:eastAsia="Arial" w:hAnsi="Arial"/>
                <w:sz w:val="14"/>
                <w:szCs w:val="14"/>
                <w:color w:val="auto"/>
                <w:w w:val="90"/>
              </w:rPr>
              <w:t>40.0%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w w:val="96"/>
              </w:rPr>
              <w:t>Includes payroll as a percentage of sales 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net promoter score percentage target and store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conversion target.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right="120"/>
        <w:spacing w:after="0" w:line="286" w:lineRule="auto"/>
        <w:rPr>
          <w:sz w:val="20"/>
          <w:szCs w:val="20"/>
          <w:color w:val="auto"/>
        </w:rPr>
      </w:pPr>
      <w:r>
        <w:rPr>
          <w:rFonts w:ascii="Arial" w:cs="Arial" w:eastAsia="Arial" w:hAnsi="Arial"/>
          <w:sz w:val="17"/>
          <w:szCs w:val="17"/>
          <w:color w:val="auto"/>
        </w:rPr>
        <w:t>The above targets for each metric are derived from the Company’s annual operating plan and budget for the 2021 fiscal year, and are intended to be achievable, with an approximate 50% probability. The likelihood of achieving the 2021 targets reflects the challenges inherent in achieving the goals and objectives of an ambitious operating plan and budget, given the continued uncertainty of the COVID-19 pandemic.</w:t>
      </w:r>
    </w:p>
    <w:p>
      <w:pPr>
        <w:spacing w:after="0" w:line="165"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For fiscal 2021, Mr. Kanter will participate at 100% of his salary, Mr. Stratton will participate at 55% of his salary, Messrs. Dhoot and Molloy will participate at 50% of their respective salaries and Mr. Gaeta will participate at 40% of his salary.</w:t>
      </w:r>
    </w:p>
    <w:p>
      <w:pPr>
        <w:spacing w:after="0" w:line="170" w:lineRule="exact"/>
        <w:rPr>
          <w:sz w:val="20"/>
          <w:szCs w:val="20"/>
          <w:color w:val="auto"/>
        </w:rPr>
      </w:pPr>
    </w:p>
    <w:p>
      <w:pPr>
        <w:ind w:left="260" w:hanging="253"/>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25" w:lineRule="exact"/>
        <w:rPr>
          <w:rFonts w:ascii="Arial" w:cs="Arial" w:eastAsia="Arial" w:hAnsi="Arial"/>
          <w:sz w:val="18"/>
          <w:szCs w:val="18"/>
          <w:color w:val="auto"/>
        </w:rPr>
      </w:pPr>
    </w:p>
    <w:p>
      <w:pPr>
        <w:ind w:left="26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3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557"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6"/>
          <w:szCs w:val="16"/>
          <w:color w:val="auto"/>
        </w:rPr>
        <w:t>The performance period for the Company’s 2018-2020 LTIP ended on January 30, 2021. The performance targets, which were established by the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Compensation Committee on October 24, 2018, and the actual performance achieved were as follows:</w:t>
      </w:r>
    </w:p>
    <w:p>
      <w:pPr>
        <w:spacing w:after="0" w:line="103"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2018-2020 LTIP Performance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Metric</w:t>
            </w:r>
          </w:p>
        </w:tc>
        <w:tc>
          <w:tcPr>
            <w:tcW w:w="120" w:type="dxa"/>
            <w:vAlign w:val="bottom"/>
            <w:vMerge w:val="restart"/>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 of each</w:t>
            </w:r>
          </w:p>
        </w:tc>
        <w:tc>
          <w:tcPr>
            <w:tcW w:w="392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Potential Payout</w:t>
            </w:r>
          </w:p>
        </w:tc>
        <w:tc>
          <w:tcPr>
            <w:tcW w:w="120" w:type="dxa"/>
            <w:vAlign w:val="bottom"/>
            <w:vMerge w:val="restart"/>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20" w:type="dxa"/>
            <w:vAlign w:val="bottom"/>
            <w:vMerge w:val="restart"/>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Actual</w:t>
            </w:r>
          </w:p>
        </w:tc>
        <w:tc>
          <w:tcPr>
            <w:tcW w:w="260" w:type="dxa"/>
            <w:vAlign w:val="bottom"/>
            <w:vMerge w:val="restart"/>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w:t>
            </w:r>
          </w:p>
        </w:tc>
        <w:tc>
          <w:tcPr>
            <w:tcW w:w="120" w:type="dxa"/>
            <w:vAlign w:val="bottom"/>
            <w:tcBorders>
              <w:bottom w:val="single" w:sz="8" w:color="CFF0FC"/>
            </w:tcBorders>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Three-year Adjusted EBITDA margin</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7"/>
              </w:rPr>
              <w:t>100% payout at target, with 50% payout at 85.7% of target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and 150% payout at 114.3% of target.</w:t>
            </w:r>
          </w:p>
        </w:tc>
        <w:tc>
          <w:tcPr>
            <w:tcW w:w="8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66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gridSpan w:val="2"/>
          </w:tcPr>
          <w:p>
            <w:pPr>
              <w:spacing w:after="0"/>
              <w:rPr>
                <w:sz w:val="20"/>
                <w:szCs w:val="20"/>
                <w:color w:val="auto"/>
              </w:rPr>
            </w:pPr>
            <w:r>
              <w:rPr>
                <w:rFonts w:ascii="Arial" w:cs="Arial" w:eastAsia="Arial" w:hAnsi="Arial"/>
                <w:sz w:val="16"/>
                <w:szCs w:val="16"/>
                <w:color w:val="auto"/>
              </w:rPr>
              <w:t>Three-year relative total shareholder return as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98"/>
              </w:rPr>
              <w:t>100% payout at target (2nd quartile, with 50% payout (3rd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gridSpan w:val="2"/>
          </w:tcPr>
          <w:p>
            <w:pPr>
              <w:spacing w:after="0"/>
              <w:rPr>
                <w:sz w:val="20"/>
                <w:szCs w:val="20"/>
                <w:color w:val="auto"/>
              </w:rPr>
            </w:pPr>
            <w:r>
              <w:rPr>
                <w:rFonts w:ascii="Arial" w:cs="Arial" w:eastAsia="Arial" w:hAnsi="Arial"/>
                <w:sz w:val="16"/>
                <w:szCs w:val="16"/>
                <w:color w:val="auto"/>
                <w:w w:val="95"/>
              </w:rPr>
              <w:t>compared to the Company's 2018 proxy disclosed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97"/>
              </w:rPr>
              <w:t>quartile) and 150% payout (1st quartile). No payout if TSR</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2nd</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4th</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3400" w:type="dxa"/>
            <w:vAlign w:val="bottom"/>
            <w:gridSpan w:val="2"/>
          </w:tcPr>
          <w:p>
            <w:pPr>
              <w:spacing w:after="0"/>
              <w:rPr>
                <w:sz w:val="20"/>
                <w:szCs w:val="20"/>
                <w:color w:val="auto"/>
              </w:rPr>
            </w:pPr>
            <w:r>
              <w:rPr>
                <w:rFonts w:ascii="Arial" w:cs="Arial" w:eastAsia="Arial" w:hAnsi="Arial"/>
                <w:sz w:val="16"/>
                <w:szCs w:val="16"/>
                <w:color w:val="auto"/>
              </w:rPr>
              <w:t xml:space="preserve">peer group </w:t>
            </w:r>
            <w:r>
              <w:rPr>
                <w:rFonts w:ascii="Arial" w:cs="Arial" w:eastAsia="Arial" w:hAnsi="Arial"/>
                <w:sz w:val="27"/>
                <w:szCs w:val="27"/>
                <w:color w:val="auto"/>
                <w:vertAlign w:val="superscript"/>
              </w:rPr>
              <w:t>(1)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falls in the fourth quartile.</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quartile</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quartile</w:t>
            </w:r>
          </w:p>
        </w:tc>
        <w:tc>
          <w:tcPr>
            <w:tcW w:w="6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120" w:hanging="370"/>
        <w:spacing w:after="0" w:line="253" w:lineRule="auto"/>
        <w:tabs>
          <w:tab w:leader="none" w:pos="1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Company and the 2018 disclosed proxy peers, the three-year relative total shareholder return was calculated as a percentage change in the 30-day volume-weighted average closing stock price at February 2, 2018 and January 29, 2021, adjusted for any dividends paid.</w:t>
      </w:r>
    </w:p>
    <w:p>
      <w:pPr>
        <w:spacing w:after="0" w:line="28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targets under the 2018-2020 LTIP were set prior to the COVID-19 pandemic, which had a material impact on the Company’s financial results in fiscal 2020 but the targets were not modified to reflect the effects of the pandemic. The minimum thresholds for the two metrics were not achieved and, as a result, there was no performance-based payout under the 2018-2020 LTIP.</w:t>
      </w:r>
    </w:p>
    <w:p>
      <w:pPr>
        <w:spacing w:after="0" w:line="76"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However, given the unprecedented impact of the pandemic, on March 9, 2021, the Committee approved the discretionary grant of stock options to Mr. Kanter and all active members of management who were participants in the 2018-2020 LTIP. The Committee considered various factors in making the awards, including the need to ensure that the Company retains and motivates key employees to successfully drive its business forward beyond the pandemic to create additional long-term stockholder value. The calculation of the stock option awards was determined upon the same calculation as would have been made had the 2018-2020 LTIP achieved a 12.5% achievement of the performance-based metric. Accordingly, after the end of fiscal 2020, on March 9, 2021, the Committee approved a discretionary grant to all current participants in the LTIP of stock options to purchase up to an aggregate of 414,337 shares of common stock, at an exercise price of $0.75 per share. The total dollar value of the award was $198,258. All stock options will vest ratably over three years, with the first tranche vesting on March 9, 2022. Of the total 414,337 shares granted pursuant to the stock options, 77,516 shares are subject to shareholder approval within one-year from date of grant. If such shares are not approved by shareholders, the awards will be settled in cash.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18"/>
          <w:szCs w:val="18"/>
          <w:color w:val="auto"/>
        </w:rPr>
        <w:t>The following is a summary of the two other LTIPs in effect, but not completed, during fiscal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Summary of LTIPs</w:t>
            </w:r>
          </w:p>
        </w:tc>
        <w:tc>
          <w:tcPr>
            <w:tcW w:w="200" w:type="dxa"/>
            <w:vAlign w:val="bottom"/>
            <w:tcBorders>
              <w:bottom w:val="single" w:sz="8" w:color="CFF0FC"/>
            </w:tcBorders>
          </w:tcPr>
          <w:p>
            <w:pPr>
              <w:spacing w:after="0"/>
              <w:rPr>
                <w:sz w:val="18"/>
                <w:szCs w:val="18"/>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2019-2021</w:t>
            </w: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3440" w:type="dxa"/>
            <w:vAlign w:val="bottom"/>
            <w:tcBorders>
              <w:bottom w:val="single" w:sz="8" w:color="auto"/>
            </w:tcBorders>
            <w:gridSpan w:val="8"/>
          </w:tcPr>
          <w:p>
            <w:pPr>
              <w:jc w:val="right"/>
              <w:ind w:right="1019"/>
              <w:spacing w:after="0"/>
              <w:rPr>
                <w:sz w:val="20"/>
                <w:szCs w:val="20"/>
                <w:color w:val="auto"/>
              </w:rPr>
            </w:pPr>
            <w:r>
              <w:rPr>
                <w:rFonts w:ascii="Arial" w:cs="Arial" w:eastAsia="Arial" w:hAnsi="Arial"/>
                <w:sz w:val="16"/>
                <w:szCs w:val="16"/>
                <w:b w:val="1"/>
                <w:bCs w:val="1"/>
                <w:color w:val="auto"/>
              </w:rPr>
              <w:t>2020-2022 (1)</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Effective date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720" w:type="dxa"/>
            <w:vAlign w:val="bottom"/>
            <w:gridSpan w:val="7"/>
            <w:shd w:val="clear" w:color="auto" w:fill="CFF0FC"/>
          </w:tcPr>
          <w:p>
            <w:pPr>
              <w:jc w:val="center"/>
              <w:ind w:right="1680"/>
              <w:spacing w:after="0"/>
              <w:rPr>
                <w:sz w:val="20"/>
                <w:szCs w:val="20"/>
                <w:color w:val="auto"/>
              </w:rPr>
            </w:pPr>
            <w:r>
              <w:rPr>
                <w:rFonts w:ascii="Arial" w:cs="Arial" w:eastAsia="Arial" w:hAnsi="Arial"/>
                <w:sz w:val="16"/>
                <w:szCs w:val="16"/>
                <w:color w:val="auto"/>
                <w:w w:val="92"/>
              </w:rPr>
              <w:t>August 7, 2019</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520" w:type="dxa"/>
            <w:vAlign w:val="bottom"/>
            <w:gridSpan w:val="7"/>
            <w:shd w:val="clear" w:color="auto" w:fill="CFF0FC"/>
          </w:tcPr>
          <w:p>
            <w:pPr>
              <w:jc w:val="center"/>
              <w:ind w:right="1460"/>
              <w:spacing w:after="0"/>
              <w:rPr>
                <w:sz w:val="20"/>
                <w:szCs w:val="20"/>
                <w:color w:val="auto"/>
              </w:rPr>
            </w:pPr>
            <w:r>
              <w:rPr>
                <w:rFonts w:ascii="Arial" w:cs="Arial" w:eastAsia="Arial" w:hAnsi="Arial"/>
                <w:sz w:val="16"/>
                <w:szCs w:val="16"/>
                <w:color w:val="auto"/>
                <w:w w:val="88"/>
              </w:rPr>
              <w:t>June 11, 2020</w:t>
            </w:r>
          </w:p>
        </w:tc>
        <w:tc>
          <w:tcPr>
            <w:tcW w:w="0" w:type="dxa"/>
            <w:vAlign w:val="bottom"/>
          </w:tcPr>
          <w:p>
            <w:pPr>
              <w:spacing w:after="0"/>
              <w:rPr>
                <w:sz w:val="1"/>
                <w:szCs w:val="1"/>
                <w:color w:val="auto"/>
              </w:rPr>
            </w:pPr>
          </w:p>
        </w:tc>
      </w:tr>
      <w:tr>
        <w:trPr>
          <w:trHeight w:val="213"/>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6"/>
          </w:tcPr>
          <w:p>
            <w:pPr>
              <w:jc w:val="center"/>
              <w:ind w:right="2020"/>
              <w:spacing w:after="0"/>
              <w:rPr>
                <w:sz w:val="20"/>
                <w:szCs w:val="20"/>
                <w:color w:val="auto"/>
              </w:rPr>
            </w:pPr>
            <w:r>
              <w:rPr>
                <w:rFonts w:ascii="Arial" w:cs="Arial" w:eastAsia="Arial" w:hAnsi="Arial"/>
                <w:sz w:val="16"/>
                <w:szCs w:val="16"/>
                <w:color w:val="auto"/>
                <w:w w:val="92"/>
              </w:rPr>
              <w:t>3yrs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148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19"/>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End of Performance Period</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80" w:type="dxa"/>
            <w:vAlign w:val="bottom"/>
            <w:gridSpan w:val="8"/>
            <w:shd w:val="clear" w:color="auto" w:fill="CFF0FC"/>
          </w:tcPr>
          <w:p>
            <w:pPr>
              <w:jc w:val="center"/>
              <w:ind w:right="1520"/>
              <w:spacing w:after="0"/>
              <w:rPr>
                <w:sz w:val="20"/>
                <w:szCs w:val="20"/>
                <w:color w:val="auto"/>
              </w:rPr>
            </w:pPr>
            <w:r>
              <w:rPr>
                <w:rFonts w:ascii="Arial" w:cs="Arial" w:eastAsia="Arial" w:hAnsi="Arial"/>
                <w:sz w:val="16"/>
                <w:szCs w:val="16"/>
                <w:color w:val="auto"/>
                <w:w w:val="90"/>
              </w:rPr>
              <w:t>January 29, 2022</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700" w:type="dxa"/>
            <w:vAlign w:val="bottom"/>
            <w:gridSpan w:val="8"/>
            <w:shd w:val="clear" w:color="auto" w:fill="CFF0FC"/>
          </w:tcPr>
          <w:p>
            <w:pPr>
              <w:jc w:val="center"/>
              <w:ind w:right="1280"/>
              <w:spacing w:after="0"/>
              <w:rPr>
                <w:sz w:val="20"/>
                <w:szCs w:val="20"/>
                <w:color w:val="auto"/>
              </w:rPr>
            </w:pPr>
            <w:r>
              <w:rPr>
                <w:rFonts w:ascii="Arial" w:cs="Arial" w:eastAsia="Arial" w:hAnsi="Arial"/>
                <w:sz w:val="16"/>
                <w:szCs w:val="16"/>
                <w:color w:val="auto"/>
                <w:w w:val="88"/>
              </w:rPr>
              <w:t>January 28, 2023</w:t>
            </w:r>
          </w:p>
        </w:tc>
        <w:tc>
          <w:tcPr>
            <w:tcW w:w="0" w:type="dxa"/>
            <w:vAlign w:val="bottom"/>
          </w:tcPr>
          <w:p>
            <w:pPr>
              <w:spacing w:after="0"/>
              <w:rPr>
                <w:sz w:val="1"/>
                <w:szCs w:val="1"/>
                <w:color w:val="auto"/>
              </w:rPr>
            </w:pPr>
          </w:p>
        </w:tc>
      </w:tr>
      <w:tr>
        <w:trPr>
          <w:trHeight w:val="210"/>
        </w:trPr>
        <w:tc>
          <w:tcPr>
            <w:tcW w:w="3360" w:type="dxa"/>
            <w:vAlign w:val="bottom"/>
            <w:gridSpan w:val="3"/>
          </w:tcPr>
          <w:p>
            <w:pPr>
              <w:spacing w:after="0"/>
              <w:rPr>
                <w:sz w:val="20"/>
                <w:szCs w:val="20"/>
                <w:color w:val="auto"/>
              </w:rPr>
            </w:pPr>
            <w:r>
              <w:rPr>
                <w:rFonts w:ascii="Arial" w:cs="Arial" w:eastAsia="Arial" w:hAnsi="Arial"/>
                <w:sz w:val="16"/>
                <w:szCs w:val="16"/>
                <w:color w:val="auto"/>
              </w:rPr>
              <w:t>Target cash value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9"/>
          </w:tcPr>
          <w:p>
            <w:pPr>
              <w:jc w:val="center"/>
              <w:ind w:right="1040"/>
              <w:spacing w:after="0"/>
              <w:rPr>
                <w:sz w:val="20"/>
                <w:szCs w:val="20"/>
                <w:color w:val="auto"/>
              </w:rPr>
            </w:pPr>
            <w:r>
              <w:rPr>
                <w:rFonts w:ascii="Arial" w:cs="Arial" w:eastAsia="Arial" w:hAnsi="Arial"/>
                <w:sz w:val="16"/>
                <w:szCs w:val="16"/>
                <w:color w:val="auto"/>
                <w:w w:val="93"/>
              </w:rPr>
              <w:t>Annual Salary * Participation Rate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9"/>
          </w:tcPr>
          <w:p>
            <w:pPr>
              <w:jc w:val="center"/>
              <w:ind w:right="84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397"/>
        </w:trPr>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5"/>
          </w:tcPr>
          <w:p>
            <w:pPr>
              <w:jc w:val="center"/>
              <w:ind w:left="100"/>
              <w:spacing w:after="0"/>
              <w:rPr>
                <w:sz w:val="20"/>
                <w:szCs w:val="20"/>
                <w:color w:val="auto"/>
              </w:rPr>
            </w:pPr>
            <w:r>
              <w:rPr>
                <w:rFonts w:ascii="Arial" w:cs="Arial" w:eastAsia="Arial" w:hAnsi="Arial"/>
                <w:sz w:val="16"/>
                <w:szCs w:val="16"/>
                <w:color w:val="auto"/>
                <w:w w:val="90"/>
              </w:rPr>
              <w:t>Time-Based</w:t>
            </w:r>
          </w:p>
        </w:tc>
        <w:tc>
          <w:tcPr>
            <w:tcW w:w="2380" w:type="dxa"/>
            <w:vAlign w:val="bottom"/>
            <w:gridSpan w:val="6"/>
          </w:tcPr>
          <w:p>
            <w:pPr>
              <w:jc w:val="center"/>
              <w:ind w:right="60"/>
              <w:spacing w:after="0"/>
              <w:rPr>
                <w:sz w:val="20"/>
                <w:szCs w:val="20"/>
                <w:color w:val="auto"/>
              </w:rPr>
            </w:pPr>
            <w:r>
              <w:rPr>
                <w:rFonts w:ascii="Arial" w:cs="Arial" w:eastAsia="Arial" w:hAnsi="Arial"/>
                <w:sz w:val="16"/>
                <w:szCs w:val="16"/>
                <w:color w:val="auto"/>
                <w:w w:val="89"/>
              </w:rPr>
              <w:t>Performance-Based</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2"/>
              </w:rPr>
              <w:t>Time-Based</w:t>
            </w:r>
          </w:p>
        </w:tc>
        <w:tc>
          <w:tcPr>
            <w:tcW w:w="1960" w:type="dxa"/>
            <w:vAlign w:val="bottom"/>
            <w:gridSpan w:val="6"/>
          </w:tcPr>
          <w:p>
            <w:pPr>
              <w:jc w:val="center"/>
              <w:ind w:right="40"/>
              <w:spacing w:after="0"/>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Allocation of Target Cash Value</w:t>
            </w:r>
          </w:p>
        </w:tc>
        <w:tc>
          <w:tcPr>
            <w:tcW w:w="1140" w:type="dxa"/>
            <w:vAlign w:val="bottom"/>
            <w:gridSpan w:val="3"/>
            <w:shd w:val="clear" w:color="auto" w:fill="CFF0FC"/>
          </w:tcPr>
          <w:p>
            <w:pPr>
              <w:jc w:val="center"/>
              <w:ind w:left="600"/>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center"/>
              <w:ind w:left="5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center"/>
              <w:ind w:left="620"/>
              <w:spacing w:after="0"/>
              <w:rPr>
                <w:sz w:val="20"/>
                <w:szCs w:val="20"/>
                <w:color w:val="auto"/>
              </w:rPr>
            </w:pPr>
            <w:r>
              <w:rPr>
                <w:rFonts w:ascii="Arial" w:cs="Arial" w:eastAsia="Arial" w:hAnsi="Arial"/>
                <w:sz w:val="16"/>
                <w:szCs w:val="16"/>
                <w:color w:val="auto"/>
                <w:w w:val="93"/>
              </w:rPr>
              <w:t>50%</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center"/>
              <w:ind w:left="3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5"/>
          </w:tcPr>
          <w:p>
            <w:pPr>
              <w:jc w:val="center"/>
              <w:ind w:left="120"/>
              <w:spacing w:after="0"/>
              <w:rPr>
                <w:sz w:val="20"/>
                <w:szCs w:val="20"/>
                <w:color w:val="auto"/>
              </w:rPr>
            </w:pPr>
            <w:r>
              <w:rPr>
                <w:rFonts w:ascii="Arial" w:cs="Arial" w:eastAsia="Arial" w:hAnsi="Arial"/>
                <w:sz w:val="16"/>
                <w:szCs w:val="16"/>
                <w:color w:val="auto"/>
                <w:w w:val="91"/>
              </w:rPr>
              <w:t>at effective date: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4"/>
          </w:tcPr>
          <w:p>
            <w:pPr>
              <w:jc w:val="center"/>
              <w:ind w:right="660"/>
              <w:spacing w:after="0"/>
              <w:rPr>
                <w:sz w:val="20"/>
                <w:szCs w:val="20"/>
                <w:color w:val="auto"/>
              </w:rPr>
            </w:pPr>
            <w:r>
              <w:rPr>
                <w:rFonts w:ascii="Arial" w:cs="Arial" w:eastAsia="Arial" w:hAnsi="Arial"/>
                <w:sz w:val="16"/>
                <w:szCs w:val="16"/>
                <w:color w:val="auto"/>
                <w:w w:val="89"/>
              </w:rPr>
              <w:t>RSUs, Cash or a</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1"/>
              </w:rPr>
              <w:t>at effective date: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8"/>
              </w:rPr>
              <w:t>RSUs, Cash or a</w:t>
            </w:r>
          </w:p>
        </w:tc>
        <w:tc>
          <w:tcPr>
            <w:tcW w:w="0" w:type="dxa"/>
            <w:vAlign w:val="bottom"/>
          </w:tcPr>
          <w:p>
            <w:pPr>
              <w:spacing w:after="0"/>
              <w:rPr>
                <w:sz w:val="1"/>
                <w:szCs w:val="1"/>
                <w:color w:val="auto"/>
              </w:rPr>
            </w:pPr>
          </w:p>
        </w:tc>
      </w:tr>
      <w:tr>
        <w:trPr>
          <w:trHeight w:val="203"/>
        </w:trPr>
        <w:tc>
          <w:tcPr>
            <w:tcW w:w="3360" w:type="dxa"/>
            <w:vAlign w:val="bottom"/>
            <w:gridSpan w:val="3"/>
          </w:tcPr>
          <w:p>
            <w:pPr>
              <w:spacing w:after="0"/>
              <w:rPr>
                <w:sz w:val="20"/>
                <w:szCs w:val="20"/>
                <w:color w:val="auto"/>
              </w:rPr>
            </w:pPr>
            <w:r>
              <w:rPr>
                <w:rFonts w:ascii="Arial" w:cs="Arial" w:eastAsia="Arial" w:hAnsi="Arial"/>
                <w:sz w:val="16"/>
                <w:szCs w:val="16"/>
                <w:color w:val="auto"/>
              </w:rPr>
              <w:t>Award type</w:t>
            </w:r>
          </w:p>
        </w:tc>
        <w:tc>
          <w:tcPr>
            <w:tcW w:w="520" w:type="dxa"/>
            <w:vAlign w:val="bottom"/>
          </w:tcPr>
          <w:p>
            <w:pPr>
              <w:spacing w:after="0"/>
              <w:rPr>
                <w:sz w:val="17"/>
                <w:szCs w:val="17"/>
                <w:color w:val="auto"/>
              </w:rPr>
            </w:pPr>
          </w:p>
        </w:tc>
        <w:tc>
          <w:tcPr>
            <w:tcW w:w="1120" w:type="dxa"/>
            <w:vAlign w:val="bottom"/>
            <w:gridSpan w:val="4"/>
          </w:tcPr>
          <w:p>
            <w:pPr>
              <w:jc w:val="center"/>
              <w:ind w:right="239"/>
              <w:spacing w:after="0"/>
              <w:rPr>
                <w:sz w:val="20"/>
                <w:szCs w:val="20"/>
                <w:color w:val="auto"/>
              </w:rPr>
            </w:pPr>
            <w:r>
              <w:rPr>
                <w:rFonts w:ascii="Arial" w:cs="Arial" w:eastAsia="Arial" w:hAnsi="Arial"/>
                <w:sz w:val="16"/>
                <w:szCs w:val="16"/>
                <w:color w:val="auto"/>
                <w:w w:val="91"/>
              </w:rPr>
              <w:t>50% RSUs</w:t>
            </w:r>
          </w:p>
        </w:tc>
        <w:tc>
          <w:tcPr>
            <w:tcW w:w="2380" w:type="dxa"/>
            <w:vAlign w:val="bottom"/>
            <w:gridSpan w:val="6"/>
          </w:tcPr>
          <w:p>
            <w:pPr>
              <w:jc w:val="center"/>
              <w:ind w:right="60"/>
              <w:spacing w:after="0"/>
              <w:rPr>
                <w:sz w:val="20"/>
                <w:szCs w:val="20"/>
                <w:color w:val="auto"/>
              </w:rPr>
            </w:pPr>
            <w:r>
              <w:rPr>
                <w:rFonts w:ascii="Arial" w:cs="Arial" w:eastAsia="Arial" w:hAnsi="Arial"/>
                <w:sz w:val="16"/>
                <w:szCs w:val="16"/>
                <w:color w:val="auto"/>
                <w:w w:val="93"/>
              </w:rPr>
              <w:t>combination thereof,</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1"/>
              </w:rPr>
              <w:t>50% Options</w:t>
            </w:r>
          </w:p>
        </w:tc>
        <w:tc>
          <w:tcPr>
            <w:tcW w:w="1960" w:type="dxa"/>
            <w:vAlign w:val="bottom"/>
            <w:gridSpan w:val="6"/>
          </w:tcPr>
          <w:p>
            <w:pPr>
              <w:ind w:left="100"/>
              <w:spacing w:after="0"/>
              <w:rPr>
                <w:sz w:val="20"/>
                <w:szCs w:val="20"/>
                <w:color w:val="auto"/>
              </w:rPr>
            </w:pPr>
            <w:r>
              <w:rPr>
                <w:rFonts w:ascii="Arial" w:cs="Arial" w:eastAsia="Arial" w:hAnsi="Arial"/>
                <w:sz w:val="16"/>
                <w:szCs w:val="16"/>
                <w:color w:val="auto"/>
                <w:w w:val="98"/>
              </w:rPr>
              <w:t>combination thereof, when</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4"/>
          </w:tcPr>
          <w:p>
            <w:pPr>
              <w:jc w:val="center"/>
              <w:ind w:right="259"/>
              <w:spacing w:after="0"/>
              <w:rPr>
                <w:sz w:val="20"/>
                <w:szCs w:val="20"/>
                <w:color w:val="auto"/>
              </w:rPr>
            </w:pPr>
            <w:r>
              <w:rPr>
                <w:rFonts w:ascii="Arial" w:cs="Arial" w:eastAsia="Arial" w:hAnsi="Arial"/>
                <w:sz w:val="16"/>
                <w:szCs w:val="16"/>
                <w:color w:val="auto"/>
                <w:w w:val="89"/>
              </w:rPr>
              <w:t>50% Cash</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6"/>
                <w:szCs w:val="16"/>
                <w:color w:val="auto"/>
                <w:w w:val="88"/>
              </w:rPr>
              <w:t>when earned</w:t>
            </w:r>
          </w:p>
        </w:tc>
        <w:tc>
          <w:tcPr>
            <w:tcW w:w="540" w:type="dxa"/>
            <w:vAlign w:val="bottom"/>
          </w:tcPr>
          <w:p>
            <w:pPr>
              <w:spacing w:after="0"/>
              <w:rPr>
                <w:sz w:val="18"/>
                <w:szCs w:val="18"/>
                <w:color w:val="auto"/>
              </w:rPr>
            </w:pPr>
          </w:p>
        </w:tc>
        <w:tc>
          <w:tcPr>
            <w:tcW w:w="1360" w:type="dxa"/>
            <w:vAlign w:val="bottom"/>
            <w:gridSpan w:val="4"/>
          </w:tcPr>
          <w:p>
            <w:pPr>
              <w:jc w:val="center"/>
              <w:ind w:right="499"/>
              <w:spacing w:after="0"/>
              <w:rPr>
                <w:sz w:val="20"/>
                <w:szCs w:val="20"/>
                <w:color w:val="auto"/>
              </w:rPr>
            </w:pPr>
            <w:r>
              <w:rPr>
                <w:rFonts w:ascii="Arial" w:cs="Arial" w:eastAsia="Arial" w:hAnsi="Arial"/>
                <w:sz w:val="16"/>
                <w:szCs w:val="16"/>
                <w:color w:val="auto"/>
                <w:w w:val="89"/>
              </w:rPr>
              <w:t>50% Cash</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4"/>
              </w:rPr>
              <w:t>earned</w:t>
            </w:r>
          </w:p>
        </w:tc>
        <w:tc>
          <w:tcPr>
            <w:tcW w:w="0" w:type="dxa"/>
            <w:vAlign w:val="bottom"/>
          </w:tcPr>
          <w:p>
            <w:pPr>
              <w:spacing w:after="0"/>
              <w:rPr>
                <w:sz w:val="1"/>
                <w:szCs w:val="1"/>
                <w:color w:val="auto"/>
              </w:rPr>
            </w:pPr>
          </w:p>
        </w:tc>
      </w:tr>
      <w:tr>
        <w:trPr>
          <w:trHeight w:val="209"/>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center"/>
              <w:ind w:left="100"/>
              <w:spacing w:after="0"/>
              <w:rPr>
                <w:sz w:val="20"/>
                <w:szCs w:val="20"/>
                <w:color w:val="auto"/>
              </w:rPr>
            </w:pPr>
            <w:r>
              <w:rPr>
                <w:rFonts w:ascii="Arial" w:cs="Arial" w:eastAsia="Arial" w:hAnsi="Arial"/>
                <w:sz w:val="16"/>
                <w:szCs w:val="16"/>
                <w:color w:val="auto"/>
                <w:w w:val="92"/>
              </w:rPr>
              <w:t>25% August 7, 2020</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89"/>
              </w:rPr>
              <w:t>25% June 11, 2021</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Vesting period</w:t>
            </w:r>
          </w:p>
        </w:tc>
        <w:tc>
          <w:tcPr>
            <w:tcW w:w="1640" w:type="dxa"/>
            <w:vAlign w:val="bottom"/>
            <w:gridSpan w:val="5"/>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2021</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any award earned subject</w:t>
            </w: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94"/>
              </w:rPr>
              <w:t>25% April 1, 2022</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any award earned subject</w:t>
            </w:r>
          </w:p>
        </w:tc>
        <w:tc>
          <w:tcPr>
            <w:tcW w:w="0" w:type="dxa"/>
            <w:vAlign w:val="bottom"/>
          </w:tcPr>
          <w:p>
            <w:pPr>
              <w:spacing w:after="0"/>
              <w:rPr>
                <w:sz w:val="1"/>
                <w:szCs w:val="1"/>
                <w:color w:val="auto"/>
              </w:rPr>
            </w:pPr>
          </w:p>
        </w:tc>
      </w:tr>
      <w:tr>
        <w:trPr>
          <w:trHeight w:val="98"/>
        </w:trPr>
        <w:tc>
          <w:tcPr>
            <w:tcW w:w="3360" w:type="dxa"/>
            <w:vAlign w:val="bottom"/>
            <w:gridSpan w:val="3"/>
            <w:vMerge w:val="continue"/>
            <w:shd w:val="clear" w:color="auto" w:fill="CFF0FC"/>
          </w:tcPr>
          <w:p>
            <w:pPr>
              <w:spacing w:after="0"/>
              <w:rPr>
                <w:sz w:val="8"/>
                <w:szCs w:val="8"/>
                <w:color w:val="auto"/>
              </w:rPr>
            </w:pPr>
          </w:p>
        </w:tc>
        <w:tc>
          <w:tcPr>
            <w:tcW w:w="1640" w:type="dxa"/>
            <w:vAlign w:val="bottom"/>
            <w:gridSpan w:val="5"/>
            <w:vMerge w:val="restart"/>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2022</w:t>
            </w:r>
          </w:p>
        </w:tc>
        <w:tc>
          <w:tcPr>
            <w:tcW w:w="2380" w:type="dxa"/>
            <w:vAlign w:val="bottom"/>
            <w:gridSpan w:val="6"/>
            <w:vMerge w:val="restart"/>
            <w:shd w:val="clear" w:color="auto" w:fill="CFF0FC"/>
          </w:tcPr>
          <w:p>
            <w:pPr>
              <w:ind w:left="320"/>
              <w:spacing w:after="0"/>
              <w:rPr>
                <w:sz w:val="20"/>
                <w:szCs w:val="20"/>
                <w:color w:val="auto"/>
              </w:rPr>
            </w:pPr>
            <w:r>
              <w:rPr>
                <w:rFonts w:ascii="Arial" w:cs="Arial" w:eastAsia="Arial" w:hAnsi="Arial"/>
                <w:sz w:val="16"/>
                <w:szCs w:val="16"/>
                <w:color w:val="auto"/>
              </w:rPr>
              <w:t>to additional vesting</w:t>
            </w:r>
          </w:p>
        </w:tc>
        <w:tc>
          <w:tcPr>
            <w:tcW w:w="1900" w:type="dxa"/>
            <w:vAlign w:val="bottom"/>
            <w:gridSpan w:val="5"/>
            <w:vMerge w:val="restart"/>
            <w:shd w:val="clear" w:color="auto" w:fill="CFF0FC"/>
          </w:tcPr>
          <w:p>
            <w:pPr>
              <w:jc w:val="center"/>
              <w:spacing w:after="0"/>
              <w:rPr>
                <w:sz w:val="20"/>
                <w:szCs w:val="20"/>
                <w:color w:val="auto"/>
              </w:rPr>
            </w:pPr>
            <w:r>
              <w:rPr>
                <w:rFonts w:ascii="Arial" w:cs="Arial" w:eastAsia="Arial" w:hAnsi="Arial"/>
                <w:sz w:val="16"/>
                <w:szCs w:val="16"/>
                <w:color w:val="auto"/>
                <w:w w:val="94"/>
              </w:rPr>
              <w:t>25% April 1, 2023</w:t>
            </w:r>
          </w:p>
        </w:tc>
        <w:tc>
          <w:tcPr>
            <w:tcW w:w="1960" w:type="dxa"/>
            <w:vAlign w:val="bottom"/>
            <w:gridSpan w:val="6"/>
            <w:vMerge w:val="restart"/>
            <w:shd w:val="clear" w:color="auto" w:fill="CFF0FC"/>
          </w:tcPr>
          <w:p>
            <w:pPr>
              <w:ind w:left="100"/>
              <w:spacing w:after="0"/>
              <w:rPr>
                <w:sz w:val="20"/>
                <w:szCs w:val="20"/>
                <w:color w:val="auto"/>
              </w:rPr>
            </w:pPr>
            <w:r>
              <w:rPr>
                <w:rFonts w:ascii="Arial" w:cs="Arial" w:eastAsia="Arial" w:hAnsi="Arial"/>
                <w:sz w:val="16"/>
                <w:szCs w:val="16"/>
                <w:color w:val="auto"/>
              </w:rPr>
              <w:t>to additional vesting</w:t>
            </w:r>
          </w:p>
        </w:tc>
        <w:tc>
          <w:tcPr>
            <w:tcW w:w="0" w:type="dxa"/>
            <w:vAlign w:val="bottom"/>
          </w:tcPr>
          <w:p>
            <w:pPr>
              <w:spacing w:after="0"/>
              <w:rPr>
                <w:sz w:val="1"/>
                <w:szCs w:val="1"/>
                <w:color w:val="auto"/>
              </w:rPr>
            </w:pPr>
          </w:p>
        </w:tc>
      </w:tr>
      <w:tr>
        <w:trPr>
          <w:trHeight w:val="104"/>
        </w:trPr>
        <w:tc>
          <w:tcPr>
            <w:tcW w:w="140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40" w:type="dxa"/>
            <w:vAlign w:val="bottom"/>
            <w:gridSpan w:val="5"/>
            <w:vMerge w:val="continue"/>
            <w:shd w:val="clear" w:color="auto" w:fill="CFF0FC"/>
          </w:tcPr>
          <w:p>
            <w:pPr>
              <w:spacing w:after="0"/>
              <w:rPr>
                <w:sz w:val="9"/>
                <w:szCs w:val="9"/>
                <w:color w:val="auto"/>
              </w:rPr>
            </w:pPr>
          </w:p>
        </w:tc>
        <w:tc>
          <w:tcPr>
            <w:tcW w:w="2380" w:type="dxa"/>
            <w:vAlign w:val="bottom"/>
            <w:gridSpan w:val="6"/>
            <w:vMerge w:val="continue"/>
            <w:shd w:val="clear" w:color="auto" w:fill="CFF0FC"/>
          </w:tcPr>
          <w:p>
            <w:pPr>
              <w:spacing w:after="0"/>
              <w:rPr>
                <w:sz w:val="9"/>
                <w:szCs w:val="9"/>
                <w:color w:val="auto"/>
              </w:rPr>
            </w:pPr>
          </w:p>
        </w:tc>
        <w:tc>
          <w:tcPr>
            <w:tcW w:w="1900" w:type="dxa"/>
            <w:vAlign w:val="bottom"/>
            <w:gridSpan w:val="5"/>
            <w:vMerge w:val="continue"/>
            <w:shd w:val="clear" w:color="auto" w:fill="CFF0FC"/>
          </w:tcPr>
          <w:p>
            <w:pPr>
              <w:spacing w:after="0"/>
              <w:rPr>
                <w:sz w:val="9"/>
                <w:szCs w:val="9"/>
                <w:color w:val="auto"/>
              </w:rPr>
            </w:pPr>
          </w:p>
        </w:tc>
        <w:tc>
          <w:tcPr>
            <w:tcW w:w="1960" w:type="dxa"/>
            <w:vAlign w:val="bottom"/>
            <w:gridSpan w:val="6"/>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2023</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through August 31, 2022</w:t>
            </w: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94"/>
              </w:rPr>
              <w:t>25% April 1, 2024</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through August 31, 2023</w:t>
            </w:r>
          </w:p>
        </w:tc>
        <w:tc>
          <w:tcPr>
            <w:tcW w:w="0" w:type="dxa"/>
            <w:vAlign w:val="bottom"/>
          </w:tcPr>
          <w:p>
            <w:pPr>
              <w:spacing w:after="0"/>
              <w:rPr>
                <w:sz w:val="1"/>
                <w:szCs w:val="1"/>
                <w:color w:val="auto"/>
              </w:rPr>
            </w:pPr>
          </w:p>
        </w:tc>
      </w:tr>
      <w:tr>
        <w:trPr>
          <w:trHeight w:val="392"/>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Targets:</w:t>
            </w:r>
          </w:p>
        </w:tc>
        <w:tc>
          <w:tcPr>
            <w:tcW w:w="520" w:type="dxa"/>
            <w:vAlign w:val="bottom"/>
          </w:tcPr>
          <w:p>
            <w:pPr>
              <w:spacing w:after="0"/>
              <w:rPr>
                <w:sz w:val="24"/>
                <w:szCs w:val="24"/>
                <w:color w:val="auto"/>
              </w:rPr>
            </w:pPr>
          </w:p>
        </w:tc>
        <w:tc>
          <w:tcPr>
            <w:tcW w:w="1120" w:type="dxa"/>
            <w:vAlign w:val="bottom"/>
            <w:gridSpan w:val="4"/>
          </w:tcPr>
          <w:p>
            <w:pPr>
              <w:jc w:val="center"/>
              <w:ind w:right="259"/>
              <w:spacing w:after="0"/>
              <w:rPr>
                <w:sz w:val="20"/>
                <w:szCs w:val="20"/>
                <w:color w:val="auto"/>
              </w:rPr>
            </w:pPr>
            <w:r>
              <w:rPr>
                <w:rFonts w:ascii="Arial" w:cs="Arial" w:eastAsia="Arial" w:hAnsi="Arial"/>
                <w:sz w:val="16"/>
                <w:szCs w:val="16"/>
                <w:color w:val="auto"/>
                <w:w w:val="90"/>
              </w:rPr>
              <w:t>Target:</w:t>
            </w:r>
          </w:p>
        </w:tc>
        <w:tc>
          <w:tcPr>
            <w:tcW w:w="520" w:type="dxa"/>
            <w:vAlign w:val="bottom"/>
          </w:tcPr>
          <w:p>
            <w:pPr>
              <w:spacing w:after="0"/>
              <w:rPr>
                <w:sz w:val="24"/>
                <w:szCs w:val="2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Min/Max Payout:</w:t>
            </w:r>
          </w:p>
        </w:tc>
        <w:tc>
          <w:tcPr>
            <w:tcW w:w="540" w:type="dxa"/>
            <w:vAlign w:val="bottom"/>
          </w:tcPr>
          <w:p>
            <w:pPr>
              <w:spacing w:after="0"/>
              <w:rPr>
                <w:sz w:val="24"/>
                <w:szCs w:val="24"/>
                <w:color w:val="auto"/>
              </w:rPr>
            </w:pPr>
          </w:p>
        </w:tc>
        <w:tc>
          <w:tcPr>
            <w:tcW w:w="1360" w:type="dxa"/>
            <w:vAlign w:val="bottom"/>
            <w:gridSpan w:val="4"/>
          </w:tcPr>
          <w:p>
            <w:pPr>
              <w:jc w:val="center"/>
              <w:ind w:right="479"/>
              <w:spacing w:after="0"/>
              <w:rPr>
                <w:sz w:val="20"/>
                <w:szCs w:val="20"/>
                <w:color w:val="auto"/>
              </w:rPr>
            </w:pPr>
            <w:r>
              <w:rPr>
                <w:rFonts w:ascii="Arial" w:cs="Arial" w:eastAsia="Arial" w:hAnsi="Arial"/>
                <w:sz w:val="16"/>
                <w:szCs w:val="16"/>
                <w:color w:val="auto"/>
                <w:w w:val="86"/>
              </w:rPr>
              <w:t>Target: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95"/>
              </w:rPr>
              <w:t>Min/Max Payout:</w:t>
            </w:r>
          </w:p>
        </w:tc>
        <w:tc>
          <w:tcPr>
            <w:tcW w:w="0" w:type="dxa"/>
            <w:vAlign w:val="bottom"/>
          </w:tcPr>
          <w:p>
            <w:pPr>
              <w:spacing w:after="0"/>
              <w:rPr>
                <w:sz w:val="1"/>
                <w:szCs w:val="1"/>
                <w:color w:val="auto"/>
              </w:rPr>
            </w:pPr>
          </w:p>
        </w:tc>
      </w:tr>
      <w:tr>
        <w:trPr>
          <w:trHeight w:val="21"/>
        </w:trPr>
        <w:tc>
          <w:tcPr>
            <w:tcW w:w="14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Target 1</w:t>
            </w:r>
          </w:p>
        </w:tc>
        <w:tc>
          <w:tcPr>
            <w:tcW w:w="164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average Adjusted</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100% payout at target,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relative total</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100% payout at target</w:t>
            </w:r>
          </w:p>
        </w:tc>
        <w:tc>
          <w:tcPr>
            <w:tcW w:w="0" w:type="dxa"/>
            <w:vAlign w:val="bottom"/>
          </w:tcPr>
          <w:p>
            <w:pPr>
              <w:spacing w:after="0"/>
              <w:rPr>
                <w:sz w:val="1"/>
                <w:szCs w:val="1"/>
                <w:color w:val="auto"/>
              </w:rPr>
            </w:pPr>
          </w:p>
        </w:tc>
      </w:tr>
      <w:tr>
        <w:trPr>
          <w:trHeight w:val="199"/>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EBITDA margin</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with 50% payout at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shareholder return as</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(2nd quartile), with 50%</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5"/>
            <w:shd w:val="clear" w:color="auto" w:fill="CFF0FC"/>
          </w:tcPr>
          <w:p>
            <w:pPr>
              <w:spacing w:after="0" w:line="202" w:lineRule="exact"/>
              <w:rPr>
                <w:sz w:val="20"/>
                <w:szCs w:val="20"/>
                <w:color w:val="auto"/>
              </w:rPr>
            </w:pPr>
            <w:r>
              <w:rPr>
                <w:rFonts w:ascii="Arial" w:cs="Arial" w:eastAsia="Arial" w:hAnsi="Arial"/>
                <w:sz w:val="14"/>
                <w:szCs w:val="14"/>
                <w:color w:val="auto"/>
              </w:rPr>
              <w:t>(50% weight)</w:t>
            </w:r>
            <w:r>
              <w:rPr>
                <w:rFonts w:ascii="Arial" w:cs="Arial" w:eastAsia="Arial" w:hAnsi="Arial"/>
                <w:sz w:val="23"/>
                <w:szCs w:val="23"/>
                <w:color w:val="auto"/>
                <w:vertAlign w:val="superscript"/>
              </w:rPr>
              <w:t>(2)</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94.6% of target and 150%</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w w:val="93"/>
              </w:rPr>
              <w:t>compared to 2020 disclosed</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payout (3rd quartile) and</w:t>
            </w:r>
          </w:p>
        </w:tc>
        <w:tc>
          <w:tcPr>
            <w:tcW w:w="0" w:type="dxa"/>
            <w:vAlign w:val="bottom"/>
          </w:tcPr>
          <w:p>
            <w:pPr>
              <w:spacing w:after="0"/>
              <w:rPr>
                <w:sz w:val="1"/>
                <w:szCs w:val="1"/>
                <w:color w:val="auto"/>
              </w:rPr>
            </w:pPr>
          </w:p>
        </w:tc>
      </w:tr>
      <w:tr>
        <w:trPr>
          <w:trHeight w:val="206"/>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payout at 107.1% of</w:t>
            </w:r>
          </w:p>
        </w:tc>
        <w:tc>
          <w:tcPr>
            <w:tcW w:w="1900" w:type="dxa"/>
            <w:vAlign w:val="bottom"/>
            <w:gridSpan w:val="5"/>
            <w:shd w:val="clear" w:color="auto" w:fill="CFF0FC"/>
          </w:tcPr>
          <w:p>
            <w:pPr>
              <w:spacing w:after="0" w:line="205" w:lineRule="exact"/>
              <w:rPr>
                <w:sz w:val="20"/>
                <w:szCs w:val="20"/>
                <w:color w:val="auto"/>
              </w:rPr>
            </w:pPr>
            <w:r>
              <w:rPr>
                <w:rFonts w:ascii="Arial" w:cs="Arial" w:eastAsia="Arial" w:hAnsi="Arial"/>
                <w:sz w:val="14"/>
                <w:szCs w:val="14"/>
                <w:color w:val="auto"/>
              </w:rPr>
              <w:t>proxy peers</w:t>
            </w:r>
            <w:r>
              <w:rPr>
                <w:rFonts w:ascii="Arial" w:cs="Arial" w:eastAsia="Arial" w:hAnsi="Arial"/>
                <w:sz w:val="23"/>
                <w:szCs w:val="23"/>
                <w:color w:val="auto"/>
                <w:vertAlign w:val="superscript"/>
              </w:rPr>
              <w:t>(3)</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150% payout (1st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target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(100% weight)</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quartile). No payout in the</w:t>
            </w: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4th quartile.</w:t>
            </w:r>
          </w:p>
        </w:tc>
        <w:tc>
          <w:tcPr>
            <w:tcW w:w="0" w:type="dxa"/>
            <w:vAlign w:val="bottom"/>
          </w:tcPr>
          <w:p>
            <w:pPr>
              <w:spacing w:after="0"/>
              <w:rPr>
                <w:sz w:val="1"/>
                <w:szCs w:val="1"/>
                <w:color w:val="auto"/>
              </w:rPr>
            </w:pPr>
          </w:p>
        </w:tc>
      </w:tr>
      <w:tr>
        <w:trPr>
          <w:trHeight w:val="206"/>
        </w:trPr>
        <w:tc>
          <w:tcPr>
            <w:tcW w:w="3360" w:type="dxa"/>
            <w:vAlign w:val="bottom"/>
            <w:gridSpan w:val="3"/>
          </w:tcPr>
          <w:p>
            <w:pPr>
              <w:ind w:left="80"/>
              <w:spacing w:after="0"/>
              <w:rPr>
                <w:sz w:val="20"/>
                <w:szCs w:val="20"/>
                <w:color w:val="auto"/>
              </w:rPr>
            </w:pPr>
            <w:r>
              <w:rPr>
                <w:rFonts w:ascii="Arial" w:cs="Arial" w:eastAsia="Arial" w:hAnsi="Arial"/>
                <w:sz w:val="16"/>
                <w:szCs w:val="16"/>
                <w:color w:val="auto"/>
              </w:rPr>
              <w:t>Target 2</w:t>
            </w:r>
          </w:p>
        </w:tc>
        <w:tc>
          <w:tcPr>
            <w:tcW w:w="4020" w:type="dxa"/>
            <w:vAlign w:val="bottom"/>
            <w:gridSpan w:val="11"/>
          </w:tcPr>
          <w:p>
            <w:pPr>
              <w:spacing w:after="0"/>
              <w:rPr>
                <w:sz w:val="20"/>
                <w:szCs w:val="20"/>
                <w:color w:val="auto"/>
              </w:rPr>
            </w:pPr>
            <w:r>
              <w:rPr>
                <w:rFonts w:ascii="Arial" w:cs="Arial" w:eastAsia="Arial" w:hAnsi="Arial"/>
                <w:sz w:val="16"/>
                <w:szCs w:val="16"/>
                <w:color w:val="auto"/>
              </w:rPr>
              <w:t>3-yr. Stacked Retail Comp   100% payout at target,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center"/>
              <w:ind w:right="659"/>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6"/>
                <w:szCs w:val="16"/>
                <w:color w:val="auto"/>
              </w:rPr>
              <w:t>(50% weight)</w:t>
            </w: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with 50% payout at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74.4% of target and 150%</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payout at 138.5% of</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target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1320" w:hanging="367"/>
        <w:spacing w:after="0" w:line="229" w:lineRule="auto"/>
        <w:tabs>
          <w:tab w:leader="none" w:pos="1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Compensation Committee approved the 2020-2022 LTIP and on June 11, 2020 granted time-based compensation in a combination of 50% cash and 50% stock options, to be earned through April 1, 2024. Given the uncertainty at the time regarding the COVID-19 pandemic and the short-term and long-term impact it may have on consumer spending, the Compensation Committee established just one performance metric for the 2020-2022 LTIP: “Three-Year Relative Total Shareholder Return.” The Compensation Committee believed this performance metric and the issuance of stock options (as opposed to restricted stock units) under the time-based portion of the 2020-2022 LTIP, appropriately aligned management with the interests of our stockholders. The use of stock options also helped to preserve share availability under the 2016 Plan given the depressed stock price at the time.</w:t>
      </w:r>
    </w:p>
    <w:p>
      <w:pPr>
        <w:spacing w:after="0" w:line="77" w:lineRule="exact"/>
        <w:rPr>
          <w:rFonts w:ascii="Arial" w:cs="Arial" w:eastAsia="Arial" w:hAnsi="Arial"/>
          <w:sz w:val="14"/>
          <w:szCs w:val="14"/>
          <w:color w:val="auto"/>
        </w:rPr>
      </w:pPr>
    </w:p>
    <w:p>
      <w:pPr>
        <w:jc w:val="both"/>
        <w:ind w:left="1320" w:hanging="367"/>
        <w:spacing w:after="0" w:line="233" w:lineRule="auto"/>
        <w:tabs>
          <w:tab w:leader="none" w:pos="1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will be calculated as EBITDA excluding certain revenues, expenses and cash flows, which were not considered in the establishment of the Company’s targets, including its wholesale business (“Adjusted EBITDA”). Adjusted EBITDA margin will then be calculated by taking the Adjusted EBITDA for the three-year performance period and dividing by the Company’s total sales over the three-year performance period. While Adjusted EBITDA is also a metric used in our AIP, we believe that Adjusted EBITDA is the best measure of both our annual and long-term results.</w:t>
      </w:r>
    </w:p>
    <w:p>
      <w:pPr>
        <w:spacing w:after="0" w:line="76" w:lineRule="exact"/>
        <w:rPr>
          <w:rFonts w:ascii="Arial" w:cs="Arial" w:eastAsia="Arial" w:hAnsi="Arial"/>
          <w:sz w:val="14"/>
          <w:szCs w:val="14"/>
          <w:color w:val="auto"/>
        </w:rPr>
      </w:pPr>
    </w:p>
    <w:p>
      <w:pPr>
        <w:ind w:left="1320" w:hanging="367"/>
        <w:spacing w:after="0" w:line="253" w:lineRule="auto"/>
        <w:tabs>
          <w:tab w:leader="none" w:pos="1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Company and each of its 2020 disclosed proxy peers, the three-year relative total shareholder return will be calculated as the percentage change in the 30-day trailing volume-weighted average closing stock price at January 31, 2020 and January 27, 2023, adjusted for any dividends paid.</w:t>
      </w:r>
    </w:p>
    <w:p>
      <w:pPr>
        <w:spacing w:after="0" w:line="70" w:lineRule="exact"/>
        <w:rPr>
          <w:sz w:val="20"/>
          <w:szCs w:val="20"/>
          <w:color w:val="auto"/>
        </w:rPr>
      </w:pPr>
    </w:p>
    <w:p>
      <w:pPr>
        <w:jc w:val="both"/>
        <w:ind w:left="940"/>
        <w:spacing w:after="0" w:line="263" w:lineRule="auto"/>
        <w:rPr>
          <w:sz w:val="20"/>
          <w:szCs w:val="20"/>
          <w:color w:val="auto"/>
        </w:rPr>
      </w:pPr>
      <w:r>
        <w:rPr>
          <w:rFonts w:ascii="Arial" w:cs="Arial" w:eastAsia="Arial" w:hAnsi="Arial"/>
          <w:sz w:val="18"/>
          <w:szCs w:val="18"/>
          <w:color w:val="auto"/>
        </w:rPr>
        <w:t>At the time of establishing the performance targets, the Compensation Committee believed that the above metrics reflected the Company’s primary objective of returning to profitability and driving shareholder return. We will disclose our targets under the LTIPs once the respective performance periods have ended.</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following table illustrates the components of the LTIPs with the respective vesting dates, illustrating that the time-based portion of the</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LTIP acts as a retention tool:</w:t>
      </w:r>
    </w:p>
    <w:p>
      <w:pPr>
        <w:spacing w:after="0" w:line="108"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 of</w:t>
            </w:r>
          </w:p>
        </w:tc>
        <w:tc>
          <w:tcPr>
            <w:tcW w:w="740" w:type="dxa"/>
            <w:vAlign w:val="bottom"/>
          </w:tcPr>
          <w:p>
            <w:pPr>
              <w:spacing w:after="0"/>
              <w:rPr>
                <w:sz w:val="14"/>
                <w:szCs w:val="14"/>
                <w:color w:val="auto"/>
              </w:rPr>
            </w:pPr>
          </w:p>
        </w:tc>
        <w:tc>
          <w:tcPr>
            <w:tcW w:w="2660" w:type="dxa"/>
            <w:vAlign w:val="bottom"/>
            <w:gridSpan w:val="7"/>
          </w:tcPr>
          <w:p>
            <w:pPr>
              <w:ind w:left="80"/>
              <w:spacing w:after="0"/>
              <w:rPr>
                <w:sz w:val="20"/>
                <w:szCs w:val="20"/>
                <w:color w:val="auto"/>
              </w:rPr>
            </w:pPr>
            <w:r>
              <w:rPr>
                <w:rFonts w:ascii="Arial" w:cs="Arial" w:eastAsia="Arial" w:hAnsi="Arial"/>
                <w:sz w:val="14"/>
                <w:szCs w:val="14"/>
                <w:b w:val="1"/>
                <w:bCs w:val="1"/>
                <w:color w:val="auto"/>
              </w:rPr>
              <w:t>Vesting of Awards by Fiscal Year:</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Approval date</w:t>
            </w:r>
          </w:p>
        </w:tc>
        <w:tc>
          <w:tcPr>
            <w:tcW w:w="100" w:type="dxa"/>
            <w:vAlign w:val="bottom"/>
          </w:tcPr>
          <w:p>
            <w:pPr>
              <w:spacing w:after="0"/>
              <w:rPr>
                <w:sz w:val="14"/>
                <w:szCs w:val="14"/>
                <w:color w:val="auto"/>
              </w:rPr>
            </w:pPr>
          </w:p>
        </w:tc>
        <w:tc>
          <w:tcPr>
            <w:tcW w:w="4480" w:type="dxa"/>
            <w:vAlign w:val="bottom"/>
            <w:gridSpan w:val="2"/>
          </w:tcPr>
          <w:p>
            <w:pPr>
              <w:ind w:left="1560"/>
              <w:spacing w:after="0"/>
              <w:rPr>
                <w:sz w:val="20"/>
                <w:szCs w:val="20"/>
                <w:color w:val="auto"/>
              </w:rPr>
            </w:pPr>
            <w:r>
              <w:rPr>
                <w:rFonts w:ascii="Arial" w:cs="Arial" w:eastAsia="Arial" w:hAnsi="Arial"/>
                <w:sz w:val="14"/>
                <w:szCs w:val="14"/>
                <w:b w:val="1"/>
                <w:bCs w:val="1"/>
                <w:color w:val="auto"/>
              </w:rPr>
              <w:t>Performance Period</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award</w:t>
            </w: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8/7/2019</w:t>
            </w:r>
          </w:p>
        </w:tc>
        <w:tc>
          <w:tcPr>
            <w:tcW w:w="100" w:type="dxa"/>
            <w:vAlign w:val="bottom"/>
            <w:tcBorders>
              <w:top w:val="single" w:sz="8" w:color="CFF0FC"/>
            </w:tcBorders>
            <w:shd w:val="clear" w:color="auto" w:fill="CFF0FC"/>
          </w:tcPr>
          <w:p>
            <w:pPr>
              <w:spacing w:after="0"/>
              <w:rPr>
                <w:sz w:val="13"/>
                <w:szCs w:val="13"/>
                <w:color w:val="auto"/>
              </w:rPr>
            </w:pPr>
          </w:p>
        </w:tc>
        <w:tc>
          <w:tcPr>
            <w:tcW w:w="43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2019-2021 LTIP</w:t>
            </w:r>
          </w:p>
        </w:tc>
        <w:tc>
          <w:tcPr>
            <w:tcW w:w="1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8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160" w:type="dxa"/>
            <w:vAlign w:val="bottom"/>
            <w:shd w:val="clear" w:color="auto" w:fill="CFF0FC"/>
          </w:tcPr>
          <w:p>
            <w:pPr>
              <w:spacing w:after="0"/>
              <w:rPr>
                <w:sz w:val="20"/>
                <w:szCs w:val="20"/>
                <w:color w:val="auto"/>
              </w:rPr>
            </w:pPr>
            <w:r>
              <w:rPr>
                <w:rFonts w:ascii="Arial" w:cs="Arial" w:eastAsia="Arial" w:hAnsi="Arial"/>
                <w:sz w:val="14"/>
                <w:szCs w:val="14"/>
                <w:color w:val="auto"/>
              </w:rPr>
              <w:t>6/11/2020</w:t>
            </w:r>
          </w:p>
        </w:tc>
        <w:tc>
          <w:tcPr>
            <w:tcW w:w="45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2020-2022 LTIP</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8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left="520" w:hanging="364"/>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first tranche of time-based awards vest on April 1 following the end of the first year of the performance period or one year from the date of grant, whichever is later.</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2021-2023 Performance Period</w:t>
      </w:r>
    </w:p>
    <w:p>
      <w:pPr>
        <w:spacing w:after="0" w:line="117"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Subsequent to the end of fiscal 2020, on March 8, 2021, the Compensation Committee established and approved the metric for the 2021-2023 performance period under the LTIP. Consistent with the 2020-2022 LTIP, because of the uncertainty regarding the duration of the pandemic and the timetable for economic recovery, the Compensation Committee did not establish financial goals and instead established a 3-year relative total shareholder return (similar to the 2020-2022 LTIP) as the only metric under the 2021-2023 LTIP. In addition, because of the Company’s low stock price and the limited availability of shares under the 2016 Plan, the Compensation Committee granted the time-based awards for this LTIP in a combination of 25% stock options and 75% cash. The use of stock options allows for less usage of shares under the 2016 Plan and aligns with the interests of our shareholders.</w:t>
      </w:r>
    </w:p>
    <w:p>
      <w:pPr>
        <w:spacing w:after="0" w:line="195" w:lineRule="exact"/>
        <w:rPr>
          <w:sz w:val="20"/>
          <w:szCs w:val="20"/>
          <w:color w:val="auto"/>
        </w:rPr>
      </w:pPr>
    </w:p>
    <w:p>
      <w:pPr>
        <w:ind w:left="260" w:hanging="253"/>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9" w:lineRule="exact"/>
        <w:rPr>
          <w:sz w:val="20"/>
          <w:szCs w:val="20"/>
          <w:color w:val="auto"/>
        </w:rPr>
      </w:pPr>
    </w:p>
    <w:p>
      <w:pPr>
        <w:ind w:left="280"/>
        <w:spacing w:after="0" w:line="296" w:lineRule="auto"/>
        <w:rPr>
          <w:sz w:val="20"/>
          <w:szCs w:val="20"/>
          <w:color w:val="auto"/>
        </w:rPr>
      </w:pPr>
      <w:r>
        <w:rPr>
          <w:rFonts w:ascii="Arial" w:cs="Arial" w:eastAsia="Arial" w:hAnsi="Arial"/>
          <w:sz w:val="16"/>
          <w:szCs w:val="16"/>
          <w:color w:val="auto"/>
        </w:rPr>
        <w:t>In June 2020, the Board, at the recommendation of the Compensation Committee,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determined that it was important to preserve continuity of leadership through the COVID-19 pandemic and the uncertain recovery period, and accordingly to provide Mr. Kanter with a long-term equity incentive that aligns his interests with those of our stockholders.</w:t>
      </w:r>
    </w:p>
    <w:p>
      <w:pPr>
        <w:spacing w:after="0" w:line="53" w:lineRule="exact"/>
        <w:rPr>
          <w:sz w:val="20"/>
          <w:szCs w:val="20"/>
          <w:color w:val="auto"/>
        </w:rPr>
      </w:pPr>
    </w:p>
    <w:p>
      <w:pPr>
        <w:ind w:left="260" w:hanging="253"/>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sz w:val="20"/>
          <w:szCs w:val="20"/>
          <w:color w:val="auto"/>
        </w:rPr>
      </w:pPr>
    </w:p>
    <w:p>
      <w:pPr>
        <w:ind w:left="280" w:right="560"/>
        <w:spacing w:after="0" w:line="277" w:lineRule="auto"/>
        <w:rPr>
          <w:sz w:val="20"/>
          <w:szCs w:val="20"/>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170"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In the second quarter of fiscal 2018, the Board ratified and approved the recommendation of the Company’s management team to suspend employer contributions to the 401(k) Plan, for the period from July 1, 2018 until December 31, 2019. Effective January 1, 2020, the 401(k) Plan resumed its qualified automatic contribution arrangement (“QACA”) status, and accordingly an employer match was earned in fiscal 2020. However, for the 2021 plan year, the Company has suspended its QACA safe harbor and, while the Company has the discretion to make an employer match for 2021, it will not be required. The Company has the option to resume its QACA status in 2022.</w:t>
      </w:r>
    </w:p>
    <w:p>
      <w:pPr>
        <w:spacing w:after="0" w:line="87" w:lineRule="exact"/>
        <w:rPr>
          <w:sz w:val="20"/>
          <w:szCs w:val="20"/>
          <w:color w:val="auto"/>
        </w:rPr>
      </w:pPr>
    </w:p>
    <w:p>
      <w:pPr>
        <w:ind w:left="280" w:right="20"/>
        <w:spacing w:after="0" w:line="275" w:lineRule="auto"/>
        <w:rPr>
          <w:sz w:val="20"/>
          <w:szCs w:val="20"/>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68" w:lineRule="exact"/>
        <w:rPr>
          <w:sz w:val="20"/>
          <w:szCs w:val="20"/>
          <w:color w:val="auto"/>
        </w:rPr>
      </w:pPr>
    </w:p>
    <w:p>
      <w:pPr>
        <w:ind w:left="260" w:hanging="253"/>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sz w:val="20"/>
          <w:szCs w:val="20"/>
          <w:color w:val="auto"/>
        </w:rPr>
      </w:pPr>
    </w:p>
    <w:p>
      <w:pPr>
        <w:ind w:left="280" w:right="160"/>
        <w:spacing w:after="0" w:line="255" w:lineRule="auto"/>
        <w:rPr>
          <w:sz w:val="20"/>
          <w:szCs w:val="20"/>
          <w:color w:val="auto"/>
        </w:rPr>
      </w:pPr>
      <w:r>
        <w:rPr>
          <w:rFonts w:ascii="Arial" w:cs="Arial" w:eastAsia="Arial" w:hAnsi="Arial"/>
          <w:sz w:val="18"/>
          <w:szCs w:val="18"/>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29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Willem Mesdag, Chair</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Jack Boyle</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8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Salary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Bonus ($)</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 (1)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686,942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436,880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902,425</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84,682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2,110,929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President and Chief Executive Officer</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671,923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1,941,974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3,164,067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Peter H. Stratton, Jr.</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369,173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61,358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200,022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656,025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Executive Vice President, Chief</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108,625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588,245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Financial Officer and Treasurer</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169,307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232,240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821,669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322,885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Chief Marketing Officer</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Robert S. Molloy</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350,481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58,251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156,598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General Counsel and Secretary</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366,346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156,650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711,069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Vice President,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Store Sales and Operations</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740" w:right="60" w:hanging="368"/>
        <w:spacing w:after="0" w:line="318" w:lineRule="auto"/>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were estimated as of the date of grant using a Black-Scholes valuation model. For fiscal 2019, the fair value of performance-based awards to Mr. Kanter, which were based on a market condition, was determined as of the date of grant using a Monte-Carlo valuation model. Additional information regarding the assumptions used to estimate the fair value of all awards is included in Note A and Note I to Consolidated Financial Statements contained in our Annual Report on Form 10-K for the fiscal year ended January 30, 2021.</w:t>
      </w:r>
    </w:p>
    <w:p>
      <w:pPr>
        <w:spacing w:after="0" w:line="53" w:lineRule="exact"/>
        <w:rPr>
          <w:rFonts w:ascii="Arial" w:cs="Arial" w:eastAsia="Arial" w:hAnsi="Arial"/>
          <w:sz w:val="14"/>
          <w:szCs w:val="14"/>
          <w:color w:val="auto"/>
        </w:rPr>
      </w:pPr>
    </w:p>
    <w:p>
      <w:pPr>
        <w:ind w:left="740" w:hanging="368"/>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Option Awards</w:t>
      </w:r>
      <w:r>
        <w:rPr>
          <w:rFonts w:ascii="Arial" w:cs="Arial" w:eastAsia="Arial" w:hAnsi="Arial"/>
          <w:sz w:val="16"/>
          <w:szCs w:val="16"/>
          <w:color w:val="auto"/>
        </w:rPr>
        <w:t>” below for a breakdown of 2020 amounts reflected in this column.</w:t>
      </w:r>
    </w:p>
    <w:p>
      <w:pPr>
        <w:spacing w:after="0" w:line="140" w:lineRule="exact"/>
        <w:rPr>
          <w:rFonts w:ascii="Arial" w:cs="Arial" w:eastAsia="Arial" w:hAnsi="Arial"/>
          <w:sz w:val="16"/>
          <w:szCs w:val="16"/>
          <w:color w:val="auto"/>
        </w:rPr>
      </w:pPr>
    </w:p>
    <w:p>
      <w:pPr>
        <w:ind w:left="760" w:right="20"/>
        <w:spacing w:after="0" w:line="271" w:lineRule="auto"/>
        <w:rPr>
          <w:rFonts w:ascii="Arial" w:cs="Arial" w:eastAsia="Arial" w:hAnsi="Arial"/>
          <w:sz w:val="16"/>
          <w:szCs w:val="16"/>
          <w:color w:val="auto"/>
        </w:rPr>
      </w:pPr>
      <w:r>
        <w:rPr>
          <w:rFonts w:ascii="Arial" w:cs="Arial" w:eastAsia="Arial" w:hAnsi="Arial"/>
          <w:sz w:val="16"/>
          <w:szCs w:val="16"/>
          <w:color w:val="auto"/>
        </w:rPr>
        <w:t>The fair value associated with the performance-based component of the equity awards under the 2020-2022 LTIP was determined based on the probable outcome of the performance conditions as of the service-inception date. Because the achievement of the performance targets under the 2020-2022 LTIP was not deemed probable as of the service-inception date, no value was attributed to the performance-based portion of these awards. The following reflects the fair values of the performance-based equity portion of the 2020-2022 LTIP assuming the highest level of performance conditions will be achieved for each of the Named Executive Officers:</w:t>
      </w:r>
    </w:p>
    <w:p>
      <w:pPr>
        <w:spacing w:after="0" w:line="92"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468,563</w:t>
            </w: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Peter H. Stratton, Jr.</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103,688</w:t>
            </w: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Ujjwal Dhoot</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78,750</w:t>
            </w: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Robert S. Molloy</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98,438</w:t>
            </w: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Anthony J. Gaeta</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77,438</w:t>
            </w:r>
          </w:p>
        </w:tc>
      </w:tr>
    </w:tbl>
    <w:p>
      <w:pPr>
        <w:spacing w:after="0" w:line="98" w:lineRule="exact"/>
        <w:rPr>
          <w:sz w:val="20"/>
          <w:szCs w:val="20"/>
          <w:color w:val="auto"/>
        </w:rPr>
      </w:pPr>
    </w:p>
    <w:p>
      <w:pPr>
        <w:ind w:left="740" w:right="120" w:hanging="368"/>
        <w:spacing w:after="0" w:line="293"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cash awards earned under the 2020 AIP and the first tranche of time-vested cash portion of the 2019-2020 LTIP. See table “</w:t>
      </w:r>
      <w:r>
        <w:rPr>
          <w:rFonts w:ascii="Arial" w:cs="Arial" w:eastAsia="Arial" w:hAnsi="Arial"/>
          <w:sz w:val="16"/>
          <w:szCs w:val="16"/>
          <w:i w:val="1"/>
          <w:iCs w:val="1"/>
          <w:color w:val="auto"/>
        </w:rPr>
        <w:t>2020 Non-Equity (Cash)</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Plan Compensation</w:t>
      </w:r>
      <w:r>
        <w:rPr>
          <w:rFonts w:ascii="Arial" w:cs="Arial" w:eastAsia="Arial" w:hAnsi="Arial"/>
          <w:sz w:val="16"/>
          <w:szCs w:val="16"/>
          <w:color w:val="auto"/>
        </w:rPr>
        <w:t>” below for additional detail.</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2020 amounts reflected in this column.</w:t>
      </w:r>
    </w:p>
    <w:p>
      <w:pPr>
        <w:spacing w:after="0" w:line="140" w:lineRule="exact"/>
        <w:rPr>
          <w:rFonts w:ascii="Arial" w:cs="Arial" w:eastAsia="Arial" w:hAnsi="Arial"/>
          <w:sz w:val="16"/>
          <w:szCs w:val="16"/>
          <w:color w:val="auto"/>
        </w:rPr>
      </w:pPr>
    </w:p>
    <w:p>
      <w:pPr>
        <w:ind w:left="740" w:right="160" w:hanging="368"/>
        <w:spacing w:after="0" w:line="293"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connection with Mr. Dhoot’s hiring and in accordance with his employment agreement, on December 16, 2019 Mr. Dhoot received a cash inducement award of $175,000, with $75,000 payable on January 3, 2020 and $100,000 payable on April 1, 2020.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following table provides a breakdown of the amounts in fiscal 2020 in the “</w:t>
      </w:r>
      <w:r>
        <w:rPr>
          <w:rFonts w:ascii="Arial" w:cs="Arial" w:eastAsia="Arial" w:hAnsi="Arial"/>
          <w:sz w:val="17"/>
          <w:szCs w:val="17"/>
          <w:i w:val="1"/>
          <w:iCs w:val="1"/>
          <w:color w:val="auto"/>
        </w:rPr>
        <w:t>Option Awards</w:t>
      </w:r>
      <w:r>
        <w:rPr>
          <w:rFonts w:ascii="Arial" w:cs="Arial" w:eastAsia="Arial" w:hAnsi="Arial"/>
          <w:sz w:val="17"/>
          <w:szCs w:val="17"/>
          <w:color w:val="auto"/>
        </w:rPr>
        <w:t>” column of the Summary Compensation Table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6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2020-2022 LTIP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Discretionary Grant of</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Option</w:t>
            </w: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Stock Options</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277,275</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159,605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Peter H. Stratton, Jr.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61,358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Robert S. Molloy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58,251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40" w:right="160" w:hanging="368"/>
        <w:spacing w:after="0" w:line="293"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grant-date fair value of time-based stock options issued under the 2020-2022 LTIP, which will vest in four tranches with the first 25% vesting on June 11, 2021 and the remaining tranches vesting on April 1, 2022, April 1, 2023 and April 1, 2024.</w:t>
      </w:r>
    </w:p>
    <w:p>
      <w:pPr>
        <w:spacing w:after="0" w:line="171" w:lineRule="exact"/>
        <w:rPr>
          <w:rFonts w:ascii="Arial" w:cs="Arial" w:eastAsia="Arial" w:hAnsi="Arial"/>
          <w:sz w:val="16"/>
          <w:szCs w:val="16"/>
          <w:color w:val="auto"/>
        </w:rPr>
      </w:pPr>
    </w:p>
    <w:p>
      <w:pPr>
        <w:ind w:left="740" w:right="200" w:hanging="368"/>
        <w:spacing w:after="0" w:line="293"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grant-date fair value of a discretionary grant of stock options to Mr. Kanter. The stock options will vest in three equal installments, with the first tranche vesting on June 10, 2021, the second tranche on April 1, 2022 and remaining tranche on April 1, 2023.</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fiscal 2020 in the “</w:t>
      </w:r>
      <w:r>
        <w:rPr>
          <w:rFonts w:ascii="Arial" w:cs="Arial" w:eastAsia="Arial" w:hAnsi="Arial"/>
          <w:sz w:val="17"/>
          <w:szCs w:val="17"/>
          <w:i w:val="1"/>
          <w:iCs w:val="1"/>
          <w:color w:val="auto"/>
        </w:rPr>
        <w:t>2020 Non-Equity (Cash) Incentive Plan Compensation”</w:t>
      </w:r>
      <w:r>
        <w:rPr>
          <w:rFonts w:ascii="Arial" w:cs="Arial" w:eastAsia="Arial" w:hAnsi="Arial"/>
          <w:sz w:val="17"/>
          <w:szCs w:val="17"/>
          <w:color w:val="auto"/>
        </w:rPr>
        <w:t xml:space="preserve"> column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Annual Incentive</w:t>
            </w: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Total Non-</w:t>
            </w:r>
          </w:p>
        </w:tc>
      </w:tr>
      <w:tr>
        <w:trPr>
          <w:trHeight w:val="161"/>
        </w:trPr>
        <w:tc>
          <w:tcPr>
            <w:tcW w:w="5440" w:type="dxa"/>
            <w:vAlign w:val="bottom"/>
            <w:gridSpan w:val="2"/>
          </w:tcPr>
          <w:p>
            <w:pPr>
              <w:ind w:left="246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4"/>
                <w:szCs w:val="1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Plan (1)</w:t>
            </w:r>
          </w:p>
        </w:tc>
        <w:tc>
          <w:tcPr>
            <w:tcW w:w="36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3"/>
                <w:szCs w:val="13"/>
                <w:b w:val="1"/>
                <w:bCs w:val="1"/>
                <w:color w:val="auto"/>
              </w:rPr>
              <w:t>2019-2021 LTIP (2)</w:t>
            </w:r>
          </w:p>
        </w:tc>
        <w:tc>
          <w:tcPr>
            <w:tcW w:w="220" w:type="dxa"/>
            <w:vAlign w:val="bottom"/>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5"/>
              </w:rPr>
              <w:t>Equity (Cash)</w:t>
            </w:r>
          </w:p>
        </w:tc>
      </w:tr>
      <w:tr>
        <w:trPr>
          <w:trHeight w:val="223"/>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824,331</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78,094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902,425</w:t>
            </w:r>
          </w:p>
        </w:tc>
        <w:tc>
          <w:tcPr>
            <w:tcW w:w="28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182,741</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17,281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200,022</w:t>
            </w:r>
          </w:p>
        </w:tc>
        <w:tc>
          <w:tcPr>
            <w:tcW w:w="280" w:type="dxa"/>
            <w:vAlign w:val="bottom"/>
          </w:tcPr>
          <w:p>
            <w:pPr>
              <w:spacing w:after="0"/>
              <w:rPr>
                <w:sz w:val="19"/>
                <w:szCs w:val="19"/>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135,351</w:t>
            </w:r>
          </w:p>
        </w:tc>
        <w:tc>
          <w:tcPr>
            <w:tcW w:w="280" w:type="dxa"/>
            <w:vAlign w:val="bottom"/>
            <w:shd w:val="clear" w:color="auto" w:fill="CFF0FC"/>
          </w:tcPr>
          <w:p>
            <w:pPr>
              <w:spacing w:after="0"/>
              <w:rPr>
                <w:sz w:val="19"/>
                <w:szCs w:val="19"/>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140,192</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16,406</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156,598</w:t>
            </w:r>
          </w:p>
        </w:tc>
        <w:tc>
          <w:tcPr>
            <w:tcW w:w="280" w:type="dxa"/>
            <w:vAlign w:val="bottom"/>
          </w:tcPr>
          <w:p>
            <w:pPr>
              <w:spacing w:after="0"/>
              <w:rPr>
                <w:sz w:val="19"/>
                <w:szCs w:val="19"/>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99,256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112,162</w:t>
            </w:r>
          </w:p>
        </w:tc>
        <w:tc>
          <w:tcPr>
            <w:tcW w:w="280" w:type="dxa"/>
            <w:vAlign w:val="bottom"/>
            <w:shd w:val="clear" w:color="auto" w:fill="CFF0FC"/>
          </w:tcPr>
          <w:p>
            <w:pPr>
              <w:spacing w:after="0"/>
              <w:rPr>
                <w:sz w:val="19"/>
                <w:szCs w:val="19"/>
                <w:color w:val="auto"/>
              </w:rPr>
            </w:pPr>
          </w:p>
        </w:tc>
      </w:tr>
    </w:tbl>
    <w:p>
      <w:pPr>
        <w:spacing w:after="0" w:line="206" w:lineRule="exact"/>
        <w:rPr>
          <w:sz w:val="20"/>
          <w:szCs w:val="20"/>
          <w:color w:val="auto"/>
        </w:rPr>
      </w:pPr>
    </w:p>
    <w:p>
      <w:pPr>
        <w:ind w:left="740" w:right="40" w:hanging="368"/>
        <w:spacing w:after="0" w:line="262"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6"/>
          <w:szCs w:val="16"/>
          <w:color w:val="auto"/>
        </w:rPr>
        <w:t>Each Named Executive Officer earned a cash bonus under the 2020 AIP. See “</w:t>
      </w:r>
      <w:r>
        <w:rPr>
          <w:rFonts w:ascii="Arial" w:cs="Arial" w:eastAsia="Arial" w:hAnsi="Arial"/>
          <w:sz w:val="16"/>
          <w:szCs w:val="16"/>
          <w:i w:val="1"/>
          <w:iCs w:val="1"/>
          <w:color w:val="auto"/>
        </w:rPr>
        <w:t>Compensation, Discussion and Analysis-Compensation Components and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2020 Compensation Decisions, Performance-based annual incentive plan and Long-term incentive plans</w:t>
      </w:r>
      <w:r>
        <w:rPr>
          <w:rFonts w:ascii="Arial" w:cs="Arial" w:eastAsia="Arial" w:hAnsi="Arial"/>
          <w:sz w:val="16"/>
          <w:szCs w:val="16"/>
          <w:color w:val="auto"/>
        </w:rPr>
        <w:t>” for more information about the payouts under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AIP.</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740" w:right="160" w:hanging="368"/>
        <w:spacing w:after="0" w:line="262"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6"/>
          <w:szCs w:val="16"/>
          <w:color w:val="auto"/>
        </w:rPr>
        <w:t>Represents the vesting of the first tranche of the time-based cash award granted in August 2019 under the 2019-2021 LTIP.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Analysis-Compensation Components and Fiscal 2020 Compensation Decisions, Performance-based annual incentive plan and Long-term incentive plans</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more information about the payouts under the 2019-2021 LTIP.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fiscal 2020 in the “</w:t>
      </w:r>
      <w:r>
        <w:rPr>
          <w:rFonts w:ascii="Arial" w:cs="Arial" w:eastAsia="Arial" w:hAnsi="Arial"/>
          <w:sz w:val="17"/>
          <w:szCs w:val="17"/>
          <w:i w:val="1"/>
          <w:iCs w:val="1"/>
          <w:color w:val="auto"/>
        </w:rPr>
        <w:t>All Other Compensation</w:t>
      </w:r>
      <w:r>
        <w:rPr>
          <w:rFonts w:ascii="Arial" w:cs="Arial" w:eastAsia="Arial" w:hAnsi="Arial"/>
          <w:sz w:val="17"/>
          <w:szCs w:val="17"/>
          <w:color w:val="auto"/>
        </w:rPr>
        <w:t>” of the Summary Compensation Table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Auto</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Supplemental</w:t>
            </w:r>
          </w:p>
        </w:tc>
        <w:tc>
          <w:tcPr>
            <w:tcW w:w="100" w:type="dxa"/>
            <w:vAlign w:val="bottom"/>
          </w:tcPr>
          <w:p>
            <w:pPr>
              <w:spacing w:after="0"/>
              <w:rPr>
                <w:sz w:val="14"/>
                <w:szCs w:val="14"/>
                <w:color w:val="auto"/>
              </w:rPr>
            </w:pPr>
          </w:p>
        </w:tc>
        <w:tc>
          <w:tcPr>
            <w:tcW w:w="7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6"/>
              </w:rPr>
              <w:t>Relocation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Healthcare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Allowance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Premiums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Insurance</w:t>
            </w:r>
          </w:p>
        </w:tc>
        <w:tc>
          <w:tcPr>
            <w:tcW w:w="100" w:type="dxa"/>
            <w:vAlign w:val="bottom"/>
          </w:tcPr>
          <w:p>
            <w:pPr>
              <w:spacing w:after="0"/>
              <w:rPr>
                <w:sz w:val="14"/>
                <w:szCs w:val="14"/>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6"/>
              </w:rPr>
              <w:t>Compensation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Robert S. Molloy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total annual compensation for our CEO, Mr. Kanter, for fiscal 2020, as shown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was $2,110,929. The total annual compensation for our median employee was $31,823, calculated using the same methodology as used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median employee is a full-time employee who was not furloughed during fiscal 2020. Based on this information, for fiscal 2020 the ratio of the annual total compensation of Mr. Kanter, our CEO, to the median of the annual total compensation of all employees was 66 to 1.</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identify the median employee in 2020, we evaluated all employees, other than our CEO, employed by the Company as of December 31, 2020, including those employees who were furloughed for any period of time, and utilized the following methodology:</w:t>
      </w:r>
    </w:p>
    <w:p>
      <w:pPr>
        <w:spacing w:after="0" w:line="170" w:lineRule="exact"/>
        <w:rPr>
          <w:sz w:val="20"/>
          <w:szCs w:val="20"/>
          <w:color w:val="auto"/>
        </w:rPr>
      </w:pPr>
    </w:p>
    <w:p>
      <w:pPr>
        <w:ind w:left="740" w:right="20" w:hanging="368"/>
        <w:spacing w:after="0" w:line="286"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determined that, as of December 31, 2020, our employee population consisted of approximately 1,171 individuals, with 1,161 of these individuals located in the U.S. and 10 of these individuals located outside the U.S. This population includes our full-time, part-time, and seasonal employees. Approximately 81% of our total employee population at December 31, 2020 was considered full-time employees.</w:t>
      </w:r>
    </w:p>
    <w:p>
      <w:pPr>
        <w:spacing w:after="0" w:line="165" w:lineRule="exact"/>
        <w:rPr>
          <w:rFonts w:ascii="Arial" w:cs="Arial" w:eastAsia="Arial" w:hAnsi="Arial"/>
          <w:sz w:val="17"/>
          <w:szCs w:val="17"/>
          <w:color w:val="auto"/>
        </w:rPr>
      </w:pPr>
    </w:p>
    <w:p>
      <w:pPr>
        <w:ind w:left="740" w:right="220" w:hanging="368"/>
        <w:spacing w:after="0" w:line="308"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2020.</w:t>
      </w:r>
    </w:p>
    <w:p>
      <w:pPr>
        <w:spacing w:after="0" w:line="146" w:lineRule="exact"/>
        <w:rPr>
          <w:rFonts w:ascii="Arial" w:cs="Arial" w:eastAsia="Arial" w:hAnsi="Arial"/>
          <w:sz w:val="17"/>
          <w:szCs w:val="17"/>
          <w:color w:val="auto"/>
        </w:rPr>
      </w:pPr>
    </w:p>
    <w:p>
      <w:pPr>
        <w:ind w:left="740" w:right="80" w:hanging="368"/>
        <w:spacing w:after="0" w:line="271"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Because substantially all of our employees either took a temporary reduction in base salary during fiscal 2020 or were furloughed for a period of time, we did not annualize any compensation for any permanent full-time or part-time employees, who started employment at the Company during calendar 2020. We also did not annualize compensation for any seasonal or temporary employees.</w:t>
      </w:r>
    </w:p>
    <w:p>
      <w:pPr>
        <w:jc w:val="both"/>
        <w:ind w:left="760" w:right="40"/>
        <w:spacing w:after="0" w:line="281" w:lineRule="auto"/>
        <w:rPr>
          <w:rFonts w:ascii="Arial" w:cs="Arial" w:eastAsia="Arial" w:hAnsi="Arial"/>
          <w:sz w:val="17"/>
          <w:szCs w:val="17"/>
          <w:color w:val="auto"/>
        </w:rPr>
      </w:pPr>
      <w:r>
        <w:rPr>
          <w:rFonts w:ascii="Arial" w:cs="Arial" w:eastAsia="Arial" w:hAnsi="Arial"/>
          <w:sz w:val="16"/>
          <w:szCs w:val="16"/>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w:t>
      </w:r>
    </w:p>
    <w:p>
      <w:pPr>
        <w:spacing w:after="0" w:line="1" w:lineRule="exact"/>
        <w:rPr>
          <w:rFonts w:ascii="Arial" w:cs="Arial" w:eastAsia="Arial" w:hAnsi="Arial"/>
          <w:sz w:val="17"/>
          <w:szCs w:val="17"/>
          <w:color w:val="auto"/>
        </w:rPr>
      </w:pPr>
    </w:p>
    <w:p>
      <w:pPr>
        <w:ind w:left="1020" w:hanging="263"/>
        <w:spacing w:after="0"/>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and Hong Kong (2).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Harvey S. Kanter, President, Chief Executive Officer and Director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is three years, ending March 31, 2022 (“Initial Term”), and will automatically renew, upon the same terms and conditions, for successive periods of one year, unless either party terminates in accordance with the terms of the employment agreement. The Employment Agreement provided that Mr. Kanter would receive compensation of $50,000 for the period of February 19, 2019 through March 31, 2019 for his services as an Advisor to the Acting CEO and would receive an annual base salary of $735,000 as President and Chief Executive Officer, effective April 1, 2019, with an annual automobile allowance of $10,000.</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 Mr. Kanter waived his right to participate in the 2018-2020 LTIP.</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his hiring, Mr. Kanter received a housing allowance of $100,000 in April 2019, $50,000 in April 2020 and $50,000 on April 1,</w:t>
      </w:r>
    </w:p>
    <w:p>
      <w:pPr>
        <w:spacing w:after="0" w:line="3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2021. Mr. Kanter also received a one-time grant of 720,000 PSUs on February 19, 2019, which will be settled in shares of the Company’s common stock upon vesting. The PSUs vest in three equal installments, if any, when the Company’s 90-day volume-weighted average closing price of its stock reaches $4.00, $6.00 and $8.00. Any performance shares that are unvested at April 1, 2023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will be forfeited. Mr. Kanter also received a one-time grant of 240,000 RSUs, which vests in four equal annual installments beginning April 1,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Mr. Kanter terminates his employment for Good Reason or the Company terminates his employment without Justifiable Cause:</w:t>
      </w:r>
    </w:p>
    <w:p>
      <w:pPr>
        <w:spacing w:after="0" w:line="225" w:lineRule="exact"/>
        <w:rPr>
          <w:sz w:val="20"/>
          <w:szCs w:val="20"/>
          <w:color w:val="auto"/>
        </w:rPr>
      </w:pPr>
    </w:p>
    <w:p>
      <w:pPr>
        <w:ind w:left="1120" w:right="220" w:hanging="748"/>
        <w:spacing w:after="0" w:line="253"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3" w:lineRule="exact"/>
        <w:rPr>
          <w:rFonts w:ascii="Arial" w:cs="Arial" w:eastAsia="Arial" w:hAnsi="Arial"/>
          <w:sz w:val="18"/>
          <w:szCs w:val="18"/>
          <w:color w:val="auto"/>
        </w:rPr>
      </w:pPr>
    </w:p>
    <w:p>
      <w:pPr>
        <w:ind w:left="1120" w:right="40" w:hanging="748"/>
        <w:spacing w:after="0" w:line="250"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1" w:lineRule="exact"/>
        <w:rPr>
          <w:rFonts w:ascii="Arial" w:cs="Arial" w:eastAsia="Arial" w:hAnsi="Arial"/>
          <w:sz w:val="18"/>
          <w:szCs w:val="18"/>
          <w:color w:val="auto"/>
        </w:rPr>
      </w:pPr>
    </w:p>
    <w:p>
      <w:pPr>
        <w:ind w:left="1120" w:right="520" w:hanging="748"/>
        <w:spacing w:after="0" w:line="255"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w:t>
      </w:r>
    </w:p>
    <w:p>
      <w:pPr>
        <w:ind w:right="420" w:firstLine="8"/>
        <w:spacing w:after="0" w:line="260"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two times his then current Base Salary plus (ii) the then value of two times his target bonus under the Annual Incentive Plan, generally payable in a lump sum within 60 days of the termination of his employment following a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Executives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For fiscal 2020, Mr. Stratton participated at a target rate of 55%, Mr. Dhoot participated at a blended target rate of 45.9%, as a result of his promotion, Mr. Molloy participated at a target rate of 50% and Mr. Gaeta participated at a target rate of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9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Estimated Potential Payments to Named Executive Officers</w:t>
      </w:r>
    </w:p>
    <w:p>
      <w:pPr>
        <w:spacing w:after="0" w:line="117"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following table shows the payments that would be made to our current Named Executive Officers assuming a “termination without cause” or a “resignation for good reason” (each a “Qualifying Termination”) or a Qualifying Termination following a Change in Control, as described in the employment agreements, as of January 30, 2021.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Long-Term Incentive Plan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Continued</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1"/>
                <w:szCs w:val="11"/>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Sign-on and</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Time-</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2"/>
              <w:spacing w:after="0" w:line="133" w:lineRule="exact"/>
              <w:rPr>
                <w:sz w:val="20"/>
                <w:szCs w:val="20"/>
                <w:color w:val="auto"/>
              </w:rPr>
            </w:pPr>
            <w:r>
              <w:rPr>
                <w:rFonts w:ascii="Arial" w:cs="Arial" w:eastAsia="Arial" w:hAnsi="Arial"/>
                <w:sz w:val="14"/>
                <w:szCs w:val="14"/>
                <w:b w:val="1"/>
                <w:bCs w:val="1"/>
                <w:color w:val="auto"/>
                <w:w w:val="95"/>
              </w:rPr>
              <w:t>Performance-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0"/>
              </w:rPr>
              <w:t>Based</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Base</w:t>
            </w:r>
          </w:p>
        </w:tc>
        <w:tc>
          <w:tcPr>
            <w:tcW w:w="1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Incentive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Discretionary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Based</w:t>
            </w:r>
          </w:p>
        </w:tc>
        <w:tc>
          <w:tcPr>
            <w:tcW w:w="22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48"/>
        </w:trPr>
        <w:tc>
          <w:tcPr>
            <w:tcW w:w="38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p>
        </w:tc>
        <w:tc>
          <w:tcPr>
            <w:tcW w:w="1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 xml:space="preserve">Plan </w:t>
            </w:r>
            <w:r>
              <w:rPr>
                <w:rFonts w:ascii="Arial" w:cs="Arial" w:eastAsia="Arial" w:hAnsi="Arial"/>
                <w:sz w:val="12"/>
                <w:szCs w:val="12"/>
                <w:b w:val="1"/>
                <w:bCs w:val="1"/>
                <w:color w:val="auto"/>
                <w:w w:val="95"/>
              </w:rPr>
              <w:t>(2)</w:t>
            </w:r>
          </w:p>
        </w:tc>
        <w:tc>
          <w:tcPr>
            <w:tcW w:w="100" w:type="dxa"/>
            <w:vAlign w:val="bottom"/>
          </w:tcPr>
          <w:p>
            <w:pPr>
              <w:spacing w:after="0"/>
              <w:rPr>
                <w:sz w:val="12"/>
                <w:szCs w:val="12"/>
                <w:color w:val="auto"/>
              </w:rPr>
            </w:pPr>
          </w:p>
        </w:tc>
        <w:tc>
          <w:tcPr>
            <w:tcW w:w="8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2"/>
              <w:spacing w:after="0"/>
              <w:rPr>
                <w:sz w:val="20"/>
                <w:szCs w:val="20"/>
                <w:color w:val="auto"/>
              </w:rPr>
            </w:pPr>
            <w:r>
              <w:rPr>
                <w:rFonts w:ascii="Arial" w:cs="Arial" w:eastAsia="Arial" w:hAnsi="Arial"/>
                <w:sz w:val="12"/>
                <w:szCs w:val="12"/>
                <w:b w:val="1"/>
                <w:bCs w:val="1"/>
                <w:color w:val="auto"/>
                <w:w w:val="95"/>
              </w:rPr>
              <w:t>(5)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352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1,715,000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824,331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59,445</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139,806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621,844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3,360,426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824,331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139,806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621,844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4,585,426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Peter H. Stratton, Jr.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182,741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559,099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182,741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40,566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138,292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756,599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tcPr>
          <w:p>
            <w:pPr>
              <w:spacing w:after="0"/>
              <w:rPr>
                <w:sz w:val="20"/>
                <w:szCs w:val="20"/>
                <w:color w:val="auto"/>
              </w:rPr>
            </w:pPr>
            <w:r>
              <w:rPr>
                <w:rFonts w:ascii="Arial" w:cs="Arial" w:eastAsia="Arial" w:hAnsi="Arial"/>
                <w:sz w:val="16"/>
                <w:szCs w:val="16"/>
                <w:color w:val="auto"/>
              </w:rPr>
              <w:t>Ujjwal Dhoot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126,025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36,044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74,511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621,580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187,500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140,192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38,513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131,290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497,495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38,513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684,995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Anthony J. Gaeta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30,056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103,282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380,094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295,000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99,256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30,056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103,282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527,594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740" w:hanging="368"/>
        <w:spacing w:after="0" w:line="231" w:lineRule="auto"/>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Because Mr. Kanter is in the Initial Term of his Employment Agreement, for a Qualifying Termination, Mr. Kanter is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75" w:lineRule="exact"/>
        <w:rPr>
          <w:rFonts w:ascii="Arial" w:cs="Arial" w:eastAsia="Arial" w:hAnsi="Arial"/>
          <w:sz w:val="14"/>
          <w:szCs w:val="14"/>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represent the actual incentive earned for 2020 AIP.</w:t>
      </w:r>
    </w:p>
    <w:p>
      <w:pPr>
        <w:spacing w:after="0" w:line="163" w:lineRule="exact"/>
        <w:rPr>
          <w:rFonts w:ascii="Arial" w:cs="Arial" w:eastAsia="Arial" w:hAnsi="Arial"/>
          <w:sz w:val="14"/>
          <w:szCs w:val="14"/>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prorated vesting of Mr. Kanter’s RSUs that were granted to him in connection with his hiring.</w:t>
      </w:r>
    </w:p>
    <w:p>
      <w:pPr>
        <w:spacing w:after="0" w:line="163" w:lineRule="exact"/>
        <w:rPr>
          <w:rFonts w:ascii="Arial" w:cs="Arial" w:eastAsia="Arial" w:hAnsi="Arial"/>
          <w:sz w:val="14"/>
          <w:szCs w:val="14"/>
          <w:color w:val="auto"/>
        </w:rPr>
      </w:pPr>
    </w:p>
    <w:p>
      <w:pPr>
        <w:ind w:left="740" w:right="20" w:hanging="368"/>
        <w:spacing w:after="0" w:line="251" w:lineRule="auto"/>
        <w:tabs>
          <w:tab w:leader="none" w:pos="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Time-based awards under our LTIPs represent time-based RSUs under our 2018-2020 LTIP, 2019-2021 LTIP and 2020-2022 LTIP. Because the respective performance period for the 2018-2020 LTIP is complete, all outstanding awards become fully vested under both a Qualifying Termination and Qualifying Termination due to a change in control. Because the 2019-2021 LTIP will have completed its second year of its performance period and the 2020-2022 LTIP will have completed its first year of its performance period, each participant would vest in shares based on a pro-rata vesting percentage, which is calculated based on the number of effective days of participation over the total number of days in the performance period. Mr. Kanter would also be entitled to receive a pro-rata vesting of his 240,000 RSUs which were granted to him in connection with his hiring.</w:t>
      </w:r>
    </w:p>
    <w:p>
      <w:pPr>
        <w:spacing w:after="0" w:line="68" w:lineRule="exact"/>
        <w:rPr>
          <w:rFonts w:ascii="Arial" w:cs="Arial" w:eastAsia="Arial" w:hAnsi="Arial"/>
          <w:sz w:val="13"/>
          <w:szCs w:val="13"/>
          <w:color w:val="auto"/>
        </w:rPr>
      </w:pPr>
    </w:p>
    <w:p>
      <w:pPr>
        <w:ind w:left="740" w:right="20" w:hanging="368"/>
        <w:spacing w:after="0" w:line="251" w:lineRule="auto"/>
        <w:tabs>
          <w:tab w:leader="none" w:pos="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Because the performance periods for the 2019-2021 LTIP and the 2020-2022 LTIP were not complete as of January 30, 2021,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PSUs would forfeit unexercised unless if, during the following thirty-days after his termination, a performance target is achieved he would be entitled to any unvested PSUs that would have vested if he had not been terminated.</w:t>
      </w:r>
    </w:p>
    <w:p>
      <w:pPr>
        <w:spacing w:after="0" w:line="68" w:lineRule="exact"/>
        <w:rPr>
          <w:rFonts w:ascii="Arial" w:cs="Arial" w:eastAsia="Arial" w:hAnsi="Arial"/>
          <w:sz w:val="13"/>
          <w:szCs w:val="13"/>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 outstanding time-based awards were valued using the closing stock price of our stock on January 29, 2021 of $0.80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GRANTS OF PLAN-BASED AWARDS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Grant</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All Other</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All Other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Date</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Option</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Exercise</w:t>
            </w: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Fair</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Awards:</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Awards:</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or Base</w:t>
            </w:r>
          </w:p>
        </w:tc>
        <w:tc>
          <w:tcPr>
            <w:tcW w:w="6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7"/>
          </w:tcPr>
          <w:p>
            <w:pPr>
              <w:jc w:val="center"/>
              <w:ind w:left="297"/>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8"/>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Price</w:t>
            </w:r>
          </w:p>
        </w:tc>
        <w:tc>
          <w:tcPr>
            <w:tcW w:w="60" w:type="dxa"/>
            <w:vAlign w:val="bottom"/>
          </w:tcPr>
          <w:p>
            <w:pPr>
              <w:spacing w:after="0"/>
              <w:rPr>
                <w:sz w:val="11"/>
                <w:szCs w:val="11"/>
                <w:color w:val="auto"/>
              </w:rPr>
            </w:pPr>
          </w:p>
        </w:tc>
        <w:tc>
          <w:tcPr>
            <w:tcW w:w="5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r>
      <w:tr>
        <w:trPr>
          <w:trHeight w:val="135"/>
        </w:trPr>
        <w:tc>
          <w:tcPr>
            <w:tcW w:w="2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Under Non-Equity</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1"/>
              </w:rPr>
              <w:t>Under Equity</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of Shares</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53"/>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Service</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Incentive Plan Awards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6"/>
              </w:rPr>
              <w:t>Incentive Plan Awards</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of Stock</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Underlying</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60" w:type="dxa"/>
            <w:vAlign w:val="bottom"/>
          </w:tcPr>
          <w:p>
            <w:pPr>
              <w:spacing w:after="0"/>
              <w:rPr>
                <w:sz w:val="13"/>
                <w:szCs w:val="13"/>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r>
      <w:tr>
        <w:trPr>
          <w:trHeight w:val="137"/>
        </w:trPr>
        <w:tc>
          <w:tcPr>
            <w:tcW w:w="2240" w:type="dxa"/>
            <w:vAlign w:val="bottom"/>
          </w:tcPr>
          <w:p>
            <w:pPr>
              <w:spacing w:after="0"/>
              <w:rPr>
                <w:sz w:val="11"/>
                <w:szCs w:val="11"/>
                <w:color w:val="auto"/>
              </w:rPr>
            </w:pPr>
          </w:p>
        </w:tc>
        <w:tc>
          <w:tcPr>
            <w:tcW w:w="60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rPr>
              <w:t>Grant</w:t>
            </w:r>
          </w:p>
        </w:tc>
        <w:tc>
          <w:tcPr>
            <w:tcW w:w="6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9"/>
              </w:rPr>
              <w:t>Inception</w:t>
            </w:r>
          </w:p>
        </w:tc>
        <w:tc>
          <w:tcPr>
            <w:tcW w:w="6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2"/>
              </w:rPr>
              <w:t>Threshold</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40"/>
              <w:spacing w:after="0" w:line="138" w:lineRule="exact"/>
              <w:rPr>
                <w:sz w:val="20"/>
                <w:szCs w:val="20"/>
                <w:color w:val="auto"/>
              </w:rPr>
            </w:pPr>
            <w:r>
              <w:rPr>
                <w:rFonts w:ascii="Arial" w:cs="Arial" w:eastAsia="Arial" w:hAnsi="Arial"/>
                <w:sz w:val="13"/>
                <w:szCs w:val="13"/>
                <w:b w:val="1"/>
                <w:bCs w:val="1"/>
                <w:color w:val="auto"/>
              </w:rPr>
              <w:t>Target</w:t>
            </w:r>
          </w:p>
        </w:tc>
        <w:tc>
          <w:tcPr>
            <w:tcW w:w="6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6"/>
              </w:rPr>
              <w:t>Maximum</w:t>
            </w:r>
          </w:p>
        </w:tc>
        <w:tc>
          <w:tcPr>
            <w:tcW w:w="140" w:type="dxa"/>
            <w:vAlign w:val="bottom"/>
          </w:tcPr>
          <w:p>
            <w:pPr>
              <w:spacing w:after="0"/>
              <w:rPr>
                <w:sz w:val="11"/>
                <w:szCs w:val="11"/>
                <w:color w:val="auto"/>
              </w:rPr>
            </w:pPr>
          </w:p>
        </w:tc>
        <w:tc>
          <w:tcPr>
            <w:tcW w:w="6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9"/>
              </w:rPr>
              <w:t>Threshold</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0"/>
              </w:rPr>
              <w:t>Target</w:t>
            </w:r>
          </w:p>
        </w:tc>
        <w:tc>
          <w:tcPr>
            <w:tcW w:w="6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6"/>
              </w:rPr>
              <w:t>Maximum</w:t>
            </w: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9"/>
              </w:rPr>
              <w:t>or Units</w:t>
            </w: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5"/>
              </w:rPr>
              <w:t>Options</w:t>
            </w:r>
          </w:p>
        </w:tc>
        <w:tc>
          <w:tcPr>
            <w:tcW w:w="6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5"/>
              </w:rPr>
              <w:t>Awards</w:t>
            </w: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5"/>
              </w:rPr>
              <w:t>Awards</w:t>
            </w:r>
          </w:p>
        </w:tc>
      </w:tr>
      <w:tr>
        <w:trPr>
          <w:trHeight w:val="153"/>
        </w:trPr>
        <w:tc>
          <w:tcPr>
            <w:tcW w:w="2240" w:type="dxa"/>
            <w:vAlign w:val="bottom"/>
          </w:tcPr>
          <w:p>
            <w:pPr>
              <w:spacing w:after="0"/>
              <w:rPr>
                <w:sz w:val="13"/>
                <w:szCs w:val="13"/>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b w:val="1"/>
                <w:bCs w:val="1"/>
                <w:color w:val="auto"/>
              </w:rPr>
              <w:t>Date</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Pr>
          <w:p>
            <w:pPr>
              <w:spacing w:after="0"/>
              <w:rPr>
                <w:sz w:val="13"/>
                <w:szCs w:val="13"/>
                <w:color w:val="auto"/>
              </w:rPr>
            </w:pPr>
          </w:p>
        </w:tc>
        <w:tc>
          <w:tcPr>
            <w:tcW w:w="50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97"/>
              <w:spacing w:after="0"/>
              <w:rPr>
                <w:sz w:val="20"/>
                <w:szCs w:val="20"/>
                <w:color w:val="auto"/>
              </w:rPr>
            </w:pPr>
            <w:r>
              <w:rPr>
                <w:rFonts w:ascii="Arial" w:cs="Arial" w:eastAsia="Arial" w:hAnsi="Arial"/>
                <w:sz w:val="13"/>
                <w:szCs w:val="13"/>
                <w:b w:val="1"/>
                <w:bCs w:val="1"/>
                <w:color w:val="auto"/>
              </w:rPr>
              <w:t>($) (1)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 (1)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w w:val="95"/>
              </w:rPr>
              <w:t>($) (1)</w:t>
            </w:r>
          </w:p>
        </w:tc>
        <w:tc>
          <w:tcPr>
            <w:tcW w:w="1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 / Sh)</w:t>
            </w:r>
          </w:p>
        </w:tc>
        <w:tc>
          <w:tcPr>
            <w:tcW w:w="60" w:type="dxa"/>
            <w:vAlign w:val="bottom"/>
          </w:tcPr>
          <w:p>
            <w:pPr>
              <w:spacing w:after="0"/>
              <w:rPr>
                <w:sz w:val="13"/>
                <w:szCs w:val="13"/>
                <w:color w:val="auto"/>
              </w:rPr>
            </w:pPr>
          </w:p>
        </w:tc>
        <w:tc>
          <w:tcPr>
            <w:tcW w:w="50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3"/>
                <w:szCs w:val="13"/>
                <w:color w:val="auto"/>
              </w:rPr>
            </w:pPr>
          </w:p>
        </w:tc>
      </w:tr>
      <w:tr>
        <w:trPr>
          <w:trHeight w:val="142"/>
        </w:trPr>
        <w:tc>
          <w:tcPr>
            <w:tcW w:w="22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Harvey S. Kanter</w:t>
            </w:r>
          </w:p>
        </w:tc>
        <w:tc>
          <w:tcPr>
            <w:tcW w:w="6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Discretionary grant (1)</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6/10/2020</w:t>
            </w: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450,000</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159,605</w:t>
            </w:r>
          </w:p>
        </w:tc>
        <w:tc>
          <w:tcPr>
            <w:tcW w:w="60" w:type="dxa"/>
            <w:vAlign w:val="bottom"/>
            <w:shd w:val="clear" w:color="auto" w:fill="CFF0FC"/>
          </w:tcPr>
          <w:p>
            <w:pPr>
              <w:spacing w:after="0"/>
              <w:rPr>
                <w:sz w:val="12"/>
                <w:szCs w:val="12"/>
                <w:color w:val="auto"/>
              </w:rPr>
            </w:pP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147,000</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735,000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1,470,000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884,080</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277,247</w:t>
            </w:r>
          </w:p>
        </w:tc>
        <w:tc>
          <w:tcPr>
            <w:tcW w:w="60" w:type="dxa"/>
            <w:vAlign w:val="bottom"/>
            <w:shd w:val="clear" w:color="auto" w:fill="CFF0FC"/>
          </w:tcPr>
          <w:p>
            <w:pPr>
              <w:spacing w:after="0"/>
              <w:rPr>
                <w:sz w:val="12"/>
                <w:szCs w:val="12"/>
                <w:color w:val="auto"/>
              </w:rPr>
            </w:pPr>
          </w:p>
        </w:tc>
      </w:tr>
      <w:tr>
        <w:trPr>
          <w:trHeight w:val="134"/>
        </w:trPr>
        <w:tc>
          <w:tcPr>
            <w:tcW w:w="224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468,563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312,375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468,563</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tcPr>
          <w:p>
            <w:pPr>
              <w:spacing w:after="0" w:line="148" w:lineRule="exact"/>
              <w:rPr>
                <w:sz w:val="20"/>
                <w:szCs w:val="20"/>
                <w:color w:val="auto"/>
              </w:rPr>
            </w:pPr>
            <w:r>
              <w:rPr>
                <w:rFonts w:ascii="Arial" w:cs="Arial" w:eastAsia="Arial" w:hAnsi="Arial"/>
                <w:sz w:val="13"/>
                <w:szCs w:val="13"/>
                <w:color w:val="auto"/>
              </w:rPr>
              <w:t>Peter H. Stratton, Jr.</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240" w:type="dxa"/>
            <w:vAlign w:val="bottom"/>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43,450</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217,250</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325,875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69,125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195,636</w:t>
            </w:r>
          </w:p>
        </w:tc>
        <w:tc>
          <w:tcPr>
            <w:tcW w:w="14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61,351</w:t>
            </w:r>
          </w:p>
        </w:tc>
        <w:tc>
          <w:tcPr>
            <w:tcW w:w="60" w:type="dxa"/>
            <w:vAlign w:val="bottom"/>
          </w:tcPr>
          <w:p>
            <w:pPr>
              <w:spacing w:after="0"/>
              <w:rPr>
                <w:sz w:val="12"/>
                <w:szCs w:val="12"/>
                <w:color w:val="auto"/>
              </w:rPr>
            </w:pPr>
          </w:p>
        </w:tc>
      </w:tr>
      <w:tr>
        <w:trPr>
          <w:trHeight w:val="135"/>
        </w:trPr>
        <w:tc>
          <w:tcPr>
            <w:tcW w:w="2240" w:type="dxa"/>
            <w:vAlign w:val="bottom"/>
          </w:tcPr>
          <w:p>
            <w:pPr>
              <w:ind w:left="180"/>
              <w:spacing w:after="0" w:line="135"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40" w:type="dxa"/>
            <w:vAlign w:val="bottom"/>
          </w:tcPr>
          <w:p>
            <w:pPr>
              <w:ind w:left="180"/>
              <w:spacing w:after="0"/>
              <w:rPr>
                <w:sz w:val="20"/>
                <w:szCs w:val="20"/>
                <w:color w:val="auto"/>
              </w:rPr>
            </w:pPr>
            <w:r>
              <w:rPr>
                <w:rFonts w:ascii="Arial" w:cs="Arial" w:eastAsia="Arial" w:hAnsi="Arial"/>
                <w:sz w:val="13"/>
                <w:szCs w:val="13"/>
                <w:color w:val="auto"/>
              </w:rPr>
              <w:t>(3)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17,281</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69,125</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103,688</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17,281</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69,125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103,688</w:t>
            </w:r>
          </w:p>
        </w:tc>
        <w:tc>
          <w:tcPr>
            <w:tcW w:w="140" w:type="dxa"/>
            <w:vAlign w:val="bottom"/>
          </w:tcPr>
          <w:p>
            <w:pPr>
              <w:spacing w:after="0"/>
              <w:rPr>
                <w:sz w:val="12"/>
                <w:szCs w:val="12"/>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spacing w:after="0"/>
              <w:rPr>
                <w:sz w:val="20"/>
                <w:szCs w:val="20"/>
                <w:color w:val="auto"/>
              </w:rPr>
            </w:pPr>
            <w:r>
              <w:rPr>
                <w:rFonts w:ascii="Arial" w:cs="Arial" w:eastAsia="Arial" w:hAnsi="Arial"/>
                <w:sz w:val="13"/>
                <w:szCs w:val="13"/>
                <w:color w:val="auto"/>
              </w:rPr>
              <w:t>Ujjwal Dhoot</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29,653</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148,264</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222,396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148,584</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46,596</w:t>
            </w:r>
          </w:p>
        </w:tc>
        <w:tc>
          <w:tcPr>
            <w:tcW w:w="60" w:type="dxa"/>
            <w:vAlign w:val="bottom"/>
            <w:shd w:val="clear" w:color="auto" w:fill="CFF0FC"/>
          </w:tcPr>
          <w:p>
            <w:pPr>
              <w:spacing w:after="0"/>
              <w:rPr>
                <w:sz w:val="12"/>
                <w:szCs w:val="12"/>
                <w:color w:val="auto"/>
              </w:rPr>
            </w:pPr>
          </w:p>
        </w:tc>
      </w:tr>
      <w:tr>
        <w:trPr>
          <w:trHeight w:val="134"/>
        </w:trPr>
        <w:tc>
          <w:tcPr>
            <w:tcW w:w="224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78,750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78,750</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tcPr>
          <w:p>
            <w:pPr>
              <w:spacing w:after="0" w:line="148" w:lineRule="exact"/>
              <w:rPr>
                <w:sz w:val="20"/>
                <w:szCs w:val="20"/>
                <w:color w:val="auto"/>
              </w:rPr>
            </w:pPr>
            <w:r>
              <w:rPr>
                <w:rFonts w:ascii="Arial" w:cs="Arial" w:eastAsia="Arial" w:hAnsi="Arial"/>
                <w:sz w:val="13"/>
                <w:szCs w:val="13"/>
                <w:color w:val="auto"/>
              </w:rPr>
              <w:t>Robert S. Molloy</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240" w:type="dxa"/>
            <w:vAlign w:val="bottom"/>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37,500</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187,500</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281,250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2240" w:type="dxa"/>
            <w:vAlign w:val="bottom"/>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185,731</w:t>
            </w:r>
          </w:p>
        </w:tc>
        <w:tc>
          <w:tcPr>
            <w:tcW w:w="14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58,245</w:t>
            </w:r>
          </w:p>
        </w:tc>
        <w:tc>
          <w:tcPr>
            <w:tcW w:w="60" w:type="dxa"/>
            <w:vAlign w:val="bottom"/>
          </w:tcPr>
          <w:p>
            <w:pPr>
              <w:spacing w:after="0"/>
              <w:rPr>
                <w:sz w:val="12"/>
                <w:szCs w:val="12"/>
                <w:color w:val="auto"/>
              </w:rPr>
            </w:pPr>
          </w:p>
        </w:tc>
      </w:tr>
      <w:tr>
        <w:trPr>
          <w:trHeight w:val="135"/>
        </w:trPr>
        <w:tc>
          <w:tcPr>
            <w:tcW w:w="2240" w:type="dxa"/>
            <w:vAlign w:val="bottom"/>
          </w:tcPr>
          <w:p>
            <w:pPr>
              <w:ind w:left="180"/>
              <w:spacing w:after="0" w:line="135"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40" w:type="dxa"/>
            <w:vAlign w:val="bottom"/>
          </w:tcPr>
          <w:p>
            <w:pPr>
              <w:ind w:left="180"/>
              <w:spacing w:after="0"/>
              <w:rPr>
                <w:sz w:val="20"/>
                <w:szCs w:val="20"/>
                <w:color w:val="auto"/>
              </w:rPr>
            </w:pPr>
            <w:r>
              <w:rPr>
                <w:rFonts w:ascii="Arial" w:cs="Arial" w:eastAsia="Arial" w:hAnsi="Arial"/>
                <w:sz w:val="13"/>
                <w:szCs w:val="13"/>
                <w:color w:val="auto"/>
              </w:rPr>
              <w:t>(3)</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16,406</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28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98,438</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16,406</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65,625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98,438</w:t>
            </w:r>
          </w:p>
        </w:tc>
        <w:tc>
          <w:tcPr>
            <w:tcW w:w="140" w:type="dxa"/>
            <w:vAlign w:val="bottom"/>
          </w:tcPr>
          <w:p>
            <w:pPr>
              <w:spacing w:after="0"/>
              <w:rPr>
                <w:sz w:val="12"/>
                <w:szCs w:val="12"/>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2240" w:type="dxa"/>
            <w:vAlign w:val="bottom"/>
            <w:shd w:val="clear" w:color="auto" w:fill="CFF0FC"/>
          </w:tcPr>
          <w:p>
            <w:pPr>
              <w:spacing w:after="0"/>
              <w:rPr>
                <w:sz w:val="20"/>
                <w:szCs w:val="20"/>
                <w:color w:val="auto"/>
              </w:rPr>
            </w:pPr>
            <w:r>
              <w:rPr>
                <w:rFonts w:ascii="Arial" w:cs="Arial" w:eastAsia="Arial" w:hAnsi="Arial"/>
                <w:sz w:val="13"/>
                <w:szCs w:val="13"/>
                <w:color w:val="auto"/>
              </w:rPr>
              <w:t>Anthony J. Gaeta</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 AIP (2)</w:t>
            </w:r>
          </w:p>
        </w:tc>
        <w:tc>
          <w:tcPr>
            <w:tcW w:w="6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23,600</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118,000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-2020-2022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146,108</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45,819</w:t>
            </w:r>
          </w:p>
        </w:tc>
        <w:tc>
          <w:tcPr>
            <w:tcW w:w="60" w:type="dxa"/>
            <w:vAlign w:val="bottom"/>
            <w:shd w:val="clear" w:color="auto" w:fill="CFF0FC"/>
          </w:tcPr>
          <w:p>
            <w:pPr>
              <w:spacing w:after="0"/>
              <w:rPr>
                <w:sz w:val="12"/>
                <w:szCs w:val="12"/>
                <w:color w:val="auto"/>
              </w:rPr>
            </w:pPr>
          </w:p>
        </w:tc>
      </w:tr>
      <w:tr>
        <w:trPr>
          <w:trHeight w:val="134"/>
        </w:trPr>
        <w:tc>
          <w:tcPr>
            <w:tcW w:w="224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2"/>
              </w:rPr>
              <w:t>-2020-2022 LTIP, Performance-Based</w:t>
            </w:r>
          </w:p>
        </w:tc>
        <w:tc>
          <w:tcPr>
            <w:tcW w:w="6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2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12,906</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77,438</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ind w:left="740" w:right="100" w:hanging="368"/>
        <w:spacing w:after="0" w:line="274"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3 below for additional information on the 2020-2022 LTIP.</w:t>
      </w:r>
    </w:p>
    <w:p>
      <w:pPr>
        <w:ind w:left="740" w:right="20" w:hanging="368"/>
        <w:spacing w:after="0" w:line="265"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threshold payout for each executive assumes the achievement of only the individual personal goals, target payout assumes 100%, and the maximum payout assumes 150% of the payout targets under the 2020 AIP, with the exception of the maximum payout for Mr. Kanter which is 200%. See “</w:t>
      </w:r>
      <w:r>
        <w:rPr>
          <w:rFonts w:ascii="Arial" w:cs="Arial" w:eastAsia="Arial" w:hAnsi="Arial"/>
          <w:sz w:val="17"/>
          <w:szCs w:val="17"/>
          <w:i w:val="1"/>
          <w:iCs w:val="1"/>
          <w:color w:val="auto"/>
        </w:rPr>
        <w:t>Compensation Components and Fiscal 2020 Compensation Decisions - Performance-based annual incentive plan – 2020 AIP</w:t>
      </w:r>
      <w:r>
        <w:rPr>
          <w:rFonts w:ascii="Arial" w:cs="Arial" w:eastAsia="Arial" w:hAnsi="Arial"/>
          <w:sz w:val="17"/>
          <w:szCs w:val="17"/>
          <w:color w:val="auto"/>
        </w:rPr>
        <w:t>” for more information on the targets set under the 2020 AIP. The respective actual cash payment made to each of the Named Executive Officers under the 2020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2020.</w:t>
      </w:r>
    </w:p>
    <w:p>
      <w:pPr>
        <w:ind w:left="740" w:hanging="368"/>
        <w:spacing w:after="0" w:line="286"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June 11, 2020, the Compensation Committee approved the performance target for the 2020-2022 LTIP. The performance-based awards represent 50% of the total potential payout under the 2020-2022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The remaining 50% represents time-based awards, which were granted 50% cash and 50% in stock options. The above table reflects the cash award and the stock options that were granted on June 11, 2020. The cash award and the stock options vest in four equal tranches, with the first tranche vesting on June 11, 2021 and the remaining tranches vesting on April 1, 2022, April 1, 2023 and April 1, 2024. See “</w:t>
      </w:r>
      <w:r>
        <w:rPr>
          <w:rFonts w:ascii="Arial" w:cs="Arial" w:eastAsia="Arial" w:hAnsi="Arial"/>
          <w:sz w:val="16"/>
          <w:szCs w:val="16"/>
          <w:i w:val="1"/>
          <w:iCs w:val="1"/>
          <w:color w:val="auto"/>
        </w:rPr>
        <w:t>Compensation Components and Fiscal 2020 Compensation Decisions -</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incentive plans - 2020-2022 Performance Period</w:t>
      </w:r>
      <w:r>
        <w:rPr>
          <w:rFonts w:ascii="Arial" w:cs="Arial" w:eastAsia="Arial" w:hAnsi="Arial"/>
          <w:sz w:val="16"/>
          <w:szCs w:val="16"/>
          <w:color w:val="auto"/>
        </w:rPr>
        <w:t>” above for more information on the targets.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OUTSTANDING EQUITY AWARDS AT FISCAL YEAR-END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97"/>
              </w:rPr>
              <w:t>Option Awards</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3"/>
                <w:szCs w:val="13"/>
                <w:b w:val="1"/>
                <w:bCs w:val="1"/>
                <w:color w:val="auto"/>
              </w:rPr>
              <w:t>Stock Awards</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rPr>
              <w:t>Market</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Shares,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Shares or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w w:val="94"/>
              </w:rPr>
              <w:t>Unearned Shares,</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Securities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Units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93"/>
              </w:rPr>
              <w:t>or Units</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of Stock</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300" w:type="dxa"/>
            <w:vAlign w:val="bottom"/>
          </w:tcPr>
          <w:p>
            <w:pPr>
              <w:spacing w:after="0"/>
              <w:rPr>
                <w:sz w:val="12"/>
                <w:szCs w:val="12"/>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That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That</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c>
          <w:tcPr>
            <w:tcW w:w="300" w:type="dxa"/>
            <w:vAlign w:val="bottom"/>
          </w:tcPr>
          <w:p>
            <w:pPr>
              <w:spacing w:after="0"/>
              <w:rPr>
                <w:sz w:val="12"/>
                <w:szCs w:val="12"/>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Exercise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Have</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96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Options (#)</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3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Price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Expiration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91"/>
              </w:rPr>
              <w:t>Not Vested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Vested</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040" w:type="dxa"/>
            <w:vAlign w:val="bottom"/>
            <w:gridSpan w:val="2"/>
          </w:tcPr>
          <w:p>
            <w:pPr>
              <w:jc w:val="center"/>
              <w:ind w:left="169"/>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ind w:right="211"/>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($)(1)</w:t>
            </w:r>
          </w:p>
        </w:tc>
        <w:tc>
          <w:tcPr>
            <w:tcW w:w="126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Harvey S. Kanter</w:t>
            </w: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720,000</w:t>
            </w:r>
          </w:p>
        </w:tc>
        <w:tc>
          <w:tcPr>
            <w:tcW w:w="46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576,000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180,000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144,000</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137,006</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109,605</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450,000</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6/10/2030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884,080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line="157" w:lineRule="exact"/>
              <w:rPr>
                <w:sz w:val="20"/>
                <w:szCs w:val="20"/>
                <w:color w:val="auto"/>
              </w:rPr>
            </w:pPr>
            <w:r>
              <w:rPr>
                <w:rFonts w:ascii="Arial" w:cs="Arial" w:eastAsia="Arial" w:hAnsi="Arial"/>
                <w:sz w:val="14"/>
                <w:szCs w:val="14"/>
                <w:b w:val="1"/>
                <w:bCs w:val="1"/>
                <w:color w:val="auto"/>
              </w:rPr>
              <w:t>Peter H. Stratton, Jr.</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8,587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20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195,636</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23,672</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18,938</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30,317</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24,254</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Ujjwal Dhoot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148,584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20,315</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ind w:left="160"/>
              <w:spacing w:after="0"/>
              <w:rPr>
                <w:sz w:val="20"/>
                <w:szCs w:val="20"/>
                <w:color w:val="auto"/>
              </w:rPr>
            </w:pPr>
            <w:r>
              <w:rPr>
                <w:rFonts w:ascii="Arial" w:cs="Arial" w:eastAsia="Arial" w:hAnsi="Arial"/>
                <w:sz w:val="14"/>
                <w:szCs w:val="14"/>
                <w:color w:val="auto"/>
              </w:rPr>
              <w:t>16,252</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21,523</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17,218</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line="157" w:lineRule="exact"/>
              <w:rPr>
                <w:sz w:val="20"/>
                <w:szCs w:val="20"/>
                <w:color w:val="auto"/>
              </w:rPr>
            </w:pPr>
            <w:r>
              <w:rPr>
                <w:rFonts w:ascii="Arial" w:cs="Arial" w:eastAsia="Arial" w:hAnsi="Arial"/>
                <w:sz w:val="14"/>
                <w:szCs w:val="14"/>
                <w:b w:val="1"/>
                <w:bCs w:val="1"/>
                <w:color w:val="auto"/>
              </w:rPr>
              <w:t>Robert S. Molloy</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13,955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20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185,731</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22,474</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17,979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28,783</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23,026</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Anthony J. Gaeta</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18,719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146,108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17,080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13,664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22,642</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18,114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$0.80 on January 29, 2021.</w:t>
      </w:r>
    </w:p>
    <w:p>
      <w:pPr>
        <w:spacing w:after="0" w:line="130" w:lineRule="exact"/>
        <w:rPr>
          <w:rFonts w:ascii="Arial" w:cs="Arial" w:eastAsia="Arial" w:hAnsi="Arial"/>
          <w:sz w:val="18"/>
          <w:szCs w:val="18"/>
          <w:color w:val="auto"/>
        </w:rPr>
      </w:pPr>
    </w:p>
    <w:p>
      <w:pPr>
        <w:ind w:left="740" w:right="20" w:hanging="368"/>
        <w:spacing w:after="0" w:line="279"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awards represent sign-on awards to Mr. Kanter and consists of a grant of 240,000 RSUs that will vest ratably over four years, beginning on April 1, 2020 and a grant of 720,000 PSUs that will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w:t>
      </w:r>
    </w:p>
    <w:p>
      <w:pPr>
        <w:spacing w:after="0" w:line="63"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August 7, 2019 in connection with our 2019-2021 LTIP. These awards vest in three remaining tranches on April 1, 2021, April 1, 2022 and April 1, 2023.</w:t>
      </w:r>
    </w:p>
    <w:p>
      <w:pPr>
        <w:spacing w:after="0" w:line="62" w:lineRule="exact"/>
        <w:rPr>
          <w:rFonts w:ascii="Arial" w:cs="Arial" w:eastAsia="Arial" w:hAnsi="Arial"/>
          <w:sz w:val="18"/>
          <w:szCs w:val="18"/>
          <w:color w:val="auto"/>
        </w:rPr>
      </w:pPr>
    </w:p>
    <w:p>
      <w:pPr>
        <w:ind w:left="740" w:right="20" w:hanging="368"/>
        <w:spacing w:after="0" w:line="279"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award represents a discretionary grant of stock options to Mr. Kanter that will vest in three equal tranches, with the first tranche vesting on June 10, 2021, and the remaining tranches vesting on April 1, 2022 and April 1, 2023. The Compensation Committee granted these stock options to Mr. Kanter to ensure and preserve continuity of leadership through the COVID-19 pandemic and the uncertain recovery period, and accordingly to provide Mr. Kanter with a long-term equity incentive that aligns his interests with those of our stockholders.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ind w:left="740" w:right="44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awards represent the stock options granted on June 11, 2020 in connection with the time-based portion of our 2020-2022 LTIP. These awards vest in four equal tranches on June 11, 2021, April 1, 2022, April 1, 2023 and April 1, 2024.</w:t>
      </w:r>
    </w:p>
    <w:p>
      <w:pPr>
        <w:spacing w:after="0" w:line="62" w:lineRule="exact"/>
        <w:rPr>
          <w:rFonts w:ascii="Arial" w:cs="Arial" w:eastAsia="Arial" w:hAnsi="Arial"/>
          <w:sz w:val="18"/>
          <w:szCs w:val="18"/>
          <w:color w:val="auto"/>
        </w:rPr>
      </w:pPr>
    </w:p>
    <w:p>
      <w:pPr>
        <w:ind w:left="740" w:right="40" w:hanging="368"/>
        <w:spacing w:after="0" w:line="263"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October 24, 2018 in connection with our 2018-2020 LTIP, except with respect to Mr. Dhoot for which awards where granted on December 16, 2019. These awards vest in two remaining tranches on April 1, 2021 and April 1, 2022.</w:t>
      </w:r>
    </w:p>
    <w:p>
      <w:pPr>
        <w:spacing w:after="0" w:line="18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 xml:space="preserve">Option Exercises and Stock Vested Table. </w:t>
      </w:r>
      <w:r>
        <w:rPr>
          <w:rFonts w:ascii="Arial" w:cs="Arial" w:eastAsia="Arial" w:hAnsi="Arial"/>
          <w:sz w:val="16"/>
          <w:szCs w:val="16"/>
          <w:color w:val="auto"/>
        </w:rPr>
        <w:t>The following table sets forth information for the Named Executive Officers with respect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awards and the vesting of stock awards during fiscal 2020. No options were exercised by any Named Executive Officer in fiscal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Number of shares</w:t>
            </w:r>
          </w:p>
        </w:tc>
        <w:tc>
          <w:tcPr>
            <w:tcW w:w="300" w:type="dxa"/>
            <w:vAlign w:val="bottom"/>
          </w:tcPr>
          <w:p>
            <w:pPr>
              <w:spacing w:after="0"/>
              <w:rPr>
                <w:sz w:val="11"/>
                <w:szCs w:val="11"/>
                <w:color w:val="auto"/>
              </w:rPr>
            </w:pPr>
          </w:p>
        </w:tc>
        <w:tc>
          <w:tcPr>
            <w:tcW w:w="1260" w:type="dxa"/>
            <w:vAlign w:val="bottom"/>
          </w:tcPr>
          <w:p>
            <w:pPr>
              <w:jc w:val="center"/>
              <w:ind w:right="217"/>
              <w:spacing w:after="0" w:line="133" w:lineRule="exact"/>
              <w:rPr>
                <w:sz w:val="20"/>
                <w:szCs w:val="20"/>
                <w:color w:val="auto"/>
              </w:rPr>
            </w:pPr>
            <w:r>
              <w:rPr>
                <w:rFonts w:ascii="Arial" w:cs="Arial" w:eastAsia="Arial" w:hAnsi="Arial"/>
                <w:sz w:val="14"/>
                <w:szCs w:val="14"/>
                <w:b w:val="1"/>
                <w:bCs w:val="1"/>
                <w:color w:val="auto"/>
                <w:w w:val="93"/>
              </w:rPr>
              <w:t>Value 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Vested (1)</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on Vesting (2)</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105,669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60" w:type="dxa"/>
            <w:vAlign w:val="bottom"/>
          </w:tcPr>
          <w:p>
            <w:pPr>
              <w:jc w:val="right"/>
              <w:spacing w:after="0"/>
              <w:rPr>
                <w:sz w:val="20"/>
                <w:szCs w:val="20"/>
                <w:color w:val="auto"/>
              </w:rPr>
            </w:pPr>
            <w:r>
              <w:rPr>
                <w:rFonts w:ascii="Arial" w:cs="Arial" w:eastAsia="Arial" w:hAnsi="Arial"/>
                <w:sz w:val="18"/>
                <w:szCs w:val="18"/>
                <w:color w:val="auto"/>
              </w:rPr>
              <w:t>43,741</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113,486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60" w:type="dxa"/>
            <w:vAlign w:val="bottom"/>
          </w:tcPr>
          <w:p>
            <w:pPr>
              <w:jc w:val="right"/>
              <w:spacing w:after="0"/>
              <w:rPr>
                <w:sz w:val="20"/>
                <w:szCs w:val="20"/>
                <w:color w:val="auto"/>
              </w:rPr>
            </w:pPr>
            <w:r>
              <w:rPr>
                <w:rFonts w:ascii="Arial" w:cs="Arial" w:eastAsia="Arial" w:hAnsi="Arial"/>
                <w:sz w:val="18"/>
                <w:szCs w:val="18"/>
                <w:color w:val="auto"/>
              </w:rPr>
              <w:t>42,015</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80" w:right="180" w:hanging="418"/>
        <w:spacing w:after="0" w:line="308"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stock awards that vested during fiscal 2020 include the time-based awards granted under the 2017-2018 LTIP, 2018-2020 LTIP and 2019-2021 LTIP. The number of shares vested for Messrs. Kanter and Dhoot also include shares that vested pursuant to sign-on awards.</w:t>
      </w:r>
    </w:p>
    <w:p>
      <w:pPr>
        <w:spacing w:after="0" w:line="38" w:lineRule="exact"/>
        <w:rPr>
          <w:rFonts w:ascii="Arial" w:cs="Arial" w:eastAsia="Arial" w:hAnsi="Arial"/>
          <w:sz w:val="17"/>
          <w:szCs w:val="17"/>
          <w:color w:val="auto"/>
        </w:rPr>
      </w:pPr>
    </w:p>
    <w:p>
      <w:pPr>
        <w:ind w:left="480" w:right="220" w:hanging="418"/>
        <w:spacing w:after="0" w:line="286"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table.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fiscal 2018, the Board ratified and approved the recommendation of the Company’s management team to suspend employer contributions to the 401(k) Plan, for the period from July 1, 2018 until December 31, 2019. Effective January 1, 2020, the 401(k) Plan resumed its qualified automatic contribution arrangement (“QACA”) status, and accordingly an employer match was earned in fiscal 2020. However for the 2021 plan year, the Company has suspended its QACA safe harbor and, while the Company has the discretion to make an employer match for 2021, it will not be required. The Company has the option to resume its QACA status in 2022.</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Seymour Holtzman served as a member of the Board from April 2000 until August 12, 2020. During that time,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2014, the Company and Mr. Holtzman entered into an Employment and Chairman Compensation Agreement (the “Compensation Agreement”) for his services as Executive Chairman and as an employee of the Company. The Compensation Agreement was most recently amended on August 9, 2018 to reduce his annual compensation as Executive Chairman to $176,000, along with an annual base salary of $24,000 for his services as an employee of the Company. At that time, the Company also provided written notification to Mr. Holtzman that the Company would not be extending the term of the Compensation Agreement and, as a result, the Compensation Agreement terminated on August 7,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Pursuant to its charter, the Audit Committee reviews all related-party transactions on an ongoing basis and, to the extent required by the Sarbanes−Oxley Act of 2002, the SEC or applicable exchange (whether Nasdaq or OTCQX),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was the primary responsibility of the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2020, we believe that the Reporting Persons complied with all applicable Section 16(a) reporting requirements and that all required reports were filed in a timely manner, except for two Form 4s, which were filed late by the Company on August 21, 2020, for Messrs. Boyle and Conacher, to report incremental director compensation related to their respective committee chairperson appointments and Mr. Conacher’s appointment to Chairman of the Board.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required under the Dodd-Frank Act, and in accordance with the recommendation by our Board and approval by our stockholders in 2017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provides a summary of our financial performance in fiscal 2020, given the adverse impact of the COVID-19 pandemic and describes our executive compensation programs and the decisions made by the Compensation Committee with respect to compensation for fiscal 2020. We encourage you to read our “</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for a complete discussion of management’s and the Company’s workforce’s efforts to keep the Company viable and get it successfully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pandemic as well a complete discussion of our executive compensation program, including detailed information about the fiscal 2020 compensation of our Named Executive Officers.</w:t>
      </w:r>
    </w:p>
    <w:p>
      <w:pPr>
        <w:spacing w:after="0" w:line="192"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approval of the compensation of our Named Executive Officers as disclosed in this Proxy Statement.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left="360" w:right="380"/>
        <w:spacing w:after="0" w:line="282" w:lineRule="auto"/>
        <w:rPr>
          <w:sz w:val="20"/>
          <w:szCs w:val="20"/>
          <w:color w:val="auto"/>
        </w:rPr>
      </w:pPr>
      <w:r>
        <w:rPr>
          <w:rFonts w:ascii="Arial" w:cs="Arial" w:eastAsia="Arial" w:hAnsi="Arial"/>
          <w:sz w:val="18"/>
          <w:szCs w:val="18"/>
          <w:b w:val="1"/>
          <w:bCs w:val="1"/>
          <w:color w:val="auto"/>
        </w:rPr>
        <w:t>APPROVAL OF AMENDMENT TO OUR RESTATED CERTIFICATE OF INCORPORATION TO INCREASE THE AUTHORIZED NUMBER OF SHARES OF COMMON STOCK FROM 100,000,000 SHARES TO 125,000,000 SHARES</w:t>
      </w:r>
    </w:p>
    <w:p>
      <w:pPr>
        <w:spacing w:after="0" w:line="19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Board of Directors has unanimously approved an amendment to our Restated Certificate of Incorporation to increase the total authorized number of shares of our common stock from 100,000,000 shares to 125,000,000 shares, thereby increasing our total authorized capital stock from 101,000,000 shares to 126,000,000 shares.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amendment to the Restated Certificate of Incorporation (the “Amendment”) will increase the authorized common stock by amending and restating section 4.1 of Article FOURTH of the Restated Certificate of Incorporation, so that, as amended, it will read as follows:</w:t>
      </w:r>
    </w:p>
    <w:p>
      <w:pPr>
        <w:spacing w:after="0" w:line="170" w:lineRule="exact"/>
        <w:rPr>
          <w:sz w:val="20"/>
          <w:szCs w:val="20"/>
          <w:color w:val="auto"/>
        </w:rPr>
      </w:pPr>
    </w:p>
    <w:p>
      <w:pPr>
        <w:ind w:left="760" w:right="140"/>
        <w:spacing w:after="0" w:line="263" w:lineRule="auto"/>
        <w:rPr>
          <w:sz w:val="20"/>
          <w:szCs w:val="20"/>
          <w:color w:val="auto"/>
        </w:rPr>
      </w:pPr>
      <w:r>
        <w:rPr>
          <w:rFonts w:ascii="Arial" w:cs="Arial" w:eastAsia="Arial" w:hAnsi="Arial"/>
          <w:sz w:val="18"/>
          <w:szCs w:val="18"/>
          <w:color w:val="auto"/>
        </w:rPr>
        <w:t>“The total authorized stock of the Corporation shall be 126,000,000 shares, divided into: (i) 125,000,000 shares of Common Stock having a par value of $0.01 per share (“Common Stock”); and (ii) 1,000,000 shares of Preferred Stock having a par value of $0.01 per share (“Preferred Stock”).”</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A copy of the proposed Certificate of Amendment to the Restated Certificate reflecting the Amendment is set forth in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hereto and is incorporated by reference. The Certificate of Amendment will only become effective if stockholders holding a majority of our outstanding common stock approve it.</w:t>
      </w:r>
    </w:p>
    <w:p>
      <w:pPr>
        <w:spacing w:after="0" w:line="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May 1, 2021, the authorized capital stock of the Company consisted of (i) 100,000,000 shares of Common Stock and (ii) 1,000,000 shares of preferred stock of the Company. As of May 1, 2021:</w:t>
      </w:r>
    </w:p>
    <w:p>
      <w:pPr>
        <w:spacing w:after="0" w:line="62" w:lineRule="exact"/>
        <w:rPr>
          <w:sz w:val="20"/>
          <w:szCs w:val="20"/>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76,212,032 shares of our common stock were issued (of which 12,755,873 shares were held in treasury),</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shares of our preferred stock were issued and outstanding,</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5,143,193 shares of our common stock were reserved for issuance upon exercise of outstanding options,</w:t>
      </w:r>
    </w:p>
    <w:p>
      <w:pPr>
        <w:spacing w:after="0" w:line="9" w:lineRule="exact"/>
        <w:rPr>
          <w:rFonts w:ascii="Arial" w:cs="Arial" w:eastAsia="Arial" w:hAnsi="Arial"/>
          <w:sz w:val="18"/>
          <w:szCs w:val="18"/>
          <w:color w:val="auto"/>
        </w:rPr>
      </w:pPr>
    </w:p>
    <w:p>
      <w:pPr>
        <w:ind w:left="740" w:right="260" w:hanging="368"/>
        <w:spacing w:after="0" w:line="250"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1,670,859 shares of our common stock were reserved for issuance upon vesting of restricted stock units, performance stock units and deferred stock units,</w:t>
      </w: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863,518 shares were reserved for future issuance under our Non-Employee Director Compensation Plan,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22,901 shares were reserved for future issuance under our 2016 Plan.</w:t>
      </w:r>
    </w:p>
    <w:p>
      <w:pPr>
        <w:spacing w:after="0" w:line="31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Accordingly, as of May 1, 2021, an aggregate of 83,912,503 shares of our common stock, out of 100,000,000 shares authorized, were issued and outstanding or reserved for issuance, leaving only 16,087,497 shares available for future issuance. If Proposal 4 of this Proxy Statement is approved, the shares available for future issuance will be further reduced by 4,855,000 shares, the number of shares to be reserved for future issuance under our 2016 Plan. The additional shares of common stock authorized for issuance by the Amendment would be a part of the existing class of common stock and, if and when issued, would have the same rights and privileges as the common stock presently issued and outstanding. The Company’s stockholders do not have preemptive rights with respect to its common stock and accordingly, should the Board elect to issue additional shares of common stock, existing stockholders would not have any preferential rights to purchase the shares.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Proposal</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Preserving and strengthening our liquidity position during the COVID-19 pandemic was one of our key objectives. In February 2021, we completed a direct private offering pursuant to which we issued 11.1 million shares and raised $5.0 million of proceeds, before offering costs. In addition, because our stock, which was impacted by the pandemic, traded from a high of $1.09 per share in February 2020 to a low of $0.20 per share in December 2020, we utilized a higher number of shares for our executive incentive plans, which are dollar-based, and for our director compensation.</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increase in the authorized shares of our common stock is intended to provide our Board of Directors with authority, without further action of the stockholders, to issue additional shares of common stock from time to time as the Board of Directors deems necessary. The Board of Directors believes it is desirable to have the ability to issue such additional shares of common stock from time to time to provide flexibility in addressing the financing needs of the Company and for general corporate purposes. Potential uses of the additional authorized shares include equity financings, stock dividends or distributions, acquisitions of businesses, and issuance of common stock upon the exercise of warrants, options, rights, and other convertible securities of the Company. The Company currently has no plans or arrangements to issue the additional authorized shares of common stock that will result in the event that the Company’s stockholders approve the Amendment. The Board last requested a similar increase in shares in 2009. As a result of the low share price during the pandemic and the completion of the registered direct offering for 11.1 million shares, the Board has determined that it is in the best interests of the Company and its shareholders to request these additional shares.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Effects of the Proposal</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implementation of the Amendment would not have an immediate dilutive effect on the proportionate voting power or other rights of the Company’s existing stockholders. The Board has no current plan, arrangement, commitment or understanding to issue shares from the additional authorized shares provided by the Amendment. However, any future issuance of additional authorized shares of our common stock, at the future direction of the Board, generally without the requirement of stockholder approval (unless specifically required by applicable law) may, among other things, dilute the earnings per share of common stock and the equity and voting rights of those holding common stock at the time such additional shares are issued.</w:t>
      </w:r>
    </w:p>
    <w:p>
      <w:pPr>
        <w:spacing w:after="0" w:line="16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increase could deter takeovers, in that additional shares could be issued (within the limits imposed by applicable law) in one or more transactions that could make a change in control or takeover of the Company more difficult. For example, additional shares could be issued by us so as to dilute the stock ownership or voting rights of persons seeking to obtain control of the Company. Similarly, the issuance of additional shares to certain persons allied with our management could have the effect of making it more difficult to remove our current management by diluting the stock ownership or voting rights of persons seeking to cause such removal. The Board is not presenting this proposal with the intent that it be utilized as a type of anti-takeover device.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affirmative vote of a majority of the outstanding shares of our common stock on the record date is required to approve this proposal. Any abstentions and broker non-votes will have the same effect as a vote “</w:t>
      </w:r>
      <w:r>
        <w:rPr>
          <w:rFonts w:ascii="Arial" w:cs="Arial" w:eastAsia="Arial" w:hAnsi="Arial"/>
          <w:sz w:val="18"/>
          <w:szCs w:val="18"/>
          <w:i w:val="1"/>
          <w:iCs w:val="1"/>
          <w:color w:val="auto"/>
        </w:rPr>
        <w:t>AGAINST</w:t>
      </w:r>
      <w:r>
        <w:rPr>
          <w:rFonts w:ascii="Arial" w:cs="Arial" w:eastAsia="Arial" w:hAnsi="Arial"/>
          <w:sz w:val="18"/>
          <w:szCs w:val="18"/>
          <w:color w:val="auto"/>
        </w:rPr>
        <w:t>” this proposal. The Amendment, if approved, would become effective upon the filing of a Certificate of Amendment with the Secretary of State of the State of Delaware, which we expect to accomplish as soon as practicable after the approval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The Board of Directors recommends that stockholders vote FOR the approval of the amendment to the Company’s Restated Certificate of Incorporation to increase the authorized number of shares of common stock from 100,000,000 shares to 125,000,000.</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left="360"/>
        <w:spacing w:after="0" w:line="282" w:lineRule="auto"/>
        <w:rPr>
          <w:sz w:val="20"/>
          <w:szCs w:val="20"/>
          <w:color w:val="auto"/>
        </w:rPr>
      </w:pPr>
      <w:r>
        <w:rPr>
          <w:rFonts w:ascii="Arial" w:cs="Arial" w:eastAsia="Arial" w:hAnsi="Arial"/>
          <w:sz w:val="18"/>
          <w:szCs w:val="18"/>
          <w:b w:val="1"/>
          <w:bCs w:val="1"/>
          <w:color w:val="auto"/>
        </w:rPr>
        <w:t>APPROVAL OF AMENDMENTS TO OUR 2016 INCENTIVE COMPENSATION PLAN TO INCREASE THE TOTAL NUMBER OF SHARES OF COMMON STOCK AUTHORIZED FOR ISSUANCE UNDER THE PLAN BY 4,855,000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recommendation of our Compensation Committee, the Board is seeking stockholder approval of amendments to our 2016 Incentive Compensation Plan (the “2016 Plan”) to increase the total number of shares of common stock authorized for issuance under the 2016 Plan by 4,855,000 shares and correspondingly to increase the maximum number of shares that may be delivered under the 2016 Plan as a result of the exercising of incentive stock options. The 2016 Plan was originally approved by stockholders on August 4, 2016. The stockholders approved an amendment to the 2016 Plan on August 8, 2019 to increase the number of shares of common stock authorized under the 2016 Plan by 2,800,000 shares and on August 12, 2020 to increase the number of shares of common stock by 1,740,000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Plan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Since fiscal 2010, our primary use of equity has been tied to awards granted pursuant to our long-term incentive program (“LTIP”). We have used our LTIPs as a means to provide a source of equity to attract, retain and reward our management team. The 2016 Plan provides us the ability to give participants important incentive and reward opportunities designed to enhance our profitable growth.</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Through the end of fiscal 2020, the 2016 Plan was also needed for our independent directors to satisfy the requirement under our Fourth Amended and Restated Non-Employee Director Compensation Plan (the “Director Plan”) that our directors receive 50% of their annual retainer in the form of equity (“Required Equity”). Pursuant to Nasdaq rules, which were applicable to us until December 2020, shares under the Director Plan were not available for this purpose, therefore we could only issue Required Equity to our directors from a stockholder-approved plan, which is the 2016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Share Request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request for additional shares is essential in order for us to incentivize and retain key employees. The COVID-19 pandemic and the resulting economic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shutdown, which caused us to temporarily close our stores in March 2020, depressed our stock price. During fiscal 2020, our stock price ranged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$0.20 to $1.09 per share. Because the primary use of shares under our 2016 Plan is for our LTIP, which is dollar-denominated, share utilization has become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significant concern because of the low stock price.</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Given the Company’s low stock price and concerns about management retention and compensation, the Compensation Committee took several important steps to conserve availability of shares under the 2016 Plan while still providing our associates, which included our Named Executive Officers, a means for receiving equity compensation that was directly tied to shareholder return. These steps included: (i) restructuring the Director Plan to eliminate the “Required Equity”, thereby eliminating the need to use shares under the 2016 Plan for director compensation in fiscal 2021, (ii) amending the Director Plan to increase the shares available under this plan by 1,000,000 shares, with a maximum quarterly issuance of 250,000 shares, with the expectation that shares issued to directors would be funded from this plan beginning in fiscal 2021, (iii) reducing the percentage of equity issued under the Company’s 2021-2023 LTIP to 25%, (iv) issuing stock options, which count against share availability under the 2016 Plan on a 1:1 basis as compared to the historical use of restricted stock units, which count against share availability on a 1:1.9 basis and (v) amending the LTIP to state that the number of stock options issued would be the lesser of the Black-Scholes Value on the date of grant or a factor of 1.1. to 1.8 of a full-value award on the date of grant, as determined by the Compensation Committee.</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believe that our request for 4,855,000 additional shares will be sufficient to meet expected equity awards through at least August 2023, assuming continued diligent share conservation and an increase in our stock price. If the proposed amendments to the 2016 Plan are not approved, we will lose what has become an indispensable part of our compensation program and we may not be able to satisfy existing commitments under our 2019-2021 LTIP, 2020-2022 LTIP and 2021-2023 LTIP in equity, which, if achieved, would be settled in cash as required under the 2016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Reserve</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May 1, 2021, 22,901 shares of our common stock remained available for issuance under our 2016 Plan. Any outstanding awards under our prior 2006 Incentive Compensation Plan (the “2006 Plan”) as of the effective date of the 2016 Plan that subsequently expire or are cancelled for any reason without having been exercised or paid under the 2006 Plan will become available for grant under the 2016 Plan. At May 1, 2021, there were 412,826 stock options outstanding that were issued under the 2006 Plan. These stock options have an average exercise price of $4.99, with the majority expiring in fiscal 2023. If not exercised, the underlying shares would become available for grant under our 2016 Plan.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7"/>
          <w:szCs w:val="17"/>
          <w:color w:val="auto"/>
        </w:rPr>
        <w:t>As discussed above under “</w:t>
      </w:r>
      <w:r>
        <w:rPr>
          <w:rFonts w:ascii="Arial" w:cs="Arial" w:eastAsia="Arial" w:hAnsi="Arial"/>
          <w:sz w:val="17"/>
          <w:szCs w:val="17"/>
          <w:i w:val="1"/>
          <w:iCs w:val="1"/>
          <w:color w:val="auto"/>
        </w:rPr>
        <w:t>Compensation, Discussion and Analysis- Long-term incentive plans,</w:t>
      </w:r>
      <w:r>
        <w:rPr>
          <w:rFonts w:ascii="Arial" w:cs="Arial" w:eastAsia="Arial" w:hAnsi="Arial"/>
          <w:sz w:val="17"/>
          <w:szCs w:val="17"/>
          <w:color w:val="auto"/>
        </w:rPr>
        <w:t>” to ensure that the Company retained and motivated key employees to drive the business forward beyond the pandemic to create additional long-term stockholder value, in March 2021 the Compensation Committee approved a discretionary grant of stock options to active participants in the 2018-2020 LTIP and Mr. Kanter. The Compensation Committee granted stock options to purchase up to 414,338 shares of common stock, at an exercise price of $0.75 per share, which will vest ratably over three years. The total dollar value of the award was $198,258. Of these stock options, approximately 77,516 shares are subject to the approval by our stockholders of the proposed amendment to increase the shares available under the 2016 Plan. If the amendment to the 2016 Plan to increase the authorized shares is not approved by our stockholders, the options subject to such approval shall be canceled and the participants will instead receive a right to receive cash (determined at the time of grant) subject to the same three-year vesting schedule.</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recommend approval of the amendments to the 2016 Plan so that we may continue to provide equity compensation to attract, motivate, retain and reward high-quality executives and other key employees, officers and directors. See “</w:t>
      </w:r>
      <w:r>
        <w:rPr>
          <w:rFonts w:ascii="Arial" w:cs="Arial" w:eastAsia="Arial" w:hAnsi="Arial"/>
          <w:sz w:val="18"/>
          <w:szCs w:val="18"/>
          <w:i w:val="1"/>
          <w:iCs w:val="1"/>
          <w:color w:val="auto"/>
        </w:rPr>
        <w:t>Compensation Discussion and Analysis—Long-term incentive plans</w:t>
      </w:r>
      <w:r>
        <w:rPr>
          <w:rFonts w:ascii="Arial" w:cs="Arial" w:eastAsia="Arial" w:hAnsi="Arial"/>
          <w:sz w:val="18"/>
          <w:szCs w:val="18"/>
          <w:color w:val="auto"/>
        </w:rPr>
        <w:t>” for a description of our LTIPs.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of 2016 Plan with Stockholders’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spacing w:after="0" w:line="62" w:lineRule="exact"/>
        <w:rPr>
          <w:sz w:val="20"/>
          <w:szCs w:val="20"/>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Minimum vesting period of one year from the date of grant covering 95% of all awards;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discounted stock options;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evergreen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automatic grants or reload;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liberal share recycling;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stated clawback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“Double-trigger” vesting for change in control;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tax gross-ups.</w:t>
      </w:r>
    </w:p>
    <w:p>
      <w:pPr>
        <w:spacing w:after="0" w:line="225" w:lineRule="exact"/>
        <w:rPr>
          <w:sz w:val="20"/>
          <w:szCs w:val="20"/>
          <w:color w:val="auto"/>
        </w:rPr>
      </w:pPr>
    </w:p>
    <w:p>
      <w:pPr>
        <w:ind w:left="380" w:right="40"/>
        <w:spacing w:after="0" w:line="257" w:lineRule="auto"/>
        <w:rPr>
          <w:sz w:val="20"/>
          <w:szCs w:val="20"/>
          <w:color w:val="auto"/>
        </w:rPr>
      </w:pPr>
      <w:r>
        <w:rPr>
          <w:rFonts w:ascii="Arial" w:cs="Arial" w:eastAsia="Arial" w:hAnsi="Arial"/>
          <w:sz w:val="18"/>
          <w:szCs w:val="18"/>
          <w:color w:val="auto"/>
        </w:rPr>
        <w:t>In addition, our incentive-based compensation program is broad-based and not heavily concentrated to only our CEO and/or NEOs. Based on the grant activity for the past three fiscal years, equity awards granted to our CEO, inclusive of his sign-on awards, represented approximately 37.9% of all equity awards granted under our 2016 Plan. Grants to our NEOs, including our CEO and sign-on awards, represented approximately 55.4% of the total equity awards granted under our 2016 Plan over the past three fiscal years. These percentages are higher because they include sign-on grants to Mr. Kanter and Mr. Dhoot in fiscal 2019.</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Key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5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shares requested under amendment to the 2016 Plan</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4,855,000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Shares as of May 1, 2021:</w:t>
            </w: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2016 Plan, including options outstanding under 2006 Plan</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remaining available for issuance</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Time-based stock options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5,143,193</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8.8 yrs.</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Time-based unvested full-value awards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515,291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 yrs.</w:t>
            </w:r>
            <w:r>
              <w:rPr>
                <w:rFonts w:ascii="Arial" w:cs="Arial" w:eastAsia="Arial" w:hAnsi="Arial"/>
                <w:sz w:val="15"/>
                <w:szCs w:val="15"/>
                <w:color w:val="auto"/>
                <w:w w:val="93"/>
              </w:rPr>
              <w:t>(2)</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Deferred stock awards payable to directors</w:t>
            </w:r>
          </w:p>
        </w:tc>
        <w:tc>
          <w:tcPr>
            <w:tcW w:w="1580" w:type="dxa"/>
            <w:vAlign w:val="bottom"/>
          </w:tcPr>
          <w:p>
            <w:pPr>
              <w:jc w:val="right"/>
              <w:spacing w:after="0"/>
              <w:rPr>
                <w:sz w:val="20"/>
                <w:szCs w:val="20"/>
                <w:color w:val="auto"/>
              </w:rPr>
            </w:pPr>
            <w:r>
              <w:rPr>
                <w:rFonts w:ascii="Arial" w:cs="Arial" w:eastAsia="Arial" w:hAnsi="Arial"/>
                <w:sz w:val="18"/>
                <w:szCs w:val="18"/>
                <w:color w:val="auto"/>
              </w:rPr>
              <w:t>435,568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Performance-based unvested full-value awards outstanding</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1.9 yrs.</w:t>
            </w:r>
          </w:p>
        </w:tc>
        <w:tc>
          <w:tcPr>
            <w:tcW w:w="0" w:type="dxa"/>
            <w:vAlign w:val="bottom"/>
          </w:tcPr>
          <w:p>
            <w:pPr>
              <w:spacing w:after="0"/>
              <w:rPr>
                <w:sz w:val="1"/>
                <w:szCs w:val="1"/>
                <w:color w:val="auto"/>
              </w:rPr>
            </w:pPr>
          </w:p>
        </w:tc>
      </w:tr>
      <w:tr>
        <w:trPr>
          <w:trHeight w:val="223"/>
        </w:trPr>
        <w:tc>
          <w:tcPr>
            <w:tcW w:w="6860" w:type="dxa"/>
            <w:vAlign w:val="bottom"/>
          </w:tcPr>
          <w:p>
            <w:pPr>
              <w:ind w:left="380"/>
              <w:spacing w:after="0"/>
              <w:rPr>
                <w:sz w:val="20"/>
                <w:szCs w:val="20"/>
                <w:color w:val="auto"/>
              </w:rPr>
            </w:pPr>
            <w:r>
              <w:rPr>
                <w:rFonts w:ascii="Arial" w:cs="Arial" w:eastAsia="Arial" w:hAnsi="Arial"/>
                <w:sz w:val="18"/>
                <w:szCs w:val="18"/>
                <w:color w:val="auto"/>
              </w:rPr>
              <w:t>Total full value awards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1,670,859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Non-Employee Director Compensation Plan </w:t>
            </w:r>
            <w:r>
              <w:rPr>
                <w:rFonts w:ascii="Arial" w:cs="Arial" w:eastAsia="Arial" w:hAnsi="Arial"/>
                <w:sz w:val="15"/>
                <w:szCs w:val="15"/>
                <w:b w:val="1"/>
                <w:bCs w:val="1"/>
                <w:color w:val="auto"/>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863,518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60" w:type="dxa"/>
            <w:vAlign w:val="bottom"/>
            <w:gridSpan w:val="2"/>
          </w:tcPr>
          <w:p>
            <w:pPr>
              <w:jc w:val="center"/>
              <w:ind w:right="6250"/>
              <w:spacing w:after="0"/>
              <w:rPr>
                <w:sz w:val="20"/>
                <w:szCs w:val="20"/>
                <w:color w:val="auto"/>
              </w:rPr>
            </w:pPr>
            <w:r>
              <w:rPr>
                <w:rFonts w:ascii="Arial" w:cs="Arial" w:eastAsia="Arial" w:hAnsi="Arial"/>
                <w:sz w:val="18"/>
                <w:szCs w:val="18"/>
                <w:b w:val="1"/>
                <w:bCs w:val="1"/>
                <w:color w:val="auto"/>
                <w:w w:val="95"/>
              </w:rPr>
              <w:t>Other data:</w:t>
            </w:r>
          </w:p>
        </w:tc>
        <w:tc>
          <w:tcPr>
            <w:tcW w:w="3980" w:type="dxa"/>
            <w:vAlign w:val="bottom"/>
          </w:tcPr>
          <w:p>
            <w:pPr>
              <w:spacing w:after="0"/>
              <w:rPr>
                <w:sz w:val="19"/>
                <w:szCs w:val="19"/>
                <w:color w:val="auto"/>
              </w:rPr>
            </w:pPr>
          </w:p>
        </w:tc>
      </w:tr>
      <w:tr>
        <w:trPr>
          <w:trHeight w:val="230"/>
        </w:trPr>
        <w:tc>
          <w:tcPr>
            <w:tcW w:w="7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Burn Rate - 3 yr. average</w:t>
            </w:r>
          </w:p>
        </w:tc>
        <w:tc>
          <w:tcPr>
            <w:tcW w:w="3980" w:type="dxa"/>
            <w:vAlign w:val="bottom"/>
            <w:shd w:val="clear" w:color="auto" w:fill="CFF0FC"/>
          </w:tcPr>
          <w:p>
            <w:pPr>
              <w:jc w:val="right"/>
              <w:ind w:right="2550"/>
              <w:spacing w:after="0"/>
              <w:rPr>
                <w:sz w:val="20"/>
                <w:szCs w:val="20"/>
                <w:color w:val="auto"/>
              </w:rPr>
            </w:pPr>
            <w:r>
              <w:rPr>
                <w:rFonts w:ascii="Arial" w:cs="Arial" w:eastAsia="Arial" w:hAnsi="Arial"/>
                <w:sz w:val="18"/>
                <w:szCs w:val="18"/>
                <w:color w:val="auto"/>
              </w:rPr>
              <w:t>5.4%</w:t>
            </w:r>
          </w:p>
        </w:tc>
      </w:tr>
      <w:tr>
        <w:trPr>
          <w:trHeight w:val="229"/>
        </w:trPr>
        <w:tc>
          <w:tcPr>
            <w:tcW w:w="7260" w:type="dxa"/>
            <w:vAlign w:val="bottom"/>
            <w:gridSpan w:val="2"/>
          </w:tcPr>
          <w:p>
            <w:pPr>
              <w:ind w:left="140"/>
              <w:spacing w:after="0"/>
              <w:rPr>
                <w:sz w:val="20"/>
                <w:szCs w:val="20"/>
                <w:color w:val="auto"/>
              </w:rPr>
            </w:pPr>
            <w:r>
              <w:rPr>
                <w:rFonts w:ascii="Arial" w:cs="Arial" w:eastAsia="Arial" w:hAnsi="Arial"/>
                <w:sz w:val="18"/>
                <w:szCs w:val="18"/>
                <w:color w:val="auto"/>
              </w:rPr>
              <w:t>Dilution - assuming all shares are granted on a 1:1 basis</w:t>
            </w:r>
          </w:p>
        </w:tc>
        <w:tc>
          <w:tcPr>
            <w:tcW w:w="3980" w:type="dxa"/>
            <w:vAlign w:val="bottom"/>
          </w:tcPr>
          <w:p>
            <w:pPr>
              <w:jc w:val="right"/>
              <w:ind w:right="2550"/>
              <w:spacing w:after="0"/>
              <w:rPr>
                <w:sz w:val="20"/>
                <w:szCs w:val="20"/>
                <w:color w:val="auto"/>
              </w:rPr>
            </w:pPr>
            <w:r>
              <w:rPr>
                <w:rFonts w:ascii="Arial" w:cs="Arial" w:eastAsia="Arial" w:hAnsi="Arial"/>
                <w:sz w:val="18"/>
                <w:szCs w:val="18"/>
                <w:color w:val="auto"/>
              </w:rPr>
              <w:t>6.5%</w:t>
            </w:r>
          </w:p>
        </w:tc>
      </w:tr>
      <w:tr>
        <w:trPr>
          <w:trHeight w:val="229"/>
        </w:trPr>
        <w:tc>
          <w:tcPr>
            <w:tcW w:w="7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Overhang</w:t>
            </w:r>
          </w:p>
        </w:tc>
        <w:tc>
          <w:tcPr>
            <w:tcW w:w="3980" w:type="dxa"/>
            <w:vAlign w:val="bottom"/>
            <w:shd w:val="clear" w:color="auto" w:fill="CFF0FC"/>
          </w:tcPr>
          <w:p>
            <w:pPr>
              <w:jc w:val="right"/>
              <w:ind w:right="2550"/>
              <w:spacing w:after="0"/>
              <w:rPr>
                <w:sz w:val="20"/>
                <w:szCs w:val="20"/>
                <w:color w:val="auto"/>
              </w:rPr>
            </w:pPr>
            <w:r>
              <w:rPr>
                <w:rFonts w:ascii="Arial" w:cs="Arial" w:eastAsia="Arial" w:hAnsi="Arial"/>
                <w:sz w:val="18"/>
                <w:szCs w:val="18"/>
                <w:color w:val="auto"/>
              </w:rPr>
              <w:t>15.6%</w:t>
            </w:r>
          </w:p>
        </w:tc>
      </w:tr>
      <w:tr>
        <w:trPr>
          <w:trHeight w:val="567"/>
        </w:trPr>
        <w:tc>
          <w:tcPr>
            <w:tcW w:w="660" w:type="dxa"/>
            <w:vAlign w:val="bottom"/>
          </w:tcPr>
          <w:p>
            <w:pPr>
              <w:jc w:val="center"/>
              <w:ind w:left="210"/>
              <w:spacing w:after="0"/>
              <w:rPr>
                <w:sz w:val="20"/>
                <w:szCs w:val="20"/>
                <w:color w:val="auto"/>
              </w:rPr>
            </w:pPr>
            <w:r>
              <w:rPr>
                <w:rFonts w:ascii="Arial" w:cs="Arial" w:eastAsia="Arial" w:hAnsi="Arial"/>
                <w:sz w:val="18"/>
                <w:szCs w:val="18"/>
                <w:color w:val="auto"/>
                <w:w w:val="90"/>
              </w:rPr>
              <w:t>(1)</w:t>
            </w:r>
          </w:p>
        </w:tc>
        <w:tc>
          <w:tcPr>
            <w:tcW w:w="6600" w:type="dxa"/>
            <w:vAlign w:val="bottom"/>
          </w:tcPr>
          <w:p>
            <w:pPr>
              <w:ind w:left="80"/>
              <w:spacing w:after="0"/>
              <w:rPr>
                <w:sz w:val="20"/>
                <w:szCs w:val="20"/>
                <w:color w:val="auto"/>
              </w:rPr>
            </w:pPr>
            <w:r>
              <w:rPr>
                <w:rFonts w:ascii="Arial" w:cs="Arial" w:eastAsia="Arial" w:hAnsi="Arial"/>
                <w:sz w:val="18"/>
                <w:szCs w:val="18"/>
                <w:color w:val="auto"/>
              </w:rPr>
              <w:t>Represents shares available for stock issuances in lieu of cash for director fees.</w:t>
            </w:r>
          </w:p>
        </w:tc>
        <w:tc>
          <w:tcPr>
            <w:tcW w:w="3980" w:type="dxa"/>
            <w:vAlign w:val="bottom"/>
          </w:tcPr>
          <w:p>
            <w:pPr>
              <w:spacing w:after="0"/>
              <w:rPr>
                <w:sz w:val="24"/>
                <w:szCs w:val="24"/>
                <w:color w:val="auto"/>
              </w:rPr>
            </w:pPr>
          </w:p>
        </w:tc>
      </w:tr>
      <w:tr>
        <w:trPr>
          <w:trHeight w:val="324"/>
        </w:trPr>
        <w:tc>
          <w:tcPr>
            <w:tcW w:w="660" w:type="dxa"/>
            <w:vAlign w:val="bottom"/>
          </w:tcPr>
          <w:p>
            <w:pPr>
              <w:jc w:val="center"/>
              <w:ind w:left="210"/>
              <w:spacing w:after="0"/>
              <w:rPr>
                <w:sz w:val="20"/>
                <w:szCs w:val="20"/>
                <w:color w:val="auto"/>
              </w:rPr>
            </w:pPr>
            <w:r>
              <w:rPr>
                <w:rFonts w:ascii="Arial" w:cs="Arial" w:eastAsia="Arial" w:hAnsi="Arial"/>
                <w:sz w:val="18"/>
                <w:szCs w:val="18"/>
                <w:color w:val="auto"/>
                <w:w w:val="90"/>
              </w:rPr>
              <w:t>(2)</w:t>
            </w:r>
          </w:p>
        </w:tc>
        <w:tc>
          <w:tcPr>
            <w:tcW w:w="6600" w:type="dxa"/>
            <w:vAlign w:val="bottom"/>
          </w:tcPr>
          <w:p>
            <w:pPr>
              <w:ind w:left="80"/>
              <w:spacing w:after="0"/>
              <w:rPr>
                <w:sz w:val="20"/>
                <w:szCs w:val="20"/>
                <w:color w:val="auto"/>
              </w:rPr>
            </w:pPr>
            <w:r>
              <w:rPr>
                <w:rFonts w:ascii="Arial" w:cs="Arial" w:eastAsia="Arial" w:hAnsi="Arial"/>
                <w:sz w:val="18"/>
                <w:szCs w:val="18"/>
                <w:color w:val="auto"/>
              </w:rPr>
              <w:t>Average remaining vesting period of time-based awards.</w:t>
            </w:r>
          </w:p>
        </w:tc>
        <w:tc>
          <w:tcPr>
            <w:tcW w:w="39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 Rate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information regarding annual time-based awards granted for each of the past three fiscal years and the average three-year burn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Time-Based Option</w:t>
            </w: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Performance-Based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Time-Based Full</w:t>
            </w: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Deferred shares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Fiscal Year</w:t>
            </w:r>
          </w:p>
        </w:tc>
        <w:tc>
          <w:tcPr>
            <w:tcW w:w="8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Value Awards</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granted to Directors</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granted to Directors</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Burn Rate (1)</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Awards Granted</w:t>
            </w:r>
          </w:p>
        </w:tc>
        <w:tc>
          <w:tcPr>
            <w:tcW w:w="10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Stock Units Awarded</w:t>
            </w:r>
          </w:p>
        </w:tc>
        <w:tc>
          <w:tcPr>
            <w:tcW w:w="18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7"/>
              </w:rPr>
              <w:t>as compensation</w:t>
            </w:r>
          </w:p>
        </w:tc>
        <w:tc>
          <w:tcPr>
            <w:tcW w:w="1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 compensation</w:t>
            </w:r>
          </w:p>
        </w:tc>
        <w:tc>
          <w:tcPr>
            <w:tcW w:w="26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(Basic)</w:t>
            </w:r>
          </w:p>
        </w:tc>
        <w:tc>
          <w:tcPr>
            <w:tcW w:w="1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3,185,542</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469,088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253,864</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51,317,000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720,000</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1,400,480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196,183</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104,727</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49,992,000</w:t>
            </w:r>
          </w:p>
        </w:tc>
        <w:tc>
          <w:tcPr>
            <w:tcW w:w="12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153,888</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1,087,071</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124,275</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99,300</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49,163,000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3-yr average</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60" w:hanging="368"/>
        <w:spacing w:after="0" w:line="259"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burn rate is calculated as the sum of time-based options and adjusted full-value awards divided by the basic weighted average common shares outstanding. Consistent with a proxy advisory firm’s methodology, all full-value awards have been multiplied by 1.5 (“adjusted full-value award”) for purposes of calculating burn rate. The burn rate calculation does not include the shares and deferred shares granted to directors as compensation in lieu of 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recognizes the impact of dilution on our stockholders, and in evaluating the 2016 Plan sought to balance this concern with our ability to provide our management team with equity compensation as part of our long-term growth initiatives which, in time, we would expect to increase stockholder value. If approved, the issuance of the additional shares to be reserved under the 2016 Plan would dilute the holdings of stockholders by approximately 6.5%, assuming that all shares granted from the 2016 Plan were options or stock appreciation rights. However, with the Company’s expectation that it could grant some full-value awards as part of its compensation programs, in the form of restricted stock or restricted stock units (“RSUs”), the dilution could be less than 3.5%.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00" w:type="dxa"/>
            <w:vAlign w:val="bottom"/>
          </w:tcPr>
          <w:p>
            <w:pPr>
              <w:spacing w:after="0"/>
              <w:rPr>
                <w:sz w:val="15"/>
                <w:szCs w:val="15"/>
                <w:color w:val="auto"/>
              </w:rPr>
            </w:pPr>
          </w:p>
        </w:tc>
        <w:tc>
          <w:tcPr>
            <w:tcW w:w="22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Potential Voting Power Dilution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10"/>
          </w:tcPr>
          <w:p>
            <w:pPr>
              <w:ind w:left="440"/>
              <w:spacing w:after="0"/>
              <w:rPr>
                <w:sz w:val="20"/>
                <w:szCs w:val="20"/>
                <w:color w:val="auto"/>
              </w:rPr>
            </w:pPr>
            <w:r>
              <w:rPr>
                <w:rFonts w:ascii="Arial" w:cs="Arial" w:eastAsia="Arial" w:hAnsi="Arial"/>
                <w:sz w:val="14"/>
                <w:szCs w:val="14"/>
                <w:b w:val="1"/>
                <w:bCs w:val="1"/>
                <w:color w:val="auto"/>
              </w:rPr>
              <w:t xml:space="preserve">Shareholder Value Transfer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right"/>
              <w:ind w:right="200"/>
              <w:spacing w:after="0" w:line="127" w:lineRule="exact"/>
              <w:rPr>
                <w:sz w:val="20"/>
                <w:szCs w:val="20"/>
                <w:color w:val="auto"/>
              </w:rPr>
            </w:pPr>
            <w:r>
              <w:rPr>
                <w:rFonts w:ascii="Arial" w:cs="Arial" w:eastAsia="Arial" w:hAnsi="Arial"/>
                <w:sz w:val="14"/>
                <w:szCs w:val="14"/>
                <w:b w:val="1"/>
                <w:bCs w:val="1"/>
                <w:color w:val="auto"/>
                <w:w w:val="85"/>
              </w:rPr>
              <w:t>Shareholder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xml:space="preserve">Dilution </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Award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Transfer</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 of May 1, 2021:</w:t>
            </w: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right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w w:val="98"/>
              </w:rPr>
              <w:t>Aggregate outstanding stock options, RSUs, PSUs and deferred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6,814,052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0.35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2,384,918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under 2016 Plan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85"/>
              </w:rPr>
              <w:t>0.36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New shares requested under 2016 Plan </w:t>
            </w:r>
            <w:r>
              <w:rPr>
                <w:rFonts w:ascii="Arial" w:cs="Arial" w:eastAsia="Arial" w:hAnsi="Arial"/>
                <w:sz w:val="15"/>
                <w:szCs w:val="15"/>
                <w:b w:val="1"/>
                <w:bCs w:val="1"/>
                <w:color w:val="auto"/>
              </w:rPr>
              <w:t>(3)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4,855,000</w:t>
            </w:r>
          </w:p>
        </w:tc>
        <w:tc>
          <w:tcPr>
            <w:tcW w:w="1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FF0FC"/>
          </w:tcPr>
          <w:p>
            <w:pPr>
              <w:ind w:left="440"/>
              <w:spacing w:after="0"/>
              <w:rPr>
                <w:sz w:val="20"/>
                <w:szCs w:val="20"/>
                <w:color w:val="auto"/>
              </w:rPr>
            </w:pPr>
            <w:r>
              <w:rPr>
                <w:rFonts w:ascii="Arial" w:cs="Arial" w:eastAsia="Arial" w:hAnsi="Arial"/>
                <w:sz w:val="18"/>
                <w:szCs w:val="18"/>
                <w:b w:val="1"/>
                <w:bCs w:val="1"/>
                <w:color w:val="auto"/>
                <w:w w:val="85"/>
              </w:rPr>
              <w:t>0.36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1,747,800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equity dilution including new shares (overhang)</w:t>
            </w:r>
          </w:p>
        </w:tc>
        <w:tc>
          <w:tcPr>
            <w:tcW w:w="940" w:type="dxa"/>
            <w:vAlign w:val="bottom"/>
          </w:tcPr>
          <w:p>
            <w:pPr>
              <w:jc w:val="right"/>
              <w:spacing w:after="0"/>
              <w:rPr>
                <w:sz w:val="20"/>
                <w:szCs w:val="20"/>
                <w:color w:val="auto"/>
              </w:rPr>
            </w:pPr>
            <w:r>
              <w:rPr>
                <w:rFonts w:ascii="Arial" w:cs="Arial" w:eastAsia="Arial" w:hAnsi="Arial"/>
                <w:sz w:val="18"/>
                <w:szCs w:val="18"/>
                <w:color w:val="auto"/>
              </w:rPr>
              <w:t>11,691,953</w:t>
            </w:r>
          </w:p>
        </w:tc>
        <w:tc>
          <w:tcPr>
            <w:tcW w:w="120" w:type="dxa"/>
            <w:vAlign w:val="bottom"/>
            <w:vMerge w:val="continue"/>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Shareholder Value Transfer (new and available)</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1,756,044</w:t>
            </w:r>
          </w:p>
        </w:tc>
        <w:tc>
          <w:tcPr>
            <w:tcW w:w="11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Shareholder Value Transfer</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4,140,963</w:t>
            </w: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 at May 1, 2021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63,456,160</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85"/>
              </w:rPr>
              <w:t>0.40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25,382,464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180" w:hanging="368"/>
        <w:spacing w:after="0" w:line="25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Dilution for the additional shares requested under the 2016 Plan is calculated as the additional shares requested divided by the sum of common shares outstanding, outstanding stock options, deferred stock and RSUs outstanding and shares remaining available for issuance under the 2016 Plan and the additional shares requested. Overhang is calculated as the total equity dilution per the table divided by the sum of common shares outstanding, outstanding stock options, deferred stock and RSUs outstanding and shares remaining available for issuance under the 2016 Plan and the additional shares requested.</w:t>
      </w:r>
    </w:p>
    <w:p>
      <w:pPr>
        <w:spacing w:after="0" w:line="79" w:lineRule="exact"/>
        <w:rPr>
          <w:rFonts w:ascii="Arial" w:cs="Arial" w:eastAsia="Arial" w:hAnsi="Arial"/>
          <w:sz w:val="18"/>
          <w:szCs w:val="18"/>
          <w:color w:val="auto"/>
        </w:rPr>
      </w:pPr>
    </w:p>
    <w:p>
      <w:pPr>
        <w:ind w:left="740" w:right="40" w:hanging="368"/>
        <w:spacing w:after="0" w:line="259"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Shareholder Value Transfer is the sum of the fair value of shares available for grant, shares outstanding under existing awards and new shares requested, the sum of which is then divided by the value of total common shares outstanding at May 1, 2021. The average award value for shares available under the 2016 Plan and the new shares requested of $0.36 was calculated using the 200-day average stock price of the Company’s common stock at March 1, 2021 of $0.40 divided by a fungible ratio of 1.11.</w:t>
      </w:r>
    </w:p>
    <w:p>
      <w:pPr>
        <w:spacing w:after="0" w:line="78" w:lineRule="exact"/>
        <w:rPr>
          <w:rFonts w:ascii="Arial" w:cs="Arial" w:eastAsia="Arial" w:hAnsi="Arial"/>
          <w:sz w:val="18"/>
          <w:szCs w:val="18"/>
          <w:color w:val="auto"/>
        </w:rPr>
      </w:pPr>
    </w:p>
    <w:p>
      <w:pPr>
        <w:ind w:left="740" w:right="280" w:hanging="368"/>
        <w:spacing w:after="0" w:line="286"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dilution calculation assumes all shares granted from the 2016 Plan are options or stock appreciation rights. However, each grant of a full-value award utilizes 1.9 shares from the share reserve. Therefore, if all 4.9 million shares requested were full-value awards, only 2.6 million actual shares would affect dilution to our stockholders, and the effect of dilution would be less than the 6.5% in the table.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30, 2021: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2"/>
              </w:rPr>
              <w:t>Number of securities</w:t>
            </w:r>
          </w:p>
        </w:tc>
        <w:tc>
          <w:tcPr>
            <w:tcW w:w="2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2"/>
              </w:rPr>
              <w:t>Weighted-average</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6"/>
              </w:rPr>
              <w:t>remaining available for</w:t>
            </w:r>
          </w:p>
        </w:tc>
        <w:tc>
          <w:tcPr>
            <w:tcW w:w="2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Number of securities to be</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89"/>
              </w:rPr>
              <w:t>exercise price of</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1"/>
              </w:rPr>
              <w:t>future issuance under</w:t>
            </w:r>
          </w:p>
        </w:tc>
        <w:tc>
          <w:tcPr>
            <w:tcW w:w="2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issued upon exercise of</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1"/>
              </w:rPr>
              <w:t>outstanding</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0"/>
              </w:rPr>
              <w:t>equity compensation plans</w:t>
            </w:r>
          </w:p>
        </w:tc>
        <w:tc>
          <w:tcPr>
            <w:tcW w:w="2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outstanding options,</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2"/>
              </w:rPr>
              <w:t>options, warrants</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89"/>
              </w:rPr>
              <w:t>(excluding securities</w:t>
            </w:r>
          </w:p>
        </w:tc>
        <w:tc>
          <w:tcPr>
            <w:tcW w:w="2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warrants and rights</w:t>
            </w:r>
          </w:p>
        </w:tc>
        <w:tc>
          <w:tcPr>
            <w:tcW w:w="180" w:type="dxa"/>
            <w:vAlign w:val="bottom"/>
          </w:tcPr>
          <w:p>
            <w:pPr>
              <w:spacing w:after="0"/>
              <w:rPr>
                <w:sz w:val="12"/>
                <w:szCs w:val="12"/>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5"/>
              </w:rPr>
              <w:t>and rights</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w w:val="95"/>
              </w:rPr>
              <w:t>reflected in column (a))</w:t>
            </w:r>
          </w:p>
        </w:tc>
        <w:tc>
          <w:tcPr>
            <w:tcW w:w="20" w:type="dxa"/>
            <w:vAlign w:val="bottom"/>
          </w:tcPr>
          <w:p>
            <w:pPr>
              <w:spacing w:after="0"/>
              <w:rPr>
                <w:sz w:val="12"/>
                <w:szCs w:val="12"/>
                <w:color w:val="auto"/>
              </w:rPr>
            </w:pPr>
          </w:p>
        </w:tc>
      </w:tr>
      <w:tr>
        <w:trPr>
          <w:trHeight w:val="161"/>
        </w:trPr>
        <w:tc>
          <w:tcPr>
            <w:tcW w:w="544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10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w:t>
            </w:r>
          </w:p>
        </w:tc>
        <w:tc>
          <w:tcPr>
            <w:tcW w:w="180" w:type="dxa"/>
            <w:vAlign w:val="bottom"/>
          </w:tcPr>
          <w:p>
            <w:pPr>
              <w:spacing w:after="0"/>
              <w:rPr>
                <w:sz w:val="14"/>
                <w:szCs w:val="14"/>
                <w:color w:val="auto"/>
              </w:rPr>
            </w:pPr>
          </w:p>
        </w:tc>
        <w:tc>
          <w:tcPr>
            <w:tcW w:w="1740" w:type="dxa"/>
            <w:vAlign w:val="bottom"/>
            <w:gridSpan w:val="2"/>
          </w:tcPr>
          <w:p>
            <w:pPr>
              <w:jc w:val="center"/>
              <w:ind w:right="410"/>
              <w:spacing w:after="0"/>
              <w:rPr>
                <w:sz w:val="20"/>
                <w:szCs w:val="20"/>
                <w:color w:val="auto"/>
              </w:rPr>
            </w:pPr>
            <w:r>
              <w:rPr>
                <w:rFonts w:ascii="Arial" w:cs="Arial" w:eastAsia="Arial" w:hAnsi="Arial"/>
                <w:sz w:val="13"/>
                <w:szCs w:val="13"/>
                <w:b w:val="1"/>
                <w:bCs w:val="1"/>
                <w:color w:val="auto"/>
                <w:w w:val="96"/>
              </w:rPr>
              <w:t>(b)</w:t>
            </w:r>
          </w:p>
        </w:tc>
        <w:tc>
          <w:tcPr>
            <w:tcW w:w="1840" w:type="dxa"/>
            <w:vAlign w:val="bottom"/>
          </w:tcPr>
          <w:p>
            <w:pPr>
              <w:jc w:val="center"/>
              <w:ind w:right="6"/>
              <w:spacing w:after="0"/>
              <w:rPr>
                <w:sz w:val="20"/>
                <w:szCs w:val="20"/>
                <w:color w:val="auto"/>
              </w:rPr>
            </w:pPr>
            <w:r>
              <w:rPr>
                <w:rFonts w:ascii="Arial" w:cs="Arial" w:eastAsia="Arial" w:hAnsi="Arial"/>
                <w:sz w:val="13"/>
                <w:szCs w:val="13"/>
                <w:b w:val="1"/>
                <w:bCs w:val="1"/>
                <w:color w:val="auto"/>
              </w:rPr>
              <w:t>(c)</w:t>
            </w:r>
          </w:p>
        </w:tc>
        <w:tc>
          <w:tcPr>
            <w:tcW w:w="20" w:type="dxa"/>
            <w:vAlign w:val="bottom"/>
          </w:tcPr>
          <w:p>
            <w:pPr>
              <w:spacing w:after="0"/>
              <w:rPr>
                <w:sz w:val="14"/>
                <w:szCs w:val="14"/>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5,618,441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4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8"/>
                <w:szCs w:val="18"/>
                <w:color w:val="auto"/>
              </w:rPr>
              <w:t>1,456,300</w:t>
            </w:r>
          </w:p>
        </w:tc>
        <w:tc>
          <w:tcPr>
            <w:tcW w:w="20" w:type="dxa"/>
            <w:vAlign w:val="bottom"/>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5,618,441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8"/>
                <w:szCs w:val="18"/>
                <w:color w:val="auto"/>
              </w:rPr>
              <w:t>2,456,300</w:t>
            </w:r>
          </w:p>
        </w:tc>
        <w:tc>
          <w:tcPr>
            <w:tcW w:w="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1880" w:type="dxa"/>
            <w:vAlign w:val="bottom"/>
            <w:gridSpan w:val="2"/>
          </w:tcPr>
          <w:p>
            <w:pPr>
              <w:jc w:val="right"/>
              <w:ind w:right="1524"/>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43" w:name="page44"/>
    <w:bookmarkEnd w:id="43"/>
    <w:p>
      <w:pPr>
        <w:ind w:left="740" w:right="280" w:hanging="36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3,647,581 outstanding stock options, 815,292 outstanding RSUs, 720,000 outstanding PSUs and 435,568 outstanding deferred stock awards.</w:t>
      </w:r>
    </w:p>
    <w:p>
      <w:pPr>
        <w:spacing w:after="0" w:line="170"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weighted-average exercise price is calculated solely based upon outstanding stock options and excludes RSUs, PSUs and deferred stock awards.</w:t>
      </w:r>
    </w:p>
    <w:p>
      <w:pPr>
        <w:spacing w:after="0" w:line="62" w:lineRule="exact"/>
        <w:rPr>
          <w:rFonts w:ascii="Arial" w:cs="Arial" w:eastAsia="Arial" w:hAnsi="Arial"/>
          <w:sz w:val="18"/>
          <w:szCs w:val="18"/>
          <w:color w:val="auto"/>
        </w:rPr>
      </w:pPr>
    </w:p>
    <w:p>
      <w:pPr>
        <w:ind w:left="740" w:right="120" w:hanging="368"/>
        <w:spacing w:after="0" w:line="286"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Pursuant to the Non-Employee Director Compensation Plan, we have 1,500,000 shares authorized for stock issuances in lieu of cash director fees, of which 1,000,000 shares were available at January 30, 2021. Beginning in fiscal 2021, grants of shares are limited to 250,000 shares per quarter. If there is a shortfall, the balance of the directors’ compensation is paid out in cash on a pro-rated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Incentive Compensation Plan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following is a summary of the 2016 Plan and is qualified in its entirety by reference to the full text of the 2016 Plan as proposed to be amended,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The summary of the 2016 Plan may not contain all the information that is important to you and you should read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carefully before you decide how to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2016 Plan is to:</w:t>
      </w:r>
    </w:p>
    <w:p>
      <w:pPr>
        <w:spacing w:after="0" w:line="117" w:lineRule="exact"/>
        <w:rPr>
          <w:sz w:val="20"/>
          <w:szCs w:val="20"/>
          <w:color w:val="auto"/>
        </w:rPr>
      </w:pPr>
    </w:p>
    <w:p>
      <w:pPr>
        <w:ind w:left="740" w:right="820" w:hanging="368"/>
        <w:spacing w:after="0" w:line="232" w:lineRule="auto"/>
        <w:tabs>
          <w:tab w:leader="none" w:pos="7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assist the Company in attracting, motivating, retaining and rewarding high-quality executives and other employees, officers, directors, consultants and other persons who provide services to the Company;</w:t>
      </w:r>
    </w:p>
    <w:p>
      <w:pPr>
        <w:spacing w:after="0" w:line="95" w:lineRule="exact"/>
        <w:rPr>
          <w:rFonts w:ascii="Arial" w:cs="Arial" w:eastAsia="Arial" w:hAnsi="Arial"/>
          <w:sz w:val="22"/>
          <w:szCs w:val="22"/>
          <w:color w:val="auto"/>
        </w:rPr>
      </w:pPr>
    </w:p>
    <w:p>
      <w:pPr>
        <w:ind w:left="740" w:right="520" w:hanging="368"/>
        <w:spacing w:after="0" w:line="232" w:lineRule="auto"/>
        <w:tabs>
          <w:tab w:leader="none" w:pos="7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enable persons participating in the plan to acquire or increase a proprietary interest in the Company in order to strengthen the mutuality of interests between them and our stockholders, and</w:t>
      </w:r>
    </w:p>
    <w:p>
      <w:pPr>
        <w:spacing w:after="0" w:line="84" w:lineRule="exact"/>
        <w:rPr>
          <w:rFonts w:ascii="Arial" w:cs="Arial" w:eastAsia="Arial" w:hAnsi="Arial"/>
          <w:sz w:val="22"/>
          <w:szCs w:val="22"/>
          <w:color w:val="auto"/>
        </w:rPr>
      </w:pPr>
    </w:p>
    <w:p>
      <w:pPr>
        <w:ind w:left="740" w:hanging="368"/>
        <w:spacing w:after="0"/>
        <w:tabs>
          <w:tab w:leader="none" w:pos="740" w:val="left"/>
        </w:tabs>
        <w:numPr>
          <w:ilvl w:val="0"/>
          <w:numId w:val="44"/>
        </w:numPr>
        <w:rPr>
          <w:rFonts w:ascii="Arial" w:cs="Arial" w:eastAsia="Arial" w:hAnsi="Arial"/>
          <w:sz w:val="21"/>
          <w:szCs w:val="21"/>
          <w:color w:val="auto"/>
        </w:rPr>
      </w:pPr>
      <w:r>
        <w:rPr>
          <w:rFonts w:ascii="Arial" w:cs="Arial" w:eastAsia="Arial" w:hAnsi="Arial"/>
          <w:sz w:val="17"/>
          <w:szCs w:val="17"/>
          <w:color w:val="auto"/>
        </w:rPr>
        <w:t>provide persons participating in the plan with performance incentives to expend their maximum efforts in the creation of stockholder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Eligible Participants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persons eligible to receive awards under the 2016 Plan are our officers, directors, employees and consultants or other persons who provide services to our Company. An employee on leave of absence may be considered as still employed for purposes of eligibility for participation in the 2016 Plan. As of the date of this proxy statement, there are approximately 27 employees, 6 non-employee directors as well as service providers of the Company and its affiliates who would be eligible to participate in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has selected the Compensation Committee (the “Committee”) to administer the 2016 Plan. All Committee members must be "non-employee directors" as defined by Rule 16b-3 of the Exchange Act. The Board may in its discretion elect to administer 2016 Plan, provided that it is administered only by those directors who are independent within the meaning of the 2016 Plan. Subject to the terms of the 2016 Plan, the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Available for Awards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shares to be delivered under the 2016 Plan may be authorized but unissued shares of our common stock or treasury shares. Under the 2016 Plan, as proposed to be amended pursuant to this Proposal 4, the total number of shares of common stock that may be subject to the granting of awards under the 2016 Plan shall be equal to the sum of (i) 14,595,000 shares, plus (ii) 525,538 shares that were available for issuance but not granted under the 2006 Plan that rolled into the 2016 Plan on August 4, 2016, plus (iii) the number of shares subject to outstanding awards under the 2006 Plan that are forfeited, expire or terminate without delivery of shares. As of May 1, 2021, 22,901 shares of our common stock remained available for issuance under our 2016 Plan. In addition, at May 1, 2021, included in the total stock options outstanding of 5,143,193 were 412,826 stock options outstanding that were issued under the 2006 Plan, which if not exercised will become available for grant under our 2016 Plan.</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Shares issued in respect of any full-value award, such as restricted stock and RSUs, are counted against the share limit as 1.9 shares of stock for every 1 share issued. Each share issued in respect of stock options or stock appreciation rights (SARs) are counted against the share limit as 1 share of stock for every 1 share issued.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4" w:name="page45"/>
    <w:bookmarkEnd w:id="44"/>
    <w:p>
      <w:pPr>
        <w:ind w:right="280"/>
        <w:spacing w:after="0" w:line="277" w:lineRule="auto"/>
        <w:rPr>
          <w:sz w:val="20"/>
          <w:szCs w:val="20"/>
          <w:color w:val="auto"/>
        </w:rPr>
      </w:pPr>
      <w:r>
        <w:rPr>
          <w:rFonts w:ascii="Arial" w:cs="Arial" w:eastAsia="Arial" w:hAnsi="Arial"/>
          <w:sz w:val="18"/>
          <w:szCs w:val="18"/>
          <w:color w:val="auto"/>
        </w:rPr>
        <w:t>Any shares of stock that again become available for award under the 2016 Plan shall be added as 1 share for every 1 share of stock options or SARs and 1.9 shares for every 1 full-value award.</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Subject to the increase in the share reserve described above, the maximum aggregate number of shares that may be delivered under the 2016 Plan as a result of the exercise of ISOs is 14,595,000 shares. In addition, a director who is not an employee or a consultant may not be granted an award that has a fair value, as of the date of grant, which exceeds $300,000 in the aggregate.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Per-Person Limitations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any fiscal year during any part of which the 2016 Plan is in effect, the number of options, SARs and performance shares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2016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Equitable Adjustments</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Minimum Vesting Requirement</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Except with respect to 5% of the shares of common stock available for awards under the 2016 Plan, no award will become exercisable or otherwise non-forfeitable unless such award has been outstanding for a minimum period of one year from its date of grant. The Committee reserves the general discretion to accelerate vesting of awards in connection with the participant’s death, disability, termination of service or change in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2016 Plan authorizes grants of a variety of awards described below. The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Committee, consistent with the provisions of the 2016 Plan. Each award agreement shall either be (i) in writing in a form approved by the Committee and executed by the Company by an officer duly authorized to act on its behalf, or (ii) an electronic notice in a form approved by the Committee and recorded by the Company in an electronic recordkeeping system used for tracking awards.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Committee is authorized to grant stock options, including both incentive stock options (“ISOs”) (which must comply with provisions of Section 422 of the Internal Revenue Code and can result in potentially favorable tax treatment to the participant)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40"/>
        <w:spacing w:after="0" w:line="275" w:lineRule="auto"/>
        <w:rPr>
          <w:sz w:val="20"/>
          <w:szCs w:val="20"/>
          <w:color w:val="auto"/>
        </w:rPr>
      </w:pPr>
      <w:r>
        <w:rPr>
          <w:rFonts w:ascii="Arial" w:cs="Arial" w:eastAsia="Arial" w:hAnsi="Arial"/>
          <w:sz w:val="17"/>
          <w:szCs w:val="17"/>
          <w:color w:val="auto"/>
        </w:rPr>
        <w:t>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Committee, but must not be less than the fair market value of a share of common stock on the date of grant. The grant price of an SAR is determined by the Committee, but must not be less than (i) the fair market value of a share of common stock on the date of grant or, (ii) in the case of an SAR issued in tandem with an ISO, the exercise price of the option granted in tandem with the SAR.</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purposes of the 2016 Plan, the term "fair market value" means the fair market value of the common stock, awards or other property as determined by the Committee or under procedures established by the Committee. Unless otherwise determined by the Committee or our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aggregate fair market value with respect to ISOs granted under the Plan that become exercisable for the participant during any calendar year shall not exceed $100,000.</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2016 Plan also permits net share settlement of nonqualified stock options. Methods of exercise and settlement and other terms of the SARs are determined by the Committee.</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than in connection with standard adjustments (as set forth in Section 11(c) of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Committee shall not be permitted to take any other action with respect to an option or SAR that may be treated as a repricing, in each case, without approval of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and has the right to receive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 including RSUs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Stock and Awards in Lieu of Cash Obligations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2016 Plan or other plans or compensatory arrangements, subject to such terms as the Committee may specify.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860"/>
        <w:spacing w:after="0" w:line="277" w:lineRule="auto"/>
        <w:rPr>
          <w:sz w:val="20"/>
          <w:szCs w:val="20"/>
          <w:color w:val="auto"/>
        </w:rPr>
      </w:pPr>
      <w:r>
        <w:rPr>
          <w:rFonts w:ascii="Arial" w:cs="Arial" w:eastAsia="Arial" w:hAnsi="Arial"/>
          <w:sz w:val="18"/>
          <w:szCs w:val="18"/>
          <w:color w:val="auto"/>
        </w:rPr>
        <w:t>connection with the grant of a performance award until such time as the Committee has certified that the performance goals with respect to such performance award have been achieved for the relevant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Committee. The amount of any performance awards to be distributed shall be conclusively determined by the Committee. Performance awards may be paid in a lump sum or in installments following the close of an applicable performance period, or, in accordance with procedures established by the Committee, on a deferred basis in a manner that does not violate the requirements of Section 409A of the Internal Revenue Code (“Section 409A”).</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the requirements of the 2016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the Fair Market Value of a Share, and (15)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 Achievement of performance goals in respect of performance awards shall be measured over a performance period no shorter than 12 months and no longer than 5 years, as further specified by the Committee.</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granting performance awards, the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7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2016 Plan. The Committee may, in its discretion, determine that the amount payable as a performance award will be reduced from the amount of any potential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Stock-Based Awards</w:t>
      </w:r>
    </w:p>
    <w:p>
      <w:pPr>
        <w:spacing w:after="0" w:line="13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Awards</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220"/>
        <w:spacing w:after="0" w:line="275" w:lineRule="auto"/>
        <w:rPr>
          <w:sz w:val="20"/>
          <w:szCs w:val="20"/>
          <w:color w:val="auto"/>
        </w:rPr>
      </w:pPr>
      <w:r>
        <w:rPr>
          <w:rFonts w:ascii="Arial" w:cs="Arial" w:eastAsia="Arial" w:hAnsi="Arial"/>
          <w:sz w:val="17"/>
          <w:szCs w:val="17"/>
          <w:color w:val="auto"/>
        </w:rPr>
        <w:t>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2016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Awards under the 2016 Plan are generally granted without a requirement that the participant pay consideration in the form of cash or property for the grant (as distinguished from the exercise),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 on Repricing</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described above under “Stock Options and SARs,” repricing of stock options and SARs is not permitted without stockholder approval. The Committee may, however, grant awards in exchange for other awards under the 2016 Plan or under other Company plans, or other rights to payment from us, and may grant awards in addition to such other awards, rights or other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Transferability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Committee pursuant to the express terms of an Award Agreement, are by gift or pursuant to a domestic relations order, and are to a “Permitted Assignee” that is a permissible transferee under the applicable rules of the Securities and Exchange Commission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Awards made under the 2016 Plan shall be subject to the applicable provisions of the Company’s clawback or recoupment policies as may be in effect from time to time. In addition to the terms of the Company’s clawback policy,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Committee, then the participant’s awards under the 2016 Plan may be forfeited and the Committee may require the participant to pay to the Company all or any portion of the gain realized upon exercise or vesting of an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the event of a change of control, the 2016 Plan provides that Committee in effect immediately preceding the change in control may, in its sole discretion, accelerate the exercisability, the lapsing of restrictions or the expiration of deferral or vesting periods of any award upon a “double trigger,” i.e., upon certain terminations of employment without “justifiable cause” or for “good reason” within 6 months before or 18 months after a change in control. In addition, the Committee may provide in an award agreement that the performance goals relating to any performance based award will be deemed to have been met upon the occurrence of any "change in control," again upon a “double trigger” as described in this paragraph.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and Termination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may amend, alter, suspend, discontinue or terminate the 2016 Plan or the Committee's authority to grant awards without 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our Board may, in its discretion, seek stockholder approval in any circumstance in which it deems such approval advisable. Unless earlier terminated by our Board, the 2016 Plan will terminate at the earliest of (i) such time as no shares of common stock remain available for issuance under the 2016 Plan or (ii) the tenth anniversary of the effective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2016 Plan is not qualified under the provisions of Section 401(a) of the Internal Revenue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6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will be entitled to a deduction for Federal income tax purposes equal to the amount of ordinary income taxable to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2016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7"/>
          <w:szCs w:val="17"/>
          <w:color w:val="auto"/>
        </w:rPr>
        <w:t>Disposition of a share, we are allowed a deduction in an amount equal to the ordinary income includible in income by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general, there will be no federal income tax deduction allowed to us upon the grant or termination of SARs. Upon the exercise of a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of the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409A</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Section 162(m) Limit on Deductibility of Compensation</w:t>
      </w:r>
      <w:r>
        <w:rPr>
          <w:rFonts w:ascii="Arial" w:cs="Arial" w:eastAsia="Arial" w:hAnsi="Arial"/>
          <w:sz w:val="18"/>
          <w:szCs w:val="18"/>
          <w:color w:val="auto"/>
        </w:rPr>
        <w:t>. Section 162(m) of the Internal Revenue Code limits our deduction to $1 million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per person per year, including compensation arising from awards granted under the 2016 Plan,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respect to certain covered employees, including our Chief Executive Officer and Chief Financial Officer. See “</w:t>
      </w:r>
      <w:r>
        <w:rPr>
          <w:rFonts w:ascii="Arial" w:cs="Arial" w:eastAsia="Arial" w:hAnsi="Arial"/>
          <w:sz w:val="18"/>
          <w:szCs w:val="18"/>
          <w:i w:val="1"/>
          <w:iCs w:val="1"/>
          <w:color w:val="auto"/>
        </w:rPr>
        <w:t>Compensation Discussion and Analysis -</w:t>
      </w:r>
      <w:r>
        <w:rPr>
          <w:rFonts w:ascii="Arial" w:cs="Arial" w:eastAsia="Arial" w:hAnsi="Arial"/>
          <w:sz w:val="18"/>
          <w:szCs w:val="18"/>
          <w:color w:val="auto"/>
        </w:rPr>
        <w:t xml:space="preserve"> </w:t>
      </w:r>
      <w:r>
        <w:rPr>
          <w:rFonts w:ascii="Arial" w:cs="Arial" w:eastAsia="Arial" w:hAnsi="Arial"/>
          <w:sz w:val="18"/>
          <w:szCs w:val="18"/>
          <w:i w:val="1"/>
          <w:iCs w:val="1"/>
          <w:color w:val="auto"/>
        </w:rPr>
        <w:t>Tax Implications</w:t>
      </w:r>
      <w:r>
        <w:rPr>
          <w:rFonts w:ascii="Arial" w:cs="Arial" w:eastAsia="Arial" w:hAnsi="Arial"/>
          <w:sz w:val="18"/>
          <w:szCs w:val="18"/>
          <w:color w:val="auto"/>
        </w:rPr>
        <w:t>” above for additional information about Section 162(m).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Awards granted under the 2016 Plan are within the discretion of the Committee. As discussed above under “</w:t>
      </w:r>
      <w:r>
        <w:rPr>
          <w:rFonts w:ascii="Arial" w:cs="Arial" w:eastAsia="Arial" w:hAnsi="Arial"/>
          <w:sz w:val="16"/>
          <w:szCs w:val="16"/>
          <w:i w:val="1"/>
          <w:iCs w:val="1"/>
          <w:color w:val="auto"/>
        </w:rPr>
        <w:t>Compensation Discussion and Analysis- Long-Term Incentive Plans</w:t>
      </w:r>
      <w:r>
        <w:rPr>
          <w:rFonts w:ascii="Arial" w:cs="Arial" w:eastAsia="Arial" w:hAnsi="Arial"/>
          <w:sz w:val="16"/>
          <w:szCs w:val="16"/>
          <w:color w:val="auto"/>
        </w:rPr>
        <w:t>”, if performance targets under the Company’s LTIPs are achieved, performance-based awards earned and approved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granted from the 2016 Plan. The number of shares that may be awarded under the LTIP cannot currently be determined due to the fact that the number of shares will be based on the closing price of our common stock, as determined on the date of grant. However, assuming that we are able to achieve the performance targets, at target, we can estimate the amount of the award that each participant is entitled to receive. Assuming that the performance targets under the 2019-2021 LTIP, 2020-2022 LTIP and 2021-2023 LTIP are achieved at the target level, and further assuming that 50% of any award would be in equity, the total award value of shares that would be granted would be approximately $1.0 million for each of the respective LTIPs.</w:t>
      </w:r>
    </w:p>
    <w:p>
      <w:pPr>
        <w:spacing w:after="0" w:line="16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following table reflects the value of performance-based awards, as discussed above, that could be earned, at target, by each Named Executive Officer, all of our current executive officers as a group (including Named Executive Officers), all employees as a group (excluding executive officers) and all non-executive directors as a group. The following table also includes stock options to purchase 77,516 shares of common stock granted in March 2021 that are subject to stockholders’ approval of this amendment, as discussed above. The benefits and amounts that may be awarded under the 2016 Plan beyond fiscal 2020, the 2019-2021 LTIP, the 2020-2022 LTIP and the 2021-2023 LTIP cannot otherwise currently be determined.</w:t>
      </w:r>
    </w:p>
    <w:p>
      <w:pPr>
        <w:spacing w:after="0" w:line="391"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4"/>
              </w:rPr>
              <w:t>Shortfall of Stock Option Grant, subject to</w:t>
            </w:r>
          </w:p>
        </w:tc>
        <w:tc>
          <w:tcPr>
            <w:tcW w:w="280" w:type="dxa"/>
            <w:vAlign w:val="bottom"/>
          </w:tcPr>
          <w:p>
            <w:pPr>
              <w:spacing w:after="0"/>
              <w:rPr>
                <w:sz w:val="13"/>
                <w:szCs w:val="13"/>
                <w:color w:val="auto"/>
              </w:rPr>
            </w:pPr>
          </w:p>
        </w:tc>
        <w:tc>
          <w:tcPr>
            <w:tcW w:w="26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Performance-Based Portion</w:t>
            </w:r>
          </w:p>
        </w:tc>
        <w:tc>
          <w:tcPr>
            <w:tcW w:w="0" w:type="dxa"/>
            <w:vAlign w:val="bottom"/>
          </w:tcPr>
          <w:p>
            <w:pPr>
              <w:spacing w:after="0"/>
              <w:rPr>
                <w:sz w:val="1"/>
                <w:szCs w:val="1"/>
                <w:color w:val="auto"/>
              </w:rPr>
            </w:pPr>
          </w:p>
        </w:tc>
      </w:tr>
      <w:tr>
        <w:trPr>
          <w:trHeight w:val="148"/>
        </w:trPr>
        <w:tc>
          <w:tcPr>
            <w:tcW w:w="4500" w:type="dxa"/>
            <w:vAlign w:val="bottom"/>
            <w:gridSpan w:val="2"/>
          </w:tcPr>
          <w:p>
            <w:pPr>
              <w:spacing w:after="0"/>
              <w:rPr>
                <w:sz w:val="20"/>
                <w:szCs w:val="20"/>
                <w:color w:val="auto"/>
              </w:rPr>
            </w:pPr>
            <w:r>
              <w:rPr>
                <w:rFonts w:ascii="Arial" w:cs="Arial" w:eastAsia="Arial" w:hAnsi="Arial"/>
                <w:sz w:val="13"/>
                <w:szCs w:val="13"/>
                <w:b w:val="1"/>
                <w:bCs w:val="1"/>
                <w:color w:val="auto"/>
              </w:rPr>
              <w:t>Plan Name:</w:t>
            </w: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3"/>
              </w:rPr>
              <w:t>shareholder approval</w:t>
            </w:r>
          </w:p>
        </w:tc>
        <w:tc>
          <w:tcPr>
            <w:tcW w:w="280" w:type="dxa"/>
            <w:vAlign w:val="bottom"/>
          </w:tcPr>
          <w:p>
            <w:pPr>
              <w:spacing w:after="0"/>
              <w:rPr>
                <w:sz w:val="12"/>
                <w:szCs w:val="12"/>
                <w:color w:val="auto"/>
              </w:rPr>
            </w:pPr>
          </w:p>
        </w:tc>
        <w:tc>
          <w:tcPr>
            <w:tcW w:w="26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 xml:space="preserve">of LTIPs </w:t>
            </w:r>
            <w:r>
              <w:rPr>
                <w:rFonts w:ascii="Arial" w:cs="Arial" w:eastAsia="Arial" w:hAnsi="Arial"/>
                <w:sz w:val="11"/>
                <w:szCs w:val="11"/>
                <w:b w:val="1"/>
                <w:bCs w:val="1"/>
                <w:color w:val="auto"/>
                <w:w w:val="99"/>
              </w:rPr>
              <w:t>(1)</w:t>
            </w:r>
          </w:p>
        </w:tc>
        <w:tc>
          <w:tcPr>
            <w:tcW w:w="0" w:type="dxa"/>
            <w:vAlign w:val="bottom"/>
          </w:tcPr>
          <w:p>
            <w:pPr>
              <w:spacing w:after="0"/>
              <w:rPr>
                <w:sz w:val="1"/>
                <w:szCs w:val="1"/>
                <w:color w:val="auto"/>
              </w:rPr>
            </w:pPr>
          </w:p>
        </w:tc>
      </w:tr>
      <w:tr>
        <w:trPr>
          <w:trHeight w:val="174"/>
        </w:trPr>
        <w:tc>
          <w:tcPr>
            <w:tcW w:w="4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Participant Name</w:t>
            </w: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1"/>
              </w:rPr>
              <w:t>(in shares)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(in $</w:t>
            </w:r>
          </w:p>
        </w:tc>
        <w:tc>
          <w:tcPr>
            <w:tcW w:w="1160" w:type="dxa"/>
            <w:vAlign w:val="bottom"/>
          </w:tcPr>
          <w:p>
            <w:pPr>
              <w:jc w:val="right"/>
              <w:ind w:right="1013"/>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0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19,880</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1191"/>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937,125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620" w:type="dxa"/>
            <w:vAlign w:val="bottom"/>
          </w:tcPr>
          <w:p>
            <w:pPr>
              <w:ind w:left="120"/>
              <w:spacing w:after="0"/>
              <w:rPr>
                <w:sz w:val="20"/>
                <w:szCs w:val="20"/>
                <w:color w:val="auto"/>
              </w:rPr>
            </w:pPr>
            <w:r>
              <w:rPr>
                <w:rFonts w:ascii="Arial" w:cs="Arial" w:eastAsia="Arial" w:hAnsi="Arial"/>
                <w:sz w:val="18"/>
                <w:szCs w:val="18"/>
                <w:color w:val="auto"/>
              </w:rPr>
              <w:t>6,757</w:t>
            </w:r>
          </w:p>
        </w:tc>
        <w:tc>
          <w:tcPr>
            <w:tcW w:w="1620" w:type="dxa"/>
            <w:vAlign w:val="bottom"/>
            <w:gridSpan w:val="2"/>
          </w:tcPr>
          <w:p>
            <w:pPr>
              <w:jc w:val="right"/>
              <w:ind w:right="119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207,375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1,936</w:t>
            </w:r>
          </w:p>
        </w:tc>
        <w:tc>
          <w:tcPr>
            <w:tcW w:w="1620" w:type="dxa"/>
            <w:vAlign w:val="bottom"/>
            <w:gridSpan w:val="2"/>
            <w:shd w:val="clear" w:color="auto" w:fill="CFF0FC"/>
          </w:tcPr>
          <w:p>
            <w:pPr>
              <w:jc w:val="right"/>
              <w:ind w:right="119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620" w:type="dxa"/>
            <w:vAlign w:val="bottom"/>
          </w:tcPr>
          <w:p>
            <w:pPr>
              <w:ind w:left="120"/>
              <w:spacing w:after="0"/>
              <w:rPr>
                <w:sz w:val="20"/>
                <w:szCs w:val="20"/>
                <w:color w:val="auto"/>
              </w:rPr>
            </w:pPr>
            <w:r>
              <w:rPr>
                <w:rFonts w:ascii="Arial" w:cs="Arial" w:eastAsia="Arial" w:hAnsi="Arial"/>
                <w:sz w:val="18"/>
                <w:szCs w:val="18"/>
                <w:color w:val="auto"/>
              </w:rPr>
              <w:t>6,415</w:t>
            </w:r>
          </w:p>
        </w:tc>
        <w:tc>
          <w:tcPr>
            <w:tcW w:w="1620" w:type="dxa"/>
            <w:vAlign w:val="bottom"/>
            <w:gridSpan w:val="2"/>
          </w:tcPr>
          <w:p>
            <w:pPr>
              <w:jc w:val="right"/>
              <w:ind w:right="119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4,875</w:t>
            </w:r>
          </w:p>
        </w:tc>
        <w:tc>
          <w:tcPr>
            <w:tcW w:w="1620" w:type="dxa"/>
            <w:vAlign w:val="bottom"/>
            <w:gridSpan w:val="2"/>
            <w:shd w:val="clear" w:color="auto" w:fill="CFF0FC"/>
          </w:tcPr>
          <w:p>
            <w:pPr>
              <w:jc w:val="right"/>
              <w:ind w:right="119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Arial" w:cs="Arial" w:eastAsia="Arial" w:hAnsi="Arial"/>
                <w:sz w:val="18"/>
                <w:szCs w:val="18"/>
                <w:color w:val="auto"/>
              </w:rPr>
              <w:t>Executive Group</w:t>
            </w:r>
          </w:p>
        </w:tc>
        <w:tc>
          <w:tcPr>
            <w:tcW w:w="2620" w:type="dxa"/>
            <w:vAlign w:val="bottom"/>
          </w:tcPr>
          <w:p>
            <w:pPr>
              <w:ind w:left="120"/>
              <w:spacing w:after="0"/>
              <w:rPr>
                <w:sz w:val="20"/>
                <w:szCs w:val="20"/>
                <w:color w:val="auto"/>
              </w:rPr>
            </w:pPr>
            <w:r>
              <w:rPr>
                <w:rFonts w:ascii="Arial" w:cs="Arial" w:eastAsia="Arial" w:hAnsi="Arial"/>
                <w:sz w:val="18"/>
                <w:szCs w:val="18"/>
                <w:color w:val="auto"/>
              </w:rPr>
              <w:t>61,037</w:t>
            </w:r>
          </w:p>
        </w:tc>
        <w:tc>
          <w:tcPr>
            <w:tcW w:w="1620" w:type="dxa"/>
            <w:vAlign w:val="bottom"/>
            <w:gridSpan w:val="2"/>
          </w:tcPr>
          <w:p>
            <w:pPr>
              <w:jc w:val="right"/>
              <w:ind w:right="119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Non-Executive Employee grants</w:t>
            </w:r>
          </w:p>
        </w:tc>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16,479</w:t>
            </w:r>
          </w:p>
        </w:tc>
        <w:tc>
          <w:tcPr>
            <w:tcW w:w="1620" w:type="dxa"/>
            <w:vAlign w:val="bottom"/>
            <w:gridSpan w:val="2"/>
            <w:shd w:val="clear" w:color="auto" w:fill="CFF0FC"/>
          </w:tcPr>
          <w:p>
            <w:pPr>
              <w:jc w:val="right"/>
              <w:ind w:right="119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40" w:right="180" w:hanging="368"/>
        <w:spacing w:after="0" w:line="263"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purposes of this table, it is assumed that the performance awards under the existing LTIPs are paid out at target and that 50% of such award would be paid in equity. Any equity issued pursuant to the 2019-2021 LTIP, 2020-2022 LTIP and 2021-2023 LTIP, would vest on August 31, 2022, August 31, 2023, and August 31, 2024,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approval of Proposal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 xml:space="preserve">The future success of our Company depends, in large part, upon our ability to maintain a competitive position in attracting, retaining and motivating key personnel by providing them meaningful opportunities to share in the ownership of our Company, thus aligning their interests with those of our stockholders. </w:t>
      </w:r>
      <w:r>
        <w:rPr>
          <w:rFonts w:ascii="Arial" w:cs="Arial" w:eastAsia="Arial" w:hAnsi="Arial"/>
          <w:sz w:val="16"/>
          <w:szCs w:val="16"/>
          <w:b w:val="1"/>
          <w:bCs w:val="1"/>
          <w:color w:val="auto"/>
        </w:rPr>
        <w:t>Accordingly, the Board of Directors recommends that you vote “FOR” the amendments to the 2016 Incentive Compensation Plan.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January 29, 2022, subject to completion of KPMG’s customary client acceptance procedures. KPMG has served as our independent registered public accounting firm since June 6, 2013.</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30, 2021 (“fiscal 2020”) and February 1, 2020 (“fiscal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2020</w:t>
            </w:r>
          </w:p>
        </w:tc>
        <w:tc>
          <w:tcPr>
            <w:tcW w:w="2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730,000</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Fees (2)</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 (3)</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831,780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740" w:right="100" w:hanging="368"/>
        <w:spacing w:after="0" w:line="275"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Audit Fees related to professional services rendered in connection with the audits of our financial statements included in our Annual Reports on Form 10-K for fiscal 2020 and fiscal 2019, services performed related to compliance with Section 404 of the Sarbanes-Oxley Act of 2002 for fiscal 2019, reviews of the financial statements included in each of our Quarterly Reports on Form 10-Q for fiscal 2020 and fiscal 2019, and </w:t>
      </w:r>
      <w:r>
        <w:rPr>
          <w:rFonts w:ascii="Arial" w:cs="Arial" w:eastAsia="Arial" w:hAnsi="Arial"/>
          <w:sz w:val="17"/>
          <w:szCs w:val="17"/>
          <w:color w:val="212121"/>
        </w:rPr>
        <w:t xml:space="preserve">services provided in connection with our registration statements filings on Form </w:t>
      </w:r>
      <w:r>
        <w:rPr>
          <w:rFonts w:ascii="Arial" w:cs="Arial" w:eastAsia="Arial" w:hAnsi="Arial"/>
          <w:sz w:val="17"/>
          <w:szCs w:val="17"/>
          <w:color w:val="252525"/>
        </w:rPr>
        <w:t>S</w:t>
      </w:r>
      <w:r>
        <w:rPr>
          <w:rFonts w:ascii="Arial" w:cs="Arial" w:eastAsia="Arial" w:hAnsi="Arial"/>
          <w:sz w:val="17"/>
          <w:szCs w:val="17"/>
          <w:color w:val="212121"/>
        </w:rPr>
        <w:t>-3 and Form S-</w:t>
      </w:r>
      <w:r>
        <w:rPr>
          <w:rFonts w:ascii="Arial" w:cs="Arial" w:eastAsia="Arial" w:hAnsi="Arial"/>
          <w:sz w:val="17"/>
          <w:szCs w:val="17"/>
          <w:color w:val="252525"/>
        </w:rPr>
        <w:t>8 in both fiscal years.</w:t>
      </w:r>
      <w:r>
        <w:rPr>
          <w:rFonts w:ascii="Arial" w:cs="Arial" w:eastAsia="Arial" w:hAnsi="Arial"/>
          <w:sz w:val="17"/>
          <w:szCs w:val="17"/>
          <w:color w:val="212121"/>
        </w:rPr>
        <w:t xml:space="preserve"> </w:t>
      </w:r>
      <w:r>
        <w:rPr>
          <w:rFonts w:ascii="Arial" w:cs="Arial" w:eastAsia="Arial" w:hAnsi="Arial"/>
          <w:sz w:val="17"/>
          <w:szCs w:val="17"/>
          <w:color w:val="000000"/>
        </w:rPr>
        <w:t>Audit Fees in fiscal 2019</w:t>
      </w:r>
      <w:r>
        <w:rPr>
          <w:rFonts w:ascii="Arial" w:cs="Arial" w:eastAsia="Arial" w:hAnsi="Arial"/>
          <w:sz w:val="17"/>
          <w:szCs w:val="17"/>
          <w:color w:val="212121"/>
        </w:rPr>
        <w:t xml:space="preserve"> </w:t>
      </w:r>
      <w:r>
        <w:rPr>
          <w:rFonts w:ascii="Arial" w:cs="Arial" w:eastAsia="Arial" w:hAnsi="Arial"/>
          <w:sz w:val="17"/>
          <w:szCs w:val="17"/>
          <w:color w:val="000000"/>
        </w:rPr>
        <w:t>also included work performed in connection with the Company’s adoption of ASC 842.</w:t>
      </w:r>
    </w:p>
    <w:p>
      <w:pPr>
        <w:spacing w:after="0" w:line="68" w:lineRule="exact"/>
        <w:rPr>
          <w:rFonts w:ascii="Arial" w:cs="Arial" w:eastAsia="Arial" w:hAnsi="Arial"/>
          <w:sz w:val="17"/>
          <w:szCs w:val="17"/>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fees related to professional services rendered in connection with income tax return preparation and compliance services.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right="6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All of the services provided in fiscal 2020 and fiscal 2019 under Audit Fees, Tax Fees and All Other Fees were pre-approved by the Audit Committee.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January 29,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January 29, 2022.</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January 30, 2021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January 30, 2021 with U.S. generally accepted accounting principles, their judgments as to the quality, not just the acceptability, of our accounting principles and such other matters as are required to be discussed with the Audit Committee by the applicable requirements of the Public Company Accounting Oversight Board (PCAOB) and the SEC.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Audit Committee discussed with KPMG LLP the overall scope and plans for their audit. The Audit Committee meets with the independent registered public accounting firm, with and without management present, to discuss the results of their examinations, matters required to be discussed by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 the overall quality of our financial reporting. The Audit Committee held six meetings during the fiscal year ended January 30, 2021.</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approved) that the audited consolidated financial statements be included in the Annual Report on Form 10-K for the fiscal year ended January 30, 2021 for filing with the SEC.</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Section 404 of the Sarbanes-Oxley Act, management was required to prepare as part of our Annual Report on Form 10-K for the year ended January 30, 2021 a report on its assessment of our internal control over financial reporting, including management’s assessment of the effectiveness of such internal controls. During the course of the fiscal year ended January 30, 2021,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Management’s assessment report on our internal control over financial reporting was included as part of our Annual Report on Form 10-K for the year ended January 30, 2021.</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 xml:space="preserve"> The members of the Audit Committee are considered independent because they satisfy the independence requirements for Board members prescribed by Nasdaq listing standards, the corporate governance requirements of the OTCQX, and Rule 10A-3 of the Exchange Act.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Lionel F. Conacher,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Mitchell S. Presser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outstanding shares of our common stock as of June 8, 2021. We were informed that, except as indicated, each person has sole voting and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power with respect to all shares of our common stock shown as beneficially owned by such person, subject to community property laws where applicable.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480" w:type="dxa"/>
            <w:vAlign w:val="bottom"/>
          </w:tcPr>
          <w:p>
            <w:pPr>
              <w:jc w:val="right"/>
              <w:ind w:right="117"/>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4"/>
                <w:szCs w:val="14"/>
                <w:color w:val="auto"/>
              </w:rPr>
            </w:pPr>
          </w:p>
        </w:tc>
        <w:tc>
          <w:tcPr>
            <w:tcW w:w="13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Percent of Class</w:t>
            </w:r>
          </w:p>
        </w:tc>
        <w:tc>
          <w:tcPr>
            <w:tcW w:w="0" w:type="dxa"/>
            <w:vAlign w:val="bottom"/>
          </w:tcPr>
          <w:p>
            <w:pPr>
              <w:spacing w:after="0"/>
              <w:rPr>
                <w:sz w:val="1"/>
                <w:szCs w:val="1"/>
                <w:color w:val="auto"/>
              </w:rPr>
            </w:pPr>
          </w:p>
        </w:tc>
      </w:tr>
      <w:tr>
        <w:trPr>
          <w:trHeight w:val="171"/>
        </w:trPr>
        <w:tc>
          <w:tcPr>
            <w:tcW w:w="7940" w:type="dxa"/>
            <w:vAlign w:val="bottom"/>
            <w:gridSpan w:val="2"/>
            <w:vMerge w:val="continue"/>
          </w:tcPr>
          <w:p>
            <w:pPr>
              <w:spacing w:after="0"/>
              <w:rPr>
                <w:sz w:val="14"/>
                <w:szCs w:val="14"/>
                <w:color w:val="auto"/>
              </w:rPr>
            </w:pPr>
          </w:p>
        </w:tc>
        <w:tc>
          <w:tcPr>
            <w:tcW w:w="1480" w:type="dxa"/>
            <w:vAlign w:val="bottom"/>
          </w:tcPr>
          <w:p>
            <w:pPr>
              <w:jc w:val="right"/>
              <w:ind w:right="77"/>
              <w:spacing w:after="0"/>
              <w:rPr>
                <w:sz w:val="20"/>
                <w:szCs w:val="20"/>
                <w:color w:val="auto"/>
              </w:rPr>
            </w:pPr>
            <w:r>
              <w:rPr>
                <w:rFonts w:ascii="Arial" w:cs="Arial" w:eastAsia="Arial" w:hAnsi="Arial"/>
                <w:sz w:val="14"/>
                <w:szCs w:val="14"/>
                <w:b w:val="1"/>
                <w:bCs w:val="1"/>
                <w:color w:val="auto"/>
              </w:rPr>
              <w:t>Beneficially Owned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417"/>
              <w:spacing w:after="0"/>
              <w:rPr>
                <w:sz w:val="20"/>
                <w:szCs w:val="20"/>
                <w:color w:val="auto"/>
              </w:rPr>
            </w:pPr>
            <w:r>
              <w:rPr>
                <w:rFonts w:ascii="Arial" w:cs="Arial" w:eastAsia="Arial" w:hAnsi="Arial"/>
                <w:sz w:val="14"/>
                <w:szCs w:val="14"/>
                <w:b w:val="1"/>
                <w:bCs w:val="1"/>
                <w:color w:val="auto"/>
              </w:rPr>
              <w:t>(1)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AWM Investment Company, Inc.</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11,111,111</w:t>
            </w:r>
          </w:p>
        </w:tc>
        <w:tc>
          <w:tcPr>
            <w:tcW w:w="480" w:type="dxa"/>
            <w:vAlign w:val="bottom"/>
            <w:vMerge w:val="continue"/>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c/o Special Situations Funds</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527 Madison Avenue, Suite 2600</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9,236,368</w:t>
            </w: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480" w:type="dxa"/>
            <w:vAlign w:val="bottom"/>
          </w:tcPr>
          <w:p>
            <w:pPr>
              <w:jc w:val="right"/>
              <w:spacing w:after="0"/>
              <w:rPr>
                <w:sz w:val="20"/>
                <w:szCs w:val="20"/>
                <w:color w:val="auto"/>
              </w:rPr>
            </w:pPr>
            <w:r>
              <w:rPr>
                <w:rFonts w:ascii="Arial" w:cs="Arial" w:eastAsia="Arial" w:hAnsi="Arial"/>
                <w:sz w:val="18"/>
                <w:szCs w:val="18"/>
                <w:color w:val="auto"/>
              </w:rPr>
              <w:t>4,092,018</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Wilkes Barre, PA 18702</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40" w:hanging="368"/>
        <w:spacing w:after="0" w:line="285" w:lineRule="auto"/>
        <w:tabs>
          <w:tab w:leader="none" w:pos="7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63,526,601 shares of our common stock outstanding as of June 8, 2021.</w:t>
      </w:r>
    </w:p>
    <w:p>
      <w:pPr>
        <w:spacing w:after="0" w:line="1" w:lineRule="exact"/>
        <w:rPr>
          <w:rFonts w:ascii="Arial" w:cs="Arial" w:eastAsia="Arial" w:hAnsi="Arial"/>
          <w:sz w:val="16"/>
          <w:szCs w:val="16"/>
          <w:color w:val="auto"/>
        </w:rPr>
      </w:pPr>
    </w:p>
    <w:p>
      <w:pPr>
        <w:ind w:left="740" w:right="100" w:hanging="368"/>
        <w:spacing w:after="0" w:line="250"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Schedule 13G dated February 28, 2021. AWM Investment Company, Inc. is the investment adviser to Special Situations Fund III QP, L.P. (“SSFQP”), Special Situations Cayman Fund, L.P. (“SSCF”) and Special Situations Private Equity Fund, L.P. (“SSPE,” and together with SSFQP and SSCF, “the Funds”). Of the shares reflected in the table, (i) 6,595,511 shares are held directly by SSFQP, (ii) 2,293,378 shares are held directly by SSCF and (iii) 2,222,222 shares are held directly by SSPE. As the investment adviser to the Funds, AWM holds sole voting and investment power over these shares.</w:t>
      </w:r>
    </w:p>
    <w:p>
      <w:pPr>
        <w:spacing w:after="0" w:line="1" w:lineRule="exact"/>
        <w:rPr>
          <w:rFonts w:ascii="Arial" w:cs="Arial" w:eastAsia="Arial" w:hAnsi="Arial"/>
          <w:sz w:val="18"/>
          <w:szCs w:val="18"/>
          <w:color w:val="auto"/>
        </w:rPr>
      </w:pPr>
    </w:p>
    <w:p>
      <w:pPr>
        <w:ind w:left="740" w:hanging="368"/>
        <w:spacing w:after="0" w:line="266"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February 3, 2021. Of the shares reflected in the table, (i) 7,522,354 shares are held directly by RMP, (ii) 1,263,446 shares are held directly by RMCP LLC, (iii) 15,000 shares are receivable upon exercise of options held by Mr. Mesdag and (iv) 435,568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ind w:left="368" w:right="780"/>
        <w:spacing w:after="0" w:line="258" w:lineRule="auto"/>
        <w:rPr>
          <w:sz w:val="20"/>
          <w:szCs w:val="20"/>
          <w:color w:val="auto"/>
        </w:rPr>
      </w:pPr>
      <w:r>
        <w:rPr>
          <w:rFonts w:ascii="Arial" w:cs="Arial" w:eastAsia="Arial" w:hAnsi="Arial"/>
          <w:sz w:val="18"/>
          <w:szCs w:val="18"/>
          <w:color w:val="auto"/>
        </w:rPr>
        <w:t>stock issued and outstanding, or (ii) any assets of the Company or any subsidiary thereof or any successor to or person in control of the Company.</w:t>
      </w:r>
    </w:p>
    <w:p>
      <w:pPr>
        <w:spacing w:after="0" w:line="1" w:lineRule="exact"/>
        <w:rPr>
          <w:sz w:val="20"/>
          <w:szCs w:val="20"/>
          <w:color w:val="auto"/>
        </w:rPr>
      </w:pPr>
    </w:p>
    <w:p>
      <w:pPr>
        <w:jc w:val="both"/>
        <w:ind w:left="368" w:hanging="368"/>
        <w:spacing w:after="0" w:line="255" w:lineRule="auto"/>
        <w:tabs>
          <w:tab w:leader="none" w:pos="3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Amendment No. 61 to Schedule 13D dated November 9, 2020. Of these shares, 339,594 shares are held by Jewelcor Management, Inc. Mr. Holtzman is the chairman, chief executive officer and president and, together with his wife, indirectly, the majority shareholder of Jewelcor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8"/>
          </w:cols>
          <w:pgMar w:left="692" w:top="34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following table sets forth certain information as of June 8, 2021,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142"/>
        </w:trPr>
        <w:tc>
          <w:tcPr>
            <w:tcW w:w="7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Title</w:t>
            </w:r>
          </w:p>
        </w:tc>
        <w:tc>
          <w:tcPr>
            <w:tcW w:w="14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2"/>
                <w:szCs w:val="12"/>
                <w:color w:val="auto"/>
              </w:rPr>
            </w:pPr>
          </w:p>
        </w:tc>
        <w:tc>
          <w:tcPr>
            <w:tcW w:w="13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Percent of Class</w:t>
            </w:r>
          </w:p>
        </w:tc>
        <w:tc>
          <w:tcPr>
            <w:tcW w:w="0" w:type="dxa"/>
            <w:vAlign w:val="bottom"/>
          </w:tcPr>
          <w:p>
            <w:pPr>
              <w:spacing w:after="0"/>
              <w:rPr>
                <w:sz w:val="1"/>
                <w:szCs w:val="1"/>
                <w:color w:val="auto"/>
              </w:rPr>
            </w:pPr>
          </w:p>
        </w:tc>
      </w:tr>
      <w:tr>
        <w:trPr>
          <w:trHeight w:val="171"/>
        </w:trPr>
        <w:tc>
          <w:tcPr>
            <w:tcW w:w="7920" w:type="dxa"/>
            <w:vAlign w:val="bottom"/>
            <w:gridSpan w:val="2"/>
            <w:vMerge w:val="continue"/>
          </w:tcPr>
          <w:p>
            <w:pPr>
              <w:spacing w:after="0"/>
              <w:rPr>
                <w:sz w:val="14"/>
                <w:szCs w:val="14"/>
                <w:color w:val="auto"/>
              </w:rPr>
            </w:pPr>
          </w:p>
        </w:tc>
        <w:tc>
          <w:tcPr>
            <w:tcW w:w="1480" w:type="dxa"/>
            <w:vAlign w:val="bottom"/>
          </w:tcPr>
          <w:p>
            <w:pPr>
              <w:jc w:val="right"/>
              <w:ind w:right="73"/>
              <w:spacing w:after="0"/>
              <w:rPr>
                <w:sz w:val="20"/>
                <w:szCs w:val="20"/>
                <w:color w:val="auto"/>
              </w:rPr>
            </w:pPr>
            <w:r>
              <w:rPr>
                <w:rFonts w:ascii="Arial" w:cs="Arial" w:eastAsia="Arial" w:hAnsi="Arial"/>
                <w:sz w:val="14"/>
                <w:szCs w:val="14"/>
                <w:b w:val="1"/>
                <w:bCs w:val="1"/>
                <w:color w:val="auto"/>
              </w:rPr>
              <w:t>Beneficially Owned</w:t>
            </w:r>
          </w:p>
        </w:tc>
        <w:tc>
          <w:tcPr>
            <w:tcW w:w="480" w:type="dxa"/>
            <w:vAlign w:val="bottom"/>
          </w:tcPr>
          <w:p>
            <w:pPr>
              <w:spacing w:after="0"/>
              <w:rPr>
                <w:sz w:val="14"/>
                <w:szCs w:val="1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Lionel F. Conacher</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353,017</w:t>
            </w:r>
          </w:p>
        </w:tc>
        <w:tc>
          <w:tcPr>
            <w:tcW w:w="4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660,358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296,195</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Chief Marketing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382,492</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General Counsel and Secretary</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187,199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Senior Vice President, Store Sales and Operations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460,654</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9,236,368</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689,783</w:t>
            </w: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Elaine K. Rubin,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240,589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(15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13,303,719</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380" w:right="100" w:hanging="372"/>
        <w:spacing w:after="0" w:line="285"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63,526,601 shares of our common stock outstanding as of June 8, 2021.</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371,020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82,725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37,146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101,384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55,246 shares subject to stock options exercisable within 60 days.</w:t>
      </w:r>
    </w:p>
    <w:p>
      <w:pPr>
        <w:spacing w:after="0" w:line="9" w:lineRule="exact"/>
        <w:rPr>
          <w:rFonts w:ascii="Arial" w:cs="Arial" w:eastAsia="Arial" w:hAnsi="Arial"/>
          <w:sz w:val="18"/>
          <w:szCs w:val="18"/>
          <w:color w:val="auto"/>
        </w:rPr>
      </w:pPr>
    </w:p>
    <w:p>
      <w:pPr>
        <w:ind w:left="380" w:right="8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and 435,568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3"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902,107 shares subject to stock options exercisable within 60 days and 435,568 shares of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-2745105</wp:posOffset>
            </wp:positionV>
            <wp:extent cx="9512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u w:val="single" w:color="auto"/>
          <w:color w:val="auto"/>
        </w:rPr>
        <w:t>https://investor.dxl.com</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furnish without charge to each person whose proxy is being solicited, upon request of any such person, a copy of the Annual Report for the year ended January 30, 2021 as filed with the SEC, including the financial statements and schedules thereto. A request for a copy of such report should be directed to Destination XL Group, Inc., 555 Turnpike Street, Canton, MA 02021, Attention: Investor Relations</w:t>
      </w:r>
      <w:r>
        <w:rPr>
          <w:rFonts w:ascii="Arial" w:cs="Arial" w:eastAsia="Arial" w:hAnsi="Arial"/>
          <w:sz w:val="18"/>
          <w:szCs w:val="18"/>
          <w:i w:val="1"/>
          <w:iCs w:val="1"/>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2022 Annual Meeting of Stockholders, the proposal must be received by the Secretary of our Company at our principal executive offices by March 4, 2022 (120 days before the anniversary of the date this Proxy Statement is being mailed to our stockholders).</w:t>
      </w:r>
    </w:p>
    <w:p>
      <w:pPr>
        <w:spacing w:after="0" w:line="14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2022 Annual Meeting, a stockholder must deliver the requisite notice of such item to the Secretary of our Company not before April 7, 2022 or after May 7, 2022.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11" w:lineRule="exact"/>
        <w:rPr>
          <w:sz w:val="20"/>
          <w:szCs w:val="20"/>
          <w:color w:val="auto"/>
        </w:rPr>
      </w:pPr>
    </w:p>
    <w:p>
      <w:pPr>
        <w:ind w:right="120" w:firstLine="499"/>
        <w:spacing w:after="0" w:line="277" w:lineRule="auto"/>
        <w:rPr>
          <w:sz w:val="20"/>
          <w:szCs w:val="20"/>
          <w:color w:val="auto"/>
        </w:rPr>
      </w:pPr>
      <w:r>
        <w:rPr>
          <w:rFonts w:ascii="Arial" w:cs="Arial" w:eastAsia="Arial" w:hAnsi="Arial"/>
          <w:sz w:val="18"/>
          <w:szCs w:val="18"/>
          <w:color w:val="auto"/>
        </w:rPr>
        <w:t>Destination XL Group, Inc., a corporation organized and existing under and by virtue of the General Corporation Law of the State of Delaware (the “Corporation”), does hereby certify as follows:</w:t>
      </w:r>
    </w:p>
    <w:p>
      <w:pPr>
        <w:spacing w:after="0" w:line="62" w:lineRule="exact"/>
        <w:rPr>
          <w:sz w:val="20"/>
          <w:szCs w:val="20"/>
          <w:color w:val="auto"/>
        </w:rPr>
      </w:pPr>
    </w:p>
    <w:p>
      <w:pPr>
        <w:ind w:left="560" w:hanging="363"/>
        <w:spacing w:after="0" w:line="277"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(the “Restated Certificate of Incorporation”) was filed with the office of the Secretary of State of the State of Delaware on August 13, 2018.</w:t>
      </w:r>
    </w:p>
    <w:p>
      <w:pPr>
        <w:spacing w:after="0" w:line="62" w:lineRule="exact"/>
        <w:rPr>
          <w:rFonts w:ascii="Arial" w:cs="Arial" w:eastAsia="Arial" w:hAnsi="Arial"/>
          <w:sz w:val="18"/>
          <w:szCs w:val="18"/>
          <w:color w:val="auto"/>
        </w:rPr>
      </w:pPr>
    </w:p>
    <w:p>
      <w:pPr>
        <w:ind w:left="560" w:hanging="363"/>
        <w:spacing w:after="0" w:line="277"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Certificate of Amendment to Restated Certificate of Incorporation (this “Certificate of Amendment”) was duly adopted in accordance with Section 242 of the General Corporation Law of the State of Delaware.</w:t>
      </w:r>
    </w:p>
    <w:p>
      <w:pPr>
        <w:spacing w:after="0" w:line="62" w:lineRule="exact"/>
        <w:rPr>
          <w:rFonts w:ascii="Arial" w:cs="Arial" w:eastAsia="Arial" w:hAnsi="Arial"/>
          <w:sz w:val="18"/>
          <w:szCs w:val="18"/>
          <w:color w:val="auto"/>
        </w:rPr>
      </w:pPr>
    </w:p>
    <w:p>
      <w:pPr>
        <w:ind w:left="560" w:hanging="363"/>
        <w:spacing w:after="0"/>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Certificate of Amendment amends and restates Section 4.1 of Article FOURTH of the Restated Certificate of Incorporation as follows:</w:t>
      </w:r>
    </w:p>
    <w:p>
      <w:pPr>
        <w:spacing w:after="0" w:line="128" w:lineRule="exact"/>
        <w:rPr>
          <w:rFonts w:ascii="Arial" w:cs="Arial" w:eastAsia="Arial" w:hAnsi="Arial"/>
          <w:sz w:val="17"/>
          <w:szCs w:val="17"/>
          <w:color w:val="auto"/>
        </w:rPr>
      </w:pPr>
    </w:p>
    <w:p>
      <w:pPr>
        <w:jc w:val="both"/>
        <w:ind w:left="580"/>
        <w:spacing w:after="0" w:line="263" w:lineRule="auto"/>
        <w:rPr>
          <w:rFonts w:ascii="Arial" w:cs="Arial" w:eastAsia="Arial" w:hAnsi="Arial"/>
          <w:sz w:val="17"/>
          <w:szCs w:val="17"/>
          <w:color w:val="auto"/>
        </w:rPr>
      </w:pPr>
      <w:r>
        <w:rPr>
          <w:rFonts w:ascii="Arial" w:cs="Arial" w:eastAsia="Arial" w:hAnsi="Arial"/>
          <w:sz w:val="18"/>
          <w:szCs w:val="18"/>
          <w:color w:val="auto"/>
        </w:rPr>
        <w:t>The total authorized stock of the Corporation shall be 126,000,000 shares, divided into: (i) 125,000,000 shares of Common Stock having a par value of $0.01 per share (“Common Stock”); and (ii) 1,000,000 shares of Preferred Stock having a par value of $0.01 per share (“Preferred Stock”).”</w:t>
      </w:r>
    </w:p>
    <w:p>
      <w:pPr>
        <w:spacing w:after="0" w:line="4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by an authorized officer as of this [__] day of [______], 20[__].</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3056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Appendix B</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Explanatory Note</w:t>
      </w:r>
      <w:r>
        <w:rPr>
          <w:rFonts w:ascii="Arial" w:cs="Arial" w:eastAsia="Arial" w:hAnsi="Arial"/>
          <w:sz w:val="18"/>
          <w:szCs w:val="18"/>
          <w:color w:val="auto"/>
        </w:rPr>
        <w:t>: This Appendix B contains a copy of the Destination XL Group, Inc. 2016 Incentive Compensation Plan as proposed to be amended by Proposal 4 included in this Proxy Statement to which this Appendix B is attached (proposed additions are shown in bold and as double-underlined text and proposed deletions are shown in bold and as strike-throughs).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DESTINATION XL GROUP, INC.</w:t>
      </w:r>
    </w:p>
    <w:p>
      <w:pPr>
        <w:spacing w:after="0" w:line="38"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2016 INCENTIVE COMPENSATION PLAN</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5"/>
          <w:szCs w:val="25"/>
          <w:b w:val="1"/>
          <w:bCs w:val="1"/>
          <w:u w:val="single" w:color="auto"/>
          <w:color w:val="auto"/>
        </w:rPr>
        <w:t>AS AMENDED AND RESTATED EFFECTIVE ______, 2021</w:t>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11430</wp:posOffset>
            </wp:positionV>
            <wp:extent cx="4217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 xml:space="preserve">2016 INCENTIVE COMPENSATION PLAN, </w:t>
      </w:r>
      <w:r>
        <w:rPr>
          <w:rFonts w:ascii="Arial" w:cs="Arial" w:eastAsia="Arial" w:hAnsi="Arial"/>
          <w:sz w:val="22"/>
          <w:szCs w:val="22"/>
          <w:b w:val="1"/>
          <w:bCs w:val="1"/>
          <w:u w:val="single" w:color="auto"/>
          <w:color w:val="auto"/>
        </w:rPr>
        <w:t>AS AMENDED AND RESTATED ____,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0000EE"/>
            </w:tcBorders>
          </w:tcPr>
          <w:p>
            <w:pPr>
              <w:spacing w:after="0"/>
              <w:rPr>
                <w:rFonts w:ascii="Arial" w:cs="Arial" w:eastAsia="Arial" w:hAnsi="Arial"/>
                <w:sz w:val="18"/>
                <w:szCs w:val="18"/>
                <w:color w:val="0000EE"/>
                <w:w w:val="83"/>
              </w:rPr>
            </w:pPr>
            <w:hyperlink w:anchor="page63">
              <w:r>
                <w:rPr>
                  <w:rFonts w:ascii="Arial" w:cs="Arial" w:eastAsia="Arial" w:hAnsi="Arial"/>
                  <w:sz w:val="18"/>
                  <w:szCs w:val="18"/>
                  <w:color w:val="0000EE"/>
                  <w:w w:val="83"/>
                </w:rPr>
                <w:t>Purpose</w:t>
              </w:r>
            </w:hyperlink>
          </w:p>
        </w:tc>
        <w:tc>
          <w:tcPr>
            <w:tcW w:w="6180" w:type="dxa"/>
            <w:vAlign w:val="bottom"/>
            <w:gridSpan w:val="11"/>
          </w:tcPr>
          <w:p>
            <w:pPr>
              <w:spacing w:after="0"/>
              <w:rPr>
                <w:sz w:val="17"/>
                <w:szCs w:val="17"/>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B-3</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760" w:type="dxa"/>
            <w:vAlign w:val="bottom"/>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Definitions</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B-3</w:t>
            </w:r>
          </w:p>
        </w:tc>
      </w:tr>
      <w:tr>
        <w:trPr>
          <w:trHeight w:val="20"/>
        </w:trPr>
        <w:tc>
          <w:tcPr>
            <w:tcW w:w="3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760" w:type="dxa"/>
            <w:vAlign w:val="bottom"/>
            <w:gridSpan w:val="1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Administration</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B-7</w:t>
            </w:r>
          </w:p>
        </w:tc>
      </w:tr>
      <w:tr>
        <w:trPr>
          <w:trHeight w:val="20"/>
        </w:trPr>
        <w:tc>
          <w:tcPr>
            <w:tcW w:w="3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Shares Subject to Plan</w:t>
              </w:r>
            </w:hyperlink>
          </w:p>
        </w:tc>
        <w:tc>
          <w:tcPr>
            <w:tcW w:w="5140" w:type="dxa"/>
            <w:vAlign w:val="bottom"/>
            <w:gridSpan w:val="6"/>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B-7</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29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Eligibility; Per-Participation Limitations</w:t>
              </w:r>
            </w:hyperlink>
          </w:p>
        </w:tc>
        <w:tc>
          <w:tcPr>
            <w:tcW w:w="3840" w:type="dxa"/>
            <w:vAlign w:val="bottom"/>
            <w:gridSpan w:val="2"/>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B-8</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9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Award Vesting Limitations</w:t>
              </w:r>
            </w:hyperlink>
          </w:p>
        </w:tc>
        <w:tc>
          <w:tcPr>
            <w:tcW w:w="4820" w:type="dxa"/>
            <w:vAlign w:val="bottom"/>
            <w:gridSpan w:val="4"/>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B-8</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6760" w:type="dxa"/>
            <w:vAlign w:val="bottom"/>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Specific Terms of Awards</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B-9</w:t>
            </w:r>
          </w:p>
        </w:tc>
      </w:tr>
      <w:tr>
        <w:trPr>
          <w:trHeight w:val="20"/>
        </w:trPr>
        <w:tc>
          <w:tcPr>
            <w:tcW w:w="3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6760" w:type="dxa"/>
            <w:vAlign w:val="bottom"/>
            <w:gridSpan w:val="1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Certain Provisions Applicable to Awards</w:t>
              </w:r>
            </w:hyperlink>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B-12</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Code Section 162(m) Provisions</w:t>
              </w:r>
            </w:hyperlink>
          </w:p>
        </w:tc>
        <w:tc>
          <w:tcPr>
            <w:tcW w:w="3820" w:type="dxa"/>
            <w:vAlign w:val="bottom"/>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B-14</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2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Change in Control</w:t>
              </w:r>
            </w:hyperlink>
          </w:p>
        </w:tc>
        <w:tc>
          <w:tcPr>
            <w:tcW w:w="4420" w:type="dxa"/>
            <w:vAlign w:val="bottom"/>
            <w:gridSpan w:val="3"/>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B-15</w:t>
            </w:r>
          </w:p>
        </w:tc>
      </w:tr>
      <w:tr>
        <w:trPr>
          <w:trHeight w:val="20"/>
        </w:trPr>
        <w:tc>
          <w:tcPr>
            <w:tcW w:w="3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General Provisions</w:t>
              </w:r>
            </w:hyperlink>
          </w:p>
        </w:tc>
        <w:tc>
          <w:tcPr>
            <w:tcW w:w="5380" w:type="dxa"/>
            <w:vAlign w:val="bottom"/>
            <w:gridSpan w:val="7"/>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Arial" w:cs="Arial" w:eastAsia="Arial" w:hAnsi="Arial"/>
                <w:sz w:val="18"/>
                <w:szCs w:val="18"/>
                <w:color w:val="auto"/>
              </w:rPr>
              <w:t>B-16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INCENTIVE COMPENSATION PLAN, AS AMENDED AND RESTATED</w:t>
      </w:r>
    </w:p>
    <w:p>
      <w:pPr>
        <w:spacing w:after="0" w:line="195" w:lineRule="exact"/>
        <w:rPr>
          <w:sz w:val="20"/>
          <w:szCs w:val="20"/>
          <w:color w:val="auto"/>
        </w:rPr>
      </w:pPr>
    </w:p>
    <w:p>
      <w:pPr>
        <w:ind w:right="60" w:firstLine="773"/>
        <w:spacing w:after="0" w:line="284" w:lineRule="auto"/>
        <w:tabs>
          <w:tab w:leader="none" w:pos="1548"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DESTINATION XL GROUP, INC. 2016 INCENTIVE COMPENSATION PLAN (the “Plan”) is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 August 12, 2020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______, 2021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340" w:firstLine="773"/>
        <w:spacing w:after="0" w:line="277" w:lineRule="auto"/>
        <w:tabs>
          <w:tab w:leader="none" w:pos="1548"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ind w:right="20" w:firstLine="1537"/>
        <w:spacing w:after="0" w:line="263" w:lineRule="auto"/>
        <w:tabs>
          <w:tab w:leader="none" w:pos="237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3" w:lineRule="exact"/>
        <w:rPr>
          <w:rFonts w:ascii="Arial" w:cs="Arial" w:eastAsia="Arial" w:hAnsi="Arial"/>
          <w:sz w:val="18"/>
          <w:szCs w:val="18"/>
          <w:color w:val="auto"/>
        </w:rPr>
      </w:pPr>
    </w:p>
    <w:p>
      <w:pPr>
        <w:ind w:right="500" w:firstLine="1537"/>
        <w:spacing w:after="0" w:line="277" w:lineRule="auto"/>
        <w:tabs>
          <w:tab w:leader="none" w:pos="238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firstLine="1537"/>
        <w:spacing w:after="0" w:line="279" w:lineRule="auto"/>
        <w:tabs>
          <w:tab w:leader="none" w:pos="2376" w:val="left"/>
        </w:tabs>
        <w:numPr>
          <w:ilvl w:val="2"/>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71" w:lineRule="exact"/>
        <w:rPr>
          <w:rFonts w:ascii="Arial" w:cs="Arial" w:eastAsia="Arial" w:hAnsi="Arial"/>
          <w:sz w:val="17"/>
          <w:szCs w:val="17"/>
          <w:color w:val="auto"/>
        </w:rPr>
      </w:pPr>
    </w:p>
    <w:p>
      <w:pPr>
        <w:ind w:left="2400" w:hanging="863"/>
        <w:spacing w:after="0" w:line="196" w:lineRule="exact"/>
        <w:tabs>
          <w:tab w:leader="none" w:pos="2400" w:val="left"/>
        </w:tabs>
        <w:numPr>
          <w:ilvl w:val="2"/>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w:t>
      </w:r>
      <w:r>
        <w:rPr>
          <w:rFonts w:ascii="Arial" w:cs="Arial" w:eastAsia="Arial" w:hAnsi="Arial"/>
          <w:sz w:val="17"/>
          <w:szCs w:val="17"/>
          <w:color w:val="auto"/>
        </w:rPr>
        <w:t>” shall have the meaning ascribed to such term in Rule 13d</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successor to such Rule.</w:t>
      </w:r>
    </w:p>
    <w:p>
      <w:pPr>
        <w:spacing w:after="0" w:line="210" w:lineRule="exact"/>
        <w:rPr>
          <w:rFonts w:ascii="Arial" w:cs="Arial" w:eastAsia="Arial" w:hAnsi="Arial"/>
          <w:sz w:val="17"/>
          <w:szCs w:val="17"/>
          <w:color w:val="auto"/>
        </w:rPr>
      </w:pPr>
    </w:p>
    <w:p>
      <w:pPr>
        <w:ind w:left="2380" w:hanging="843"/>
        <w:spacing w:after="0"/>
        <w:tabs>
          <w:tab w:leader="none" w:pos="23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60" w:hanging="823"/>
        <w:spacing w:after="0"/>
        <w:tabs>
          <w:tab w:leader="none" w:pos="23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right="260" w:firstLine="1537"/>
        <w:spacing w:after="0" w:line="277" w:lineRule="auto"/>
        <w:tabs>
          <w:tab w:leader="none" w:pos="238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right="80" w:firstLine="1537"/>
        <w:spacing w:after="0" w:line="287" w:lineRule="auto"/>
        <w:tabs>
          <w:tab w:leader="none" w:pos="2386" w:val="left"/>
        </w:tabs>
        <w:numPr>
          <w:ilvl w:val="2"/>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w:t>
      </w:r>
    </w:p>
    <w:p>
      <w:pPr>
        <w:spacing w:after="0" w:line="2" w:lineRule="exact"/>
        <w:rPr>
          <w:rFonts w:ascii="Arial" w:cs="Arial" w:eastAsia="Arial" w:hAnsi="Arial"/>
          <w:sz w:val="16"/>
          <w:szCs w:val="16"/>
          <w:color w:val="auto"/>
        </w:rPr>
      </w:pPr>
    </w:p>
    <w:p>
      <w:pPr>
        <w:ind w:right="40" w:firstLine="8"/>
        <w:spacing w:after="0" w:line="253"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92" w:lineRule="exact"/>
        <w:rPr>
          <w:rFonts w:ascii="Arial" w:cs="Arial" w:eastAsia="Arial" w:hAnsi="Arial"/>
          <w:sz w:val="18"/>
          <w:szCs w:val="18"/>
          <w:color w:val="auto"/>
        </w:rPr>
      </w:pPr>
    </w:p>
    <w:p>
      <w:pPr>
        <w:jc w:val="both"/>
        <w:ind w:right="260" w:firstLine="1537"/>
        <w:spacing w:after="0" w:line="263" w:lineRule="auto"/>
        <w:tabs>
          <w:tab w:leader="none" w:pos="2346"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-5077460</wp:posOffset>
            </wp:positionV>
            <wp:extent cx="6254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3" w:name="page64"/>
    <w:bookmarkEnd w:id="63"/>
    <w:p>
      <w:pPr>
        <w:ind w:firstLine="1537"/>
        <w:spacing w:after="0" w:line="255" w:lineRule="auto"/>
        <w:tabs>
          <w:tab w:leader="none" w:pos="23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92"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ind w:firstLine="1537"/>
        <w:spacing w:after="0" w:line="263" w:lineRule="auto"/>
        <w:tabs>
          <w:tab w:leader="none" w:pos="23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3" w:lineRule="exact"/>
        <w:rPr>
          <w:rFonts w:ascii="Arial" w:cs="Arial" w:eastAsia="Arial" w:hAnsi="Arial"/>
          <w:sz w:val="18"/>
          <w:szCs w:val="18"/>
          <w:color w:val="auto"/>
        </w:rPr>
      </w:pPr>
    </w:p>
    <w:p>
      <w:pPr>
        <w:ind w:left="2440" w:hanging="903"/>
        <w:spacing w:after="0"/>
        <w:tabs>
          <w:tab w:leader="none" w:pos="2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7(e) hereof.</w:t>
      </w:r>
    </w:p>
    <w:p>
      <w:pPr>
        <w:spacing w:after="0" w:line="210" w:lineRule="exact"/>
        <w:rPr>
          <w:rFonts w:ascii="Arial" w:cs="Arial" w:eastAsia="Arial" w:hAnsi="Arial"/>
          <w:sz w:val="16"/>
          <w:szCs w:val="16"/>
          <w:color w:val="auto"/>
        </w:rPr>
      </w:pPr>
    </w:p>
    <w:p>
      <w:pPr>
        <w:ind w:left="2400" w:hanging="863"/>
        <w:spacing w:after="0"/>
        <w:tabs>
          <w:tab w:leader="none" w:pos="2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right="260" w:firstLine="1537"/>
        <w:spacing w:after="0" w:line="308" w:lineRule="auto"/>
        <w:tabs>
          <w:tab w:leader="none" w:pos="2386"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00" w:hanging="863"/>
        <w:spacing w:after="0"/>
        <w:tabs>
          <w:tab w:leader="none" w:pos="2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ind w:right="120" w:firstLine="1537"/>
        <w:spacing w:after="0" w:line="272" w:lineRule="auto"/>
        <w:tabs>
          <w:tab w:leader="none" w:pos="2356"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Person</w:t>
      </w:r>
      <w:r>
        <w:rPr>
          <w:rFonts w:ascii="Arial" w:cs="Arial" w:eastAsia="Arial" w:hAnsi="Arial"/>
          <w:sz w:val="17"/>
          <w:szCs w:val="17"/>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77" w:lineRule="exact"/>
        <w:rPr>
          <w:rFonts w:ascii="Arial" w:cs="Arial" w:eastAsia="Arial" w:hAnsi="Arial"/>
          <w:sz w:val="17"/>
          <w:szCs w:val="17"/>
          <w:color w:val="auto"/>
        </w:rPr>
      </w:pPr>
    </w:p>
    <w:p>
      <w:pPr>
        <w:jc w:val="both"/>
        <w:ind w:right="100" w:firstLine="1537"/>
        <w:spacing w:after="0" w:line="259" w:lineRule="auto"/>
        <w:tabs>
          <w:tab w:leader="none" w:pos="23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right="240" w:firstLine="1537"/>
        <w:spacing w:after="0" w:line="277" w:lineRule="auto"/>
        <w:tabs>
          <w:tab w:leader="none" w:pos="23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right="40" w:firstLine="1537"/>
        <w:spacing w:after="0" w:line="257" w:lineRule="auto"/>
        <w:tabs>
          <w:tab w:leader="none" w:pos="23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7" w:lineRule="exact"/>
        <w:rPr>
          <w:rFonts w:ascii="Arial" w:cs="Arial" w:eastAsia="Arial" w:hAnsi="Arial"/>
          <w:sz w:val="18"/>
          <w:szCs w:val="18"/>
          <w:color w:val="auto"/>
        </w:rPr>
      </w:pPr>
    </w:p>
    <w:p>
      <w:pPr>
        <w:ind w:left="2400" w:hanging="863"/>
        <w:spacing w:after="0"/>
        <w:tabs>
          <w:tab w:leader="none" w:pos="2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 Value Award</w:t>
      </w:r>
      <w:r>
        <w:rPr>
          <w:rFonts w:ascii="Arial" w:cs="Arial" w:eastAsia="Arial" w:hAnsi="Arial"/>
          <w:sz w:val="16"/>
          <w:szCs w:val="16"/>
          <w:color w:val="auto"/>
        </w:rPr>
        <w:t>” means any Award other than an option or a Stock Appreciation Right and that is settled in Shares.</w:t>
      </w:r>
    </w:p>
    <w:p>
      <w:pPr>
        <w:spacing w:after="0" w:line="248" w:lineRule="exact"/>
        <w:rPr>
          <w:rFonts w:ascii="Arial" w:cs="Arial" w:eastAsia="Arial" w:hAnsi="Arial"/>
          <w:sz w:val="16"/>
          <w:szCs w:val="16"/>
          <w:color w:val="auto"/>
        </w:rPr>
      </w:pPr>
    </w:p>
    <w:p>
      <w:pPr>
        <w:ind w:right="620" w:firstLine="1537"/>
        <w:spacing w:after="0" w:line="263" w:lineRule="auto"/>
        <w:tabs>
          <w:tab w:leader="none" w:pos="24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4" w:name="page65"/>
    <w:bookmarkEnd w:id="64"/>
    <w:p>
      <w:pPr>
        <w:spacing w:after="0" w:line="286" w:lineRule="auto"/>
        <w:rPr>
          <w:sz w:val="20"/>
          <w:szCs w:val="20"/>
          <w:color w:val="auto"/>
        </w:rPr>
      </w:pPr>
      <w:r>
        <w:rPr>
          <w:rFonts w:ascii="Arial" w:cs="Arial" w:eastAsia="Arial" w:hAnsi="Arial"/>
          <w:sz w:val="16"/>
          <w:szCs w:val="16"/>
          <w:color w:val="auto"/>
        </w:rPr>
        <w:t>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74" w:lineRule="exact"/>
        <w:rPr>
          <w:sz w:val="20"/>
          <w:szCs w:val="20"/>
          <w:color w:val="auto"/>
        </w:rPr>
      </w:pPr>
    </w:p>
    <w:p>
      <w:pPr>
        <w:ind w:right="60" w:firstLine="1537"/>
        <w:spacing w:after="0" w:line="277" w:lineRule="auto"/>
        <w:tabs>
          <w:tab w:leader="none" w:pos="23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right="40" w:firstLine="1537"/>
        <w:spacing w:after="0" w:line="263" w:lineRule="auto"/>
        <w:tabs>
          <w:tab w:leader="none" w:pos="23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3" w:lineRule="exact"/>
        <w:rPr>
          <w:rFonts w:ascii="Arial" w:cs="Arial" w:eastAsia="Arial" w:hAnsi="Arial"/>
          <w:sz w:val="18"/>
          <w:szCs w:val="18"/>
          <w:color w:val="auto"/>
        </w:rPr>
      </w:pPr>
    </w:p>
    <w:p>
      <w:pPr>
        <w:ind w:left="2380" w:hanging="843"/>
        <w:spacing w:after="0"/>
        <w:tabs>
          <w:tab w:leader="none" w:pos="2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ind w:firstLine="1537"/>
        <w:spacing w:after="0" w:line="269" w:lineRule="auto"/>
        <w:tabs>
          <w:tab w:leader="none" w:pos="2456"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Justifiable Cause</w:t>
      </w:r>
      <w:r>
        <w:rPr>
          <w:rFonts w:ascii="Arial" w:cs="Arial" w:eastAsia="Arial" w:hAnsi="Arial"/>
          <w:sz w:val="17"/>
          <w:szCs w:val="17"/>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81" w:lineRule="exact"/>
        <w:rPr>
          <w:rFonts w:ascii="Arial" w:cs="Arial" w:eastAsia="Arial" w:hAnsi="Arial"/>
          <w:sz w:val="17"/>
          <w:szCs w:val="17"/>
          <w:color w:val="auto"/>
        </w:rPr>
      </w:pPr>
    </w:p>
    <w:p>
      <w:pPr>
        <w:ind w:right="200" w:firstLine="1537"/>
        <w:spacing w:after="0" w:line="342" w:lineRule="auto"/>
        <w:tabs>
          <w:tab w:leader="none" w:pos="2476"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right="520" w:firstLine="1537"/>
        <w:spacing w:after="0" w:line="277" w:lineRule="auto"/>
        <w:tabs>
          <w:tab w:leader="none" w:pos="24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 under this Plan.</w:t>
      </w:r>
    </w:p>
    <w:p>
      <w:pPr>
        <w:spacing w:after="0" w:line="210" w:lineRule="exact"/>
        <w:rPr>
          <w:rFonts w:ascii="Arial" w:cs="Arial" w:eastAsia="Arial" w:hAnsi="Arial"/>
          <w:sz w:val="16"/>
          <w:szCs w:val="16"/>
          <w:color w:val="auto"/>
        </w:rPr>
      </w:pPr>
    </w:p>
    <w:p>
      <w:pPr>
        <w:ind w:left="2460" w:hanging="923"/>
        <w:spacing w:after="0"/>
        <w:tabs>
          <w:tab w:leader="none" w:pos="2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right="360" w:firstLine="1537"/>
        <w:spacing w:after="0" w:line="277" w:lineRule="auto"/>
        <w:tabs>
          <w:tab w:leader="none" w:pos="24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5480" w:right="80" w:hanging="3943"/>
        <w:spacing w:after="0" w:line="527" w:lineRule="auto"/>
        <w:tabs>
          <w:tab w:leader="none" w:pos="24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7(h).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60" w:firstLine="1537"/>
        <w:spacing w:after="0" w:line="308" w:lineRule="auto"/>
        <w:tabs>
          <w:tab w:leader="none" w:pos="2476"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ind w:firstLine="1537"/>
        <w:spacing w:after="0" w:line="259" w:lineRule="auto"/>
        <w:tabs>
          <w:tab w:leader="none" w:pos="2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jc w:val="both"/>
        <w:ind w:right="320" w:firstLine="1537"/>
        <w:spacing w:after="0" w:line="259" w:lineRule="auto"/>
        <w:tabs>
          <w:tab w:leader="none" w:pos="2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1537"/>
        <w:spacing w:after="0" w:line="277" w:lineRule="auto"/>
        <w:tabs>
          <w:tab w:leader="none" w:pos="24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00" w:hanging="863"/>
        <w:spacing w:after="0"/>
        <w:tabs>
          <w:tab w:leader="none" w:pos="2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ind w:right="40" w:firstLine="1537"/>
        <w:spacing w:after="0" w:line="257" w:lineRule="auto"/>
        <w:tabs>
          <w:tab w:leader="none" w:pos="25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7" w:lineRule="exact"/>
        <w:rPr>
          <w:rFonts w:ascii="Arial" w:cs="Arial" w:eastAsia="Arial" w:hAnsi="Arial"/>
          <w:sz w:val="18"/>
          <w:szCs w:val="18"/>
          <w:color w:val="auto"/>
        </w:rPr>
      </w:pPr>
    </w:p>
    <w:p>
      <w:pPr>
        <w:ind w:right="160" w:firstLine="1537"/>
        <w:spacing w:after="0" w:line="286" w:lineRule="auto"/>
        <w:tabs>
          <w:tab w:leader="none" w:pos="2476"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480" w:hanging="943"/>
        <w:spacing w:after="0"/>
        <w:tabs>
          <w:tab w:leader="none" w:pos="2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right="40" w:firstLine="1537"/>
        <w:spacing w:after="0" w:line="277" w:lineRule="auto"/>
        <w:tabs>
          <w:tab w:leader="none" w:pos="24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an Award of Restricted Stock Unit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200" w:firstLine="1537"/>
        <w:spacing w:after="0" w:line="277" w:lineRule="auto"/>
        <w:tabs>
          <w:tab w:leader="none" w:pos="24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right="80" w:firstLine="1537"/>
        <w:spacing w:after="0" w:line="263" w:lineRule="auto"/>
        <w:tabs>
          <w:tab w:leader="none" w:pos="24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3" w:lineRule="exact"/>
        <w:rPr>
          <w:rFonts w:ascii="Arial" w:cs="Arial" w:eastAsia="Arial" w:hAnsi="Arial"/>
          <w:sz w:val="18"/>
          <w:szCs w:val="18"/>
          <w:color w:val="auto"/>
        </w:rPr>
      </w:pPr>
    </w:p>
    <w:p>
      <w:pPr>
        <w:ind w:right="180" w:firstLine="1537"/>
        <w:spacing w:after="0" w:line="277" w:lineRule="auto"/>
        <w:tabs>
          <w:tab w:leader="none" w:pos="2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right="100" w:firstLine="1537"/>
        <w:spacing w:after="0" w:line="259" w:lineRule="auto"/>
        <w:tabs>
          <w:tab w:leader="none" w:pos="24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20" w:right="180" w:firstLine="1537"/>
        <w:spacing w:after="0" w:line="263" w:lineRule="auto"/>
        <w:tabs>
          <w:tab w:leader="none" w:pos="2536"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3" w:lineRule="exact"/>
        <w:rPr>
          <w:rFonts w:ascii="Arial" w:cs="Arial" w:eastAsia="Arial" w:hAnsi="Arial"/>
          <w:sz w:val="18"/>
          <w:szCs w:val="18"/>
          <w:color w:val="auto"/>
        </w:rPr>
      </w:pPr>
    </w:p>
    <w:p>
      <w:pPr>
        <w:ind w:left="1540" w:hanging="787"/>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537"/>
        <w:spacing w:after="0" w:line="269" w:lineRule="auto"/>
        <w:tabs>
          <w:tab w:leader="none" w:pos="2356"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5" w:lineRule="exact"/>
        <w:rPr>
          <w:rFonts w:ascii="Arial" w:cs="Arial" w:eastAsia="Arial" w:hAnsi="Arial"/>
          <w:sz w:val="17"/>
          <w:szCs w:val="17"/>
          <w:color w:val="auto"/>
        </w:rPr>
      </w:pPr>
    </w:p>
    <w:p>
      <w:pPr>
        <w:ind w:left="-20" w:right="80" w:firstLine="1537"/>
        <w:spacing w:after="0" w:line="268" w:lineRule="auto"/>
        <w:tabs>
          <w:tab w:leader="none" w:pos="2366"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6" w:lineRule="exact"/>
        <w:rPr>
          <w:rFonts w:ascii="Arial" w:cs="Arial" w:eastAsia="Arial" w:hAnsi="Arial"/>
          <w:sz w:val="17"/>
          <w:szCs w:val="17"/>
          <w:color w:val="auto"/>
        </w:rPr>
      </w:pPr>
    </w:p>
    <w:p>
      <w:pPr>
        <w:ind w:left="-20" w:firstLine="1537"/>
        <w:spacing w:after="0" w:line="296" w:lineRule="auto"/>
        <w:tabs>
          <w:tab w:leader="none" w:pos="2356"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1" w:lineRule="exact"/>
        <w:rPr>
          <w:rFonts w:ascii="Arial" w:cs="Arial" w:eastAsia="Arial" w:hAnsi="Arial"/>
          <w:sz w:val="16"/>
          <w:szCs w:val="16"/>
          <w:color w:val="auto"/>
        </w:rPr>
      </w:pPr>
    </w:p>
    <w:p>
      <w:pPr>
        <w:ind w:left="1540" w:hanging="787"/>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537"/>
        <w:spacing w:after="0" w:line="254" w:lineRule="auto"/>
        <w:tabs>
          <w:tab w:leader="none" w:pos="2356" w:val="left"/>
        </w:tabs>
        <w:numPr>
          <w:ilvl w:val="1"/>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Section 11(c) hereof, the aggregate number of Shares reserved and available for delivery under the Plan shall be equal to the sum of (i) </w:t>
      </w:r>
      <w:r>
        <w:rPr>
          <w:rFonts w:ascii="Arial" w:cs="Arial" w:eastAsia="Arial" w:hAnsi="Arial"/>
          <w:sz w:val="18"/>
          <w:szCs w:val="18"/>
          <w:b w:val="1"/>
          <w:bCs w:val="1"/>
          <w:color w:val="auto"/>
          <w:strike w:val="1"/>
        </w:rPr>
        <w:t>9,740,000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14,595,000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plus (ii) the number of Shares available for issuance but not granted under the Prior Plan, and (iii) the number of Shares that are credited</w:t>
      </w:r>
      <w:r>
        <w:rPr>
          <w:rFonts w:ascii="Arial" w:cs="Arial" w:eastAsia="Arial" w:hAnsi="Arial"/>
          <w:sz w:val="18"/>
          <w:szCs w:val="18"/>
          <w:b w:val="1"/>
          <w:bCs w:val="1"/>
          <w:color w:val="auto"/>
        </w:rPr>
        <w:t xml:space="preserve"> </w:t>
      </w:r>
      <w:r>
        <w:rPr>
          <w:rFonts w:ascii="Arial" w:cs="Arial" w:eastAsia="Arial" w:hAnsi="Arial"/>
          <w:sz w:val="18"/>
          <w:szCs w:val="18"/>
          <w:color w:val="auto"/>
        </w:rPr>
        <w:t>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94" w:lineRule="exact"/>
        <w:rPr>
          <w:rFonts w:ascii="Arial" w:cs="Arial" w:eastAsia="Arial" w:hAnsi="Arial"/>
          <w:sz w:val="18"/>
          <w:szCs w:val="18"/>
          <w:color w:val="auto"/>
        </w:rPr>
      </w:pPr>
    </w:p>
    <w:p>
      <w:pPr>
        <w:ind w:left="-20" w:right="20" w:firstLine="1537"/>
        <w:spacing w:after="0" w:line="257" w:lineRule="auto"/>
        <w:tabs>
          <w:tab w:leader="none" w:pos="2366" w:val="left"/>
        </w:tabs>
        <w:numPr>
          <w:ilvl w:val="1"/>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-1370965</wp:posOffset>
            </wp:positionV>
            <wp:extent cx="5143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67" w:name="page68"/>
    <w:bookmarkEnd w:id="67"/>
    <w:p>
      <w:pPr>
        <w:ind w:left="2340" w:hanging="843"/>
        <w:spacing w:after="0"/>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2302"/>
        <w:spacing w:after="0" w:line="272" w:lineRule="auto"/>
        <w:tabs>
          <w:tab w:leader="none" w:pos="3071" w:val="left"/>
        </w:tabs>
        <w:numPr>
          <w:ilvl w:val="2"/>
          <w:numId w:val="59"/>
        </w:numPr>
        <w:rPr>
          <w:rFonts w:ascii="Arial" w:cs="Arial" w:eastAsia="Arial" w:hAnsi="Arial"/>
          <w:sz w:val="17"/>
          <w:szCs w:val="17"/>
          <w:color w:val="auto"/>
        </w:rPr>
      </w:pPr>
      <w:r>
        <w:rPr>
          <w:rFonts w:ascii="Arial" w:cs="Arial" w:eastAsia="Arial" w:hAnsi="Arial"/>
          <w:sz w:val="17"/>
          <w:szCs w:val="17"/>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77" w:lineRule="exact"/>
        <w:rPr>
          <w:rFonts w:ascii="Arial" w:cs="Arial" w:eastAsia="Arial" w:hAnsi="Arial"/>
          <w:sz w:val="17"/>
          <w:szCs w:val="17"/>
          <w:color w:val="auto"/>
        </w:rPr>
      </w:pPr>
    </w:p>
    <w:p>
      <w:pPr>
        <w:ind w:left="-40" w:right="280" w:firstLine="2302"/>
        <w:spacing w:after="0" w:line="311" w:lineRule="auto"/>
        <w:tabs>
          <w:tab w:leader="none" w:pos="3121" w:val="left"/>
        </w:tabs>
        <w:numPr>
          <w:ilvl w:val="2"/>
          <w:numId w:val="59"/>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48" w:lineRule="exact"/>
        <w:rPr>
          <w:rFonts w:ascii="Arial" w:cs="Arial" w:eastAsia="Arial" w:hAnsi="Arial"/>
          <w:sz w:val="16"/>
          <w:szCs w:val="16"/>
          <w:color w:val="auto"/>
        </w:rPr>
      </w:pPr>
    </w:p>
    <w:p>
      <w:pPr>
        <w:ind w:left="-40" w:right="60" w:firstLine="2302"/>
        <w:spacing w:after="0" w:line="269" w:lineRule="auto"/>
        <w:tabs>
          <w:tab w:leader="none" w:pos="3171" w:val="left"/>
        </w:tabs>
        <w:numPr>
          <w:ilvl w:val="2"/>
          <w:numId w:val="59"/>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5" w:lineRule="exact"/>
        <w:rPr>
          <w:rFonts w:ascii="Arial" w:cs="Arial" w:eastAsia="Arial" w:hAnsi="Arial"/>
          <w:sz w:val="17"/>
          <w:szCs w:val="17"/>
          <w:color w:val="auto"/>
        </w:rPr>
      </w:pPr>
    </w:p>
    <w:p>
      <w:pPr>
        <w:ind w:left="-40" w:firstLine="2302"/>
        <w:spacing w:after="0" w:line="259" w:lineRule="auto"/>
        <w:tabs>
          <w:tab w:leader="none" w:pos="3161"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4(c) to the contrary but subject to adjustment as provided in Section 11(c) hereof, the maximum aggregate number of Shares that may be delivered under the Plan as a result of the exercise of the Incentive Stock Options shall be </w:t>
      </w:r>
      <w:r>
        <w:rPr>
          <w:rFonts w:ascii="Arial" w:cs="Arial" w:eastAsia="Arial" w:hAnsi="Arial"/>
          <w:sz w:val="18"/>
          <w:szCs w:val="18"/>
          <w:b w:val="1"/>
          <w:bCs w:val="1"/>
          <w:color w:val="auto"/>
          <w:strike w:val="1"/>
        </w:rPr>
        <w:t>9,740,000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14,595,000</w:t>
      </w:r>
      <w:r>
        <w:rPr>
          <w:rFonts w:ascii="Arial" w:cs="Arial" w:eastAsia="Arial" w:hAnsi="Arial"/>
          <w:sz w:val="18"/>
          <w:szCs w:val="18"/>
          <w:color w:val="auto"/>
        </w:rPr>
        <w:t xml:space="preserve"> Shares. In no event shall any Incentive Stock Options be granted under the Plan after the tenth anniversary of the date on which the Board adopts the Plan.</w:t>
      </w:r>
    </w:p>
    <w:p>
      <w:pPr>
        <w:spacing w:after="0" w:line="186" w:lineRule="exact"/>
        <w:rPr>
          <w:rFonts w:ascii="Arial" w:cs="Arial" w:eastAsia="Arial" w:hAnsi="Arial"/>
          <w:sz w:val="18"/>
          <w:szCs w:val="18"/>
          <w:color w:val="auto"/>
        </w:rPr>
      </w:pPr>
    </w:p>
    <w:p>
      <w:pPr>
        <w:ind w:left="-40" w:right="100" w:firstLine="2302"/>
        <w:spacing w:after="0" w:line="259" w:lineRule="auto"/>
        <w:tabs>
          <w:tab w:leader="none" w:pos="3111" w:val="left"/>
        </w:tabs>
        <w:numPr>
          <w:ilvl w:val="2"/>
          <w:numId w:val="59"/>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360" w:hanging="863"/>
        <w:spacing w:after="0"/>
        <w:tabs>
          <w:tab w:leader="none" w:pos="2360"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ind w:left="-40" w:right="100" w:firstLine="773"/>
        <w:spacing w:after="0" w:line="291" w:lineRule="auto"/>
        <w:tabs>
          <w:tab w:leader="none" w:pos="1508"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Per-Participant Limitations</w:t>
      </w:r>
      <w:r>
        <w:rPr>
          <w:rFonts w:ascii="Arial" w:cs="Arial" w:eastAsia="Arial" w:hAnsi="Arial"/>
          <w:sz w:val="16"/>
          <w:szCs w:val="16"/>
          <w:color w:val="auto"/>
        </w:rPr>
        <w:t>. Awards may be granted under the Plan only to Eligible Persons. Subject to adjustment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66" w:lineRule="exact"/>
        <w:rPr>
          <w:rFonts w:ascii="Arial" w:cs="Arial" w:eastAsia="Arial" w:hAnsi="Arial"/>
          <w:sz w:val="16"/>
          <w:szCs w:val="16"/>
          <w:color w:val="auto"/>
        </w:rPr>
      </w:pPr>
    </w:p>
    <w:p>
      <w:pPr>
        <w:ind w:left="-40" w:right="40" w:firstLine="773"/>
        <w:spacing w:after="0" w:line="255" w:lineRule="auto"/>
        <w:tabs>
          <w:tab w:leader="none" w:pos="1508"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-3151505</wp:posOffset>
            </wp:positionV>
            <wp:extent cx="514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60" w:top="557" w:right="379" w:bottom="1440" w:gutter="0" w:footer="0" w:header="0"/>
        </w:sectPr>
      </w:pPr>
    </w:p>
    <w:bookmarkStart w:id="68" w:name="page69"/>
    <w:bookmarkEnd w:id="68"/>
    <w:p>
      <w:pPr>
        <w:ind w:left="1560" w:hanging="787"/>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537"/>
        <w:spacing w:after="0" w:line="254" w:lineRule="auto"/>
        <w:tabs>
          <w:tab w:leader="none" w:pos="2376"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91" w:lineRule="exact"/>
        <w:rPr>
          <w:rFonts w:ascii="Arial" w:cs="Arial" w:eastAsia="Arial" w:hAnsi="Arial"/>
          <w:sz w:val="18"/>
          <w:szCs w:val="18"/>
          <w:color w:val="auto"/>
        </w:rPr>
      </w:pPr>
    </w:p>
    <w:p>
      <w:pPr>
        <w:ind w:left="2400" w:hanging="863"/>
        <w:spacing w:after="0"/>
        <w:tabs>
          <w:tab w:leader="none" w:pos="2400"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ind w:right="60" w:firstLine="2302"/>
        <w:spacing w:after="0" w:line="268" w:lineRule="auto"/>
        <w:tabs>
          <w:tab w:leader="none" w:pos="3111" w:val="left"/>
        </w:tabs>
        <w:numPr>
          <w:ilvl w:val="2"/>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Other than in connection with Substitute Awards, the exercise price per Share purchasable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86" w:lineRule="exact"/>
        <w:rPr>
          <w:rFonts w:ascii="Arial" w:cs="Arial" w:eastAsia="Arial" w:hAnsi="Arial"/>
          <w:sz w:val="17"/>
          <w:szCs w:val="17"/>
          <w:color w:val="auto"/>
        </w:rPr>
      </w:pPr>
    </w:p>
    <w:p>
      <w:pPr>
        <w:ind w:firstLine="2302"/>
        <w:spacing w:after="0" w:line="269" w:lineRule="auto"/>
        <w:tabs>
          <w:tab w:leader="none" w:pos="3161" w:val="left"/>
        </w:tabs>
        <w:numPr>
          <w:ilvl w:val="2"/>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5" w:lineRule="exact"/>
        <w:rPr>
          <w:rFonts w:ascii="Arial" w:cs="Arial" w:eastAsia="Arial" w:hAnsi="Arial"/>
          <w:sz w:val="17"/>
          <w:szCs w:val="17"/>
          <w:color w:val="auto"/>
        </w:rPr>
      </w:pPr>
    </w:p>
    <w:p>
      <w:pPr>
        <w:ind w:right="400" w:firstLine="2302"/>
        <w:spacing w:after="0" w:line="277" w:lineRule="auto"/>
        <w:tabs>
          <w:tab w:leader="none" w:pos="3211" w:val="left"/>
        </w:tabs>
        <w:numPr>
          <w:ilvl w:val="2"/>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ind w:right="40" w:firstLine="2302"/>
        <w:spacing w:after="0" w:line="285" w:lineRule="auto"/>
        <w:tabs>
          <w:tab w:leader="none" w:pos="3201" w:val="left"/>
        </w:tabs>
        <w:numPr>
          <w:ilvl w:val="2"/>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 Options granted as Incentive Stock Options shall be subject to the following special terms and conditions:</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3"/>
          <w:numId w:val="61"/>
        </w:numPr>
        <w:rPr>
          <w:rFonts w:ascii="Arial" w:cs="Arial" w:eastAsia="Arial" w:hAnsi="Arial"/>
          <w:sz w:val="17"/>
          <w:szCs w:val="17"/>
          <w:color w:val="auto"/>
        </w:rPr>
      </w:pPr>
      <w:r>
        <w:rPr>
          <w:rFonts w:ascii="Arial" w:cs="Arial" w:eastAsia="Arial" w:hAnsi="Arial"/>
          <w:sz w:val="17"/>
          <w:szCs w:val="17"/>
          <w:color w:val="auto"/>
        </w:rPr>
        <w:t>the Option shall not be exercisable for more than ten years after the date such Incentive Stock</w:t>
      </w:r>
    </w:p>
    <w:p>
      <w:pPr>
        <w:spacing w:after="0" w:line="34" w:lineRule="exact"/>
        <w:rPr>
          <w:rFonts w:ascii="Arial" w:cs="Arial" w:eastAsia="Arial" w:hAnsi="Arial"/>
          <w:sz w:val="17"/>
          <w:szCs w:val="17"/>
          <w:color w:val="auto"/>
        </w:rPr>
      </w:pPr>
    </w:p>
    <w:p>
      <w:pPr>
        <w:ind w:right="40"/>
        <w:spacing w:after="0" w:line="295" w:lineRule="auto"/>
        <w:rPr>
          <w:rFonts w:ascii="Arial" w:cs="Arial" w:eastAsia="Arial" w:hAnsi="Arial"/>
          <w:sz w:val="17"/>
          <w:szCs w:val="17"/>
          <w:color w:val="auto"/>
        </w:rPr>
      </w:pPr>
      <w:r>
        <w:rPr>
          <w:rFonts w:ascii="Arial" w:cs="Arial" w:eastAsia="Arial" w:hAnsi="Arial"/>
          <w:sz w:val="16"/>
          <w:szCs w:val="16"/>
          <w:color w:val="auto"/>
        </w:rPr>
        <w:t>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jc w:val="both"/>
        <w:ind w:right="40" w:firstLine="3065"/>
        <w:spacing w:after="0" w:line="301" w:lineRule="auto"/>
        <w:tabs>
          <w:tab w:leader="none" w:pos="3945"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57" w:lineRule="exact"/>
        <w:rPr>
          <w:rFonts w:ascii="Arial" w:cs="Arial" w:eastAsia="Arial" w:hAnsi="Arial"/>
          <w:sz w:val="16"/>
          <w:szCs w:val="16"/>
          <w:color w:val="auto"/>
        </w:rPr>
      </w:pPr>
    </w:p>
    <w:p>
      <w:pPr>
        <w:ind w:left="3960" w:hanging="895"/>
        <w:spacing w:after="0"/>
        <w:tabs>
          <w:tab w:leader="none" w:pos="3960" w:val="left"/>
        </w:tabs>
        <w:numPr>
          <w:ilvl w:val="2"/>
          <w:numId w:val="62"/>
        </w:numPr>
        <w:rPr>
          <w:rFonts w:ascii="Arial" w:cs="Arial" w:eastAsia="Arial" w:hAnsi="Arial"/>
          <w:sz w:val="17"/>
          <w:szCs w:val="17"/>
          <w:color w:val="auto"/>
        </w:rPr>
      </w:pPr>
      <w:r>
        <w:rPr>
          <w:rFonts w:ascii="Arial" w:cs="Arial" w:eastAsia="Arial" w:hAnsi="Arial"/>
          <w:sz w:val="17"/>
          <w:szCs w:val="17"/>
          <w:color w:val="auto"/>
        </w:rPr>
        <w:t>if shares acquired by exercise of an Incentive Stock Option are disposed of within two years</w:t>
      </w:r>
    </w:p>
    <w:p>
      <w:pPr>
        <w:spacing w:after="0" w:line="34" w:lineRule="exact"/>
        <w:rPr>
          <w:rFonts w:ascii="Arial" w:cs="Arial" w:eastAsia="Arial" w:hAnsi="Arial"/>
          <w:sz w:val="17"/>
          <w:szCs w:val="17"/>
          <w:color w:val="auto"/>
        </w:rPr>
      </w:pPr>
    </w:p>
    <w:p>
      <w:pPr>
        <w:ind w:right="180"/>
        <w:spacing w:after="0" w:line="255" w:lineRule="auto"/>
        <w:rPr>
          <w:rFonts w:ascii="Arial" w:cs="Arial" w:eastAsia="Arial" w:hAnsi="Arial"/>
          <w:sz w:val="17"/>
          <w:szCs w:val="17"/>
          <w:color w:val="auto"/>
        </w:rPr>
      </w:pPr>
      <w:r>
        <w:rPr>
          <w:rFonts w:ascii="Arial" w:cs="Arial" w:eastAsia="Arial" w:hAnsi="Arial"/>
          <w:sz w:val="18"/>
          <w:szCs w:val="18"/>
          <w:color w:val="auto"/>
        </w:rPr>
        <w:t>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9" w:lineRule="exact"/>
        <w:rPr>
          <w:rFonts w:ascii="Arial" w:cs="Arial" w:eastAsia="Arial" w:hAnsi="Arial"/>
          <w:sz w:val="17"/>
          <w:szCs w:val="17"/>
          <w:color w:val="auto"/>
        </w:rPr>
      </w:pPr>
    </w:p>
    <w:p>
      <w:pPr>
        <w:ind w:right="40" w:firstLine="1537"/>
        <w:spacing w:after="0" w:line="263" w:lineRule="auto"/>
        <w:tabs>
          <w:tab w:leader="none" w:pos="2376"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3" w:lineRule="exact"/>
        <w:rPr>
          <w:rFonts w:ascii="Arial" w:cs="Arial" w:eastAsia="Arial" w:hAnsi="Arial"/>
          <w:sz w:val="18"/>
          <w:szCs w:val="18"/>
          <w:color w:val="auto"/>
        </w:rPr>
      </w:pPr>
    </w:p>
    <w:p>
      <w:pPr>
        <w:ind w:firstLine="2302"/>
        <w:spacing w:after="0" w:line="269" w:lineRule="auto"/>
        <w:tabs>
          <w:tab w:leader="none" w:pos="3111"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Right to Payment</w:t>
      </w:r>
      <w:r>
        <w:rPr>
          <w:rFonts w:ascii="Arial" w:cs="Arial" w:eastAsia="Arial" w:hAnsi="Arial"/>
          <w:sz w:val="17"/>
          <w:szCs w:val="17"/>
          <w:color w:val="auto"/>
        </w:rPr>
        <w:t>. A Stock Appreciation Right shall confer on the Participant to whom it is granted a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1" w:lineRule="exact"/>
        <w:rPr>
          <w:rFonts w:ascii="Arial" w:cs="Arial" w:eastAsia="Arial" w:hAnsi="Arial"/>
          <w:sz w:val="17"/>
          <w:szCs w:val="17"/>
          <w:color w:val="auto"/>
        </w:rPr>
      </w:pPr>
    </w:p>
    <w:p>
      <w:pPr>
        <w:ind w:right="40" w:firstLine="2302"/>
        <w:spacing w:after="0" w:line="254" w:lineRule="auto"/>
        <w:tabs>
          <w:tab w:leader="none" w:pos="3161"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94" w:lineRule="exact"/>
        <w:rPr>
          <w:rFonts w:ascii="Arial" w:cs="Arial" w:eastAsia="Arial" w:hAnsi="Arial"/>
          <w:sz w:val="18"/>
          <w:szCs w:val="18"/>
          <w:color w:val="auto"/>
        </w:rPr>
      </w:pPr>
    </w:p>
    <w:p>
      <w:pPr>
        <w:ind w:left="2400" w:hanging="863"/>
        <w:spacing w:after="0"/>
        <w:tabs>
          <w:tab w:leader="none" w:pos="240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ind w:right="60" w:firstLine="2302"/>
        <w:spacing w:after="0" w:line="269" w:lineRule="auto"/>
        <w:tabs>
          <w:tab w:leader="none" w:pos="3111"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left="-8" w:right="80" w:firstLine="2302"/>
        <w:spacing w:after="0" w:line="293" w:lineRule="auto"/>
        <w:tabs>
          <w:tab w:leader="none" w:pos="3153" w:val="left"/>
        </w:tabs>
        <w:numPr>
          <w:ilvl w:val="2"/>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64" w:lineRule="exact"/>
        <w:rPr>
          <w:rFonts w:ascii="Arial" w:cs="Arial" w:eastAsia="Arial" w:hAnsi="Arial"/>
          <w:sz w:val="16"/>
          <w:szCs w:val="16"/>
          <w:color w:val="auto"/>
        </w:rPr>
      </w:pPr>
    </w:p>
    <w:p>
      <w:pPr>
        <w:ind w:left="-8" w:right="100" w:firstLine="2302"/>
        <w:spacing w:after="0" w:line="301" w:lineRule="auto"/>
        <w:tabs>
          <w:tab w:leader="none" w:pos="3203" w:val="left"/>
        </w:tabs>
        <w:numPr>
          <w:ilvl w:val="2"/>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7" w:lineRule="exact"/>
        <w:rPr>
          <w:rFonts w:ascii="Arial" w:cs="Arial" w:eastAsia="Arial" w:hAnsi="Arial"/>
          <w:sz w:val="16"/>
          <w:szCs w:val="16"/>
          <w:color w:val="auto"/>
        </w:rPr>
      </w:pPr>
    </w:p>
    <w:p>
      <w:pPr>
        <w:ind w:left="-8" w:firstLine="2302"/>
        <w:spacing w:after="0" w:line="271" w:lineRule="auto"/>
        <w:tabs>
          <w:tab w:leader="none" w:pos="3193" w:val="left"/>
        </w:tabs>
        <w:numPr>
          <w:ilvl w:val="2"/>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8" w:lineRule="exact"/>
        <w:rPr>
          <w:rFonts w:ascii="Arial" w:cs="Arial" w:eastAsia="Arial" w:hAnsi="Arial"/>
          <w:sz w:val="17"/>
          <w:szCs w:val="17"/>
          <w:color w:val="auto"/>
        </w:rPr>
      </w:pPr>
    </w:p>
    <w:p>
      <w:pPr>
        <w:ind w:left="-8" w:right="100" w:firstLine="1537"/>
        <w:spacing w:after="0" w:line="277" w:lineRule="auto"/>
        <w:tabs>
          <w:tab w:leader="none" w:pos="2368"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rFonts w:ascii="Arial" w:cs="Arial" w:eastAsia="Arial" w:hAnsi="Arial"/>
          <w:sz w:val="18"/>
          <w:szCs w:val="18"/>
          <w:color w:val="auto"/>
        </w:rPr>
      </w:pPr>
    </w:p>
    <w:p>
      <w:pPr>
        <w:ind w:left="-8" w:right="60" w:firstLine="2302"/>
        <w:spacing w:after="0" w:line="288" w:lineRule="auto"/>
        <w:tabs>
          <w:tab w:leader="none" w:pos="3103" w:val="left"/>
        </w:tabs>
        <w:numPr>
          <w:ilvl w:val="2"/>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Award shall occur upon expiration of the deferral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68" w:lineRule="exact"/>
        <w:rPr>
          <w:rFonts w:ascii="Arial" w:cs="Arial" w:eastAsia="Arial" w:hAnsi="Arial"/>
          <w:sz w:val="16"/>
          <w:szCs w:val="16"/>
          <w:color w:val="auto"/>
        </w:rPr>
      </w:pPr>
    </w:p>
    <w:p>
      <w:pPr>
        <w:ind w:left="-8" w:right="80" w:firstLine="2302"/>
        <w:spacing w:after="0" w:line="272" w:lineRule="auto"/>
        <w:tabs>
          <w:tab w:leader="none" w:pos="3153" w:val="left"/>
        </w:tabs>
        <w:numPr>
          <w:ilvl w:val="2"/>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ind w:left="-8" w:right="20" w:firstLine="2302"/>
        <w:spacing w:after="0" w:line="291" w:lineRule="auto"/>
        <w:tabs>
          <w:tab w:leader="none" w:pos="3203" w:val="left"/>
        </w:tabs>
        <w:numPr>
          <w:ilvl w:val="2"/>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ind w:left="-8" w:right="120" w:firstLine="8"/>
        <w:spacing w:after="0" w:line="269" w:lineRule="auto"/>
        <w:tabs>
          <w:tab w:leader="none" w:pos="287" w:val="left"/>
        </w:tabs>
        <w:numPr>
          <w:ilvl w:val="0"/>
          <w:numId w:val="66"/>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71" w:name="page72"/>
    <w:bookmarkEnd w:id="71"/>
    <w:p>
      <w:pPr>
        <w:ind w:left="-20" w:right="100" w:firstLine="1537"/>
        <w:spacing w:after="0" w:line="296" w:lineRule="auto"/>
        <w:tabs>
          <w:tab w:leader="none" w:pos="2336" w:val="left"/>
        </w:tabs>
        <w:numPr>
          <w:ilvl w:val="1"/>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61" w:lineRule="exact"/>
        <w:rPr>
          <w:rFonts w:ascii="Arial" w:cs="Arial" w:eastAsia="Arial" w:hAnsi="Arial"/>
          <w:sz w:val="16"/>
          <w:szCs w:val="16"/>
          <w:color w:val="auto"/>
        </w:rPr>
      </w:pPr>
    </w:p>
    <w:p>
      <w:pPr>
        <w:ind w:left="-20" w:firstLine="1537"/>
        <w:spacing w:after="0" w:line="270" w:lineRule="auto"/>
        <w:tabs>
          <w:tab w:leader="none" w:pos="2366"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80" w:lineRule="exact"/>
        <w:rPr>
          <w:rFonts w:ascii="Arial" w:cs="Arial" w:eastAsia="Arial" w:hAnsi="Arial"/>
          <w:sz w:val="17"/>
          <w:szCs w:val="17"/>
          <w:color w:val="auto"/>
        </w:rPr>
      </w:pPr>
    </w:p>
    <w:p>
      <w:pPr>
        <w:ind w:left="-20" w:right="20" w:firstLine="1537"/>
        <w:spacing w:after="0" w:line="269" w:lineRule="auto"/>
        <w:tabs>
          <w:tab w:leader="none" w:pos="2366"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1" w:lineRule="exact"/>
        <w:rPr>
          <w:rFonts w:ascii="Arial" w:cs="Arial" w:eastAsia="Arial" w:hAnsi="Arial"/>
          <w:sz w:val="17"/>
          <w:szCs w:val="17"/>
          <w:color w:val="auto"/>
        </w:rPr>
      </w:pPr>
    </w:p>
    <w:p>
      <w:pPr>
        <w:ind w:left="-20" w:right="60" w:firstLine="1537"/>
        <w:spacing w:after="0" w:line="289" w:lineRule="auto"/>
        <w:tabs>
          <w:tab w:leader="none" w:pos="2326" w:val="left"/>
        </w:tabs>
        <w:numPr>
          <w:ilvl w:val="1"/>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66" w:lineRule="exact"/>
        <w:rPr>
          <w:rFonts w:ascii="Arial" w:cs="Arial" w:eastAsia="Arial" w:hAnsi="Arial"/>
          <w:sz w:val="16"/>
          <w:szCs w:val="16"/>
          <w:color w:val="auto"/>
        </w:rPr>
      </w:pPr>
    </w:p>
    <w:p>
      <w:pPr>
        <w:ind w:left="1540" w:hanging="787"/>
        <w:spacing w:after="0"/>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537"/>
        <w:spacing w:after="0" w:line="269" w:lineRule="auto"/>
        <w:tabs>
          <w:tab w:leader="none" w:pos="2356"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2" w:name="page73"/>
    <w:bookmarkEnd w:id="72"/>
    <w:p>
      <w:pPr>
        <w:jc w:val="both"/>
        <w:ind w:right="60" w:firstLine="1537"/>
        <w:spacing w:after="0" w:line="263" w:lineRule="auto"/>
        <w:tabs>
          <w:tab w:leader="none" w:pos="2386"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 event shall the term of any Option or Stock Appreciation Right exceed a period of ten years (or in the case of an Incentive Stock Option such shorter term as may be required under Section 422 of the Code).</w:t>
      </w:r>
    </w:p>
    <w:p>
      <w:pPr>
        <w:spacing w:after="0" w:line="183" w:lineRule="exact"/>
        <w:rPr>
          <w:rFonts w:ascii="Arial" w:cs="Arial" w:eastAsia="Arial" w:hAnsi="Arial"/>
          <w:sz w:val="18"/>
          <w:szCs w:val="18"/>
          <w:color w:val="auto"/>
        </w:rPr>
      </w:pPr>
    </w:p>
    <w:p>
      <w:pPr>
        <w:ind w:right="40" w:firstLine="1537"/>
        <w:spacing w:after="0" w:line="286" w:lineRule="auto"/>
        <w:tabs>
          <w:tab w:leader="none" w:pos="2376"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0" w:lineRule="exact"/>
        <w:rPr>
          <w:rFonts w:ascii="Arial" w:cs="Arial" w:eastAsia="Arial" w:hAnsi="Arial"/>
          <w:sz w:val="16"/>
          <w:szCs w:val="16"/>
          <w:color w:val="auto"/>
        </w:rPr>
      </w:pPr>
    </w:p>
    <w:p>
      <w:pPr>
        <w:ind w:firstLine="1537"/>
        <w:spacing w:after="0" w:line="296" w:lineRule="auto"/>
        <w:tabs>
          <w:tab w:leader="none" w:pos="2386"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61" w:lineRule="exact"/>
        <w:rPr>
          <w:rFonts w:ascii="Arial" w:cs="Arial" w:eastAsia="Arial" w:hAnsi="Arial"/>
          <w:sz w:val="16"/>
          <w:szCs w:val="16"/>
          <w:color w:val="auto"/>
        </w:rPr>
      </w:pPr>
    </w:p>
    <w:p>
      <w:pPr>
        <w:ind w:right="600" w:firstLine="1537"/>
        <w:spacing w:after="0" w:line="277" w:lineRule="auto"/>
        <w:tabs>
          <w:tab w:leader="none" w:pos="2376"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ind w:right="160" w:firstLine="2302"/>
        <w:spacing w:after="0" w:line="296" w:lineRule="auto"/>
        <w:tabs>
          <w:tab w:leader="none" w:pos="31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61" w:lineRule="exact"/>
        <w:rPr>
          <w:rFonts w:ascii="Arial" w:cs="Arial" w:eastAsia="Arial" w:hAnsi="Arial"/>
          <w:sz w:val="16"/>
          <w:szCs w:val="16"/>
          <w:color w:val="auto"/>
        </w:rPr>
      </w:pPr>
    </w:p>
    <w:p>
      <w:pPr>
        <w:ind w:right="500" w:firstLine="2302"/>
        <w:spacing w:after="0" w:line="277" w:lineRule="auto"/>
        <w:tabs>
          <w:tab w:leader="none" w:pos="3161"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ind w:left="3960" w:hanging="895"/>
        <w:spacing w:after="0"/>
        <w:tabs>
          <w:tab w:leader="none" w:pos="3960" w:val="left"/>
        </w:tabs>
        <w:numPr>
          <w:ilvl w:val="2"/>
          <w:numId w:val="69"/>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w:t>
      </w:r>
    </w:p>
    <w:p>
      <w:pPr>
        <w:spacing w:after="0" w:line="34" w:lineRule="exact"/>
        <w:rPr>
          <w:rFonts w:ascii="Arial" w:cs="Arial" w:eastAsia="Arial" w:hAnsi="Arial"/>
          <w:sz w:val="17"/>
          <w:szCs w:val="17"/>
          <w:color w:val="auto"/>
        </w:rPr>
      </w:pPr>
    </w:p>
    <w:p>
      <w:pPr>
        <w:ind w:right="80"/>
        <w:spacing w:after="0" w:line="277" w:lineRule="auto"/>
        <w:rPr>
          <w:rFonts w:ascii="Arial" w:cs="Arial" w:eastAsia="Arial" w:hAnsi="Arial"/>
          <w:sz w:val="17"/>
          <w:szCs w:val="17"/>
          <w:color w:val="auto"/>
        </w:rPr>
      </w:pPr>
      <w:r>
        <w:rPr>
          <w:rFonts w:ascii="Arial" w:cs="Arial" w:eastAsia="Arial" w:hAnsi="Arial"/>
          <w:sz w:val="17"/>
          <w:szCs w:val="17"/>
          <w:color w:val="auto"/>
        </w:rPr>
        <w:t>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2" w:lineRule="exact"/>
        <w:rPr>
          <w:rFonts w:ascii="Arial" w:cs="Arial" w:eastAsia="Arial" w:hAnsi="Arial"/>
          <w:sz w:val="17"/>
          <w:szCs w:val="17"/>
          <w:color w:val="auto"/>
        </w:rPr>
      </w:pPr>
    </w:p>
    <w:p>
      <w:pPr>
        <w:ind w:left="3960" w:hanging="895"/>
        <w:spacing w:after="0"/>
        <w:tabs>
          <w:tab w:leader="none" w:pos="3960"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065"/>
        <w:spacing w:after="0" w:line="263" w:lineRule="auto"/>
        <w:tabs>
          <w:tab w:leader="none" w:pos="3955" w:val="left"/>
        </w:tabs>
        <w:numPr>
          <w:ilvl w:val="2"/>
          <w:numId w:val="69"/>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ind w:right="40"/>
        <w:spacing w:after="0" w:line="26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4" w:lineRule="exact"/>
        <w:rPr>
          <w:sz w:val="20"/>
          <w:szCs w:val="20"/>
          <w:color w:val="auto"/>
        </w:rPr>
      </w:pPr>
    </w:p>
    <w:p>
      <w:pPr>
        <w:ind w:right="60" w:firstLine="2302"/>
        <w:spacing w:after="0" w:line="255" w:lineRule="auto"/>
        <w:tabs>
          <w:tab w:leader="none" w:pos="3211"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92" w:lineRule="exact"/>
        <w:rPr>
          <w:rFonts w:ascii="Arial" w:cs="Arial" w:eastAsia="Arial" w:hAnsi="Arial"/>
          <w:sz w:val="18"/>
          <w:szCs w:val="18"/>
          <w:color w:val="auto"/>
        </w:rPr>
      </w:pPr>
    </w:p>
    <w:p>
      <w:pPr>
        <w:ind w:left="2360" w:hanging="823"/>
        <w:spacing w:after="0"/>
        <w:tabs>
          <w:tab w:leader="none" w:pos="23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2302"/>
        <w:spacing w:after="0" w:line="269" w:lineRule="auto"/>
        <w:tabs>
          <w:tab w:leader="none" w:pos="3156"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5" w:lineRule="exact"/>
        <w:rPr>
          <w:sz w:val="20"/>
          <w:szCs w:val="20"/>
          <w:color w:val="auto"/>
        </w:rPr>
      </w:pPr>
    </w:p>
    <w:p>
      <w:pPr>
        <w:ind w:firstLine="2302"/>
        <w:spacing w:after="0" w:line="290" w:lineRule="auto"/>
        <w:tabs>
          <w:tab w:leader="none" w:pos="3161" w:val="left"/>
        </w:tabs>
        <w:numPr>
          <w:ilvl w:val="3"/>
          <w:numId w:val="72"/>
        </w:numPr>
        <w:rPr>
          <w:rFonts w:ascii="Arial" w:cs="Arial" w:eastAsia="Arial" w:hAnsi="Arial"/>
          <w:sz w:val="16"/>
          <w:szCs w:val="16"/>
          <w:color w:val="auto"/>
        </w:rPr>
      </w:pPr>
      <w:r>
        <w:rPr>
          <w:rFonts w:ascii="Arial" w:cs="Arial" w:eastAsia="Arial" w:hAnsi="Arial"/>
          <w:sz w:val="16"/>
          <w:szCs w:val="16"/>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65" w:lineRule="exact"/>
        <w:rPr>
          <w:rFonts w:ascii="Arial" w:cs="Arial" w:eastAsia="Arial" w:hAnsi="Arial"/>
          <w:sz w:val="16"/>
          <w:szCs w:val="16"/>
          <w:color w:val="auto"/>
        </w:rPr>
      </w:pPr>
    </w:p>
    <w:p>
      <w:pPr>
        <w:ind w:left="1560" w:hanging="787"/>
        <w:spacing w:after="0"/>
        <w:tabs>
          <w:tab w:leader="none" w:pos="1560"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63" w:lineRule="auto"/>
        <w:tabs>
          <w:tab w:leader="none" w:pos="2376" w:val="left"/>
        </w:tabs>
        <w:numPr>
          <w:ilvl w:val="2"/>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who is, or is likely to be, as of the end of the tax year in which the Company would claim a tax deduction in connection with such Award, a Covered Employee, that the provisions of this Section 9 shall be applicable to such Award.</w:t>
      </w:r>
    </w:p>
    <w:p>
      <w:pPr>
        <w:spacing w:after="0" w:line="183" w:lineRule="exact"/>
        <w:rPr>
          <w:rFonts w:ascii="Arial" w:cs="Arial" w:eastAsia="Arial" w:hAnsi="Arial"/>
          <w:sz w:val="18"/>
          <w:szCs w:val="18"/>
          <w:color w:val="auto"/>
        </w:rPr>
      </w:pPr>
    </w:p>
    <w:p>
      <w:pPr>
        <w:ind w:right="120" w:firstLine="1537"/>
        <w:spacing w:after="0" w:line="283" w:lineRule="auto"/>
        <w:tabs>
          <w:tab w:leader="none" w:pos="2386" w:val="left"/>
        </w:tabs>
        <w:numPr>
          <w:ilvl w:val="2"/>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w:t>
      </w:r>
    </w:p>
    <w:p>
      <w:pPr>
        <w:spacing w:after="0" w:line="3" w:lineRule="exact"/>
        <w:rPr>
          <w:rFonts w:ascii="Arial" w:cs="Arial" w:eastAsia="Arial" w:hAnsi="Arial"/>
          <w:sz w:val="16"/>
          <w:szCs w:val="16"/>
          <w:color w:val="auto"/>
        </w:rPr>
      </w:pPr>
    </w:p>
    <w:p>
      <w:pPr>
        <w:ind w:right="60" w:firstLine="8"/>
        <w:spacing w:after="0" w:line="273" w:lineRule="auto"/>
        <w:tabs>
          <w:tab w:leader="none" w:pos="2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180"/>
        <w:spacing w:after="0" w:line="257" w:lineRule="auto"/>
        <w:rPr>
          <w:sz w:val="20"/>
          <w:szCs w:val="20"/>
          <w:color w:val="auto"/>
        </w:rPr>
      </w:pPr>
      <w:r>
        <w:rPr>
          <w:rFonts w:ascii="Arial" w:cs="Arial" w:eastAsia="Arial" w:hAnsi="Arial"/>
          <w:sz w:val="18"/>
          <w:szCs w:val="18"/>
          <w:color w:val="auto"/>
        </w:rPr>
        <w:t>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88" w:lineRule="exact"/>
        <w:rPr>
          <w:sz w:val="20"/>
          <w:szCs w:val="20"/>
          <w:color w:val="auto"/>
        </w:rPr>
      </w:pPr>
    </w:p>
    <w:p>
      <w:pPr>
        <w:ind w:right="100" w:firstLine="1537"/>
        <w:spacing w:after="0" w:line="257" w:lineRule="auto"/>
        <w:tabs>
          <w:tab w:leader="none" w:pos="2376"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87" w:lineRule="exact"/>
        <w:rPr>
          <w:rFonts w:ascii="Arial" w:cs="Arial" w:eastAsia="Arial" w:hAnsi="Arial"/>
          <w:sz w:val="18"/>
          <w:szCs w:val="18"/>
          <w:color w:val="auto"/>
        </w:rPr>
      </w:pPr>
    </w:p>
    <w:p>
      <w:pPr>
        <w:ind w:firstLine="1537"/>
        <w:spacing w:after="0" w:line="279" w:lineRule="auto"/>
        <w:tabs>
          <w:tab w:leader="none" w:pos="2386" w:val="left"/>
        </w:tabs>
        <w:numPr>
          <w:ilvl w:val="1"/>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ind w:right="160" w:firstLine="1537"/>
        <w:spacing w:after="0" w:line="259" w:lineRule="auto"/>
        <w:tabs>
          <w:tab w:leader="none" w:pos="2376"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40" w:hanging="867"/>
        <w:spacing w:after="0"/>
        <w:tabs>
          <w:tab w:leader="none" w:pos="164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82" w:lineRule="auto"/>
        <w:tabs>
          <w:tab w:leader="none" w:pos="2376"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w:t>
      </w:r>
    </w:p>
    <w:p>
      <w:pPr>
        <w:spacing w:after="0" w:line="10"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20" w:right="340" w:firstLine="1537"/>
        <w:spacing w:after="0" w:line="263" w:lineRule="auto"/>
        <w:tabs>
          <w:tab w:leader="none" w:pos="2366"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or other agreement for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Participant and the Company or any Subsidiary, or in an Award Agreement, a “Change in Control” shall mean the occurrence of any of the following:</w:t>
      </w:r>
    </w:p>
    <w:p>
      <w:pPr>
        <w:spacing w:after="0" w:line="183" w:lineRule="exact"/>
        <w:rPr>
          <w:rFonts w:ascii="Arial" w:cs="Arial" w:eastAsia="Arial" w:hAnsi="Arial"/>
          <w:sz w:val="18"/>
          <w:szCs w:val="18"/>
          <w:color w:val="auto"/>
        </w:rPr>
      </w:pPr>
    </w:p>
    <w:p>
      <w:pPr>
        <w:ind w:left="-20" w:right="180" w:firstLine="2302"/>
        <w:spacing w:after="0" w:line="253" w:lineRule="auto"/>
        <w:tabs>
          <w:tab w:leader="none" w:pos="3091"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96" w:lineRule="exact"/>
        <w:rPr>
          <w:rFonts w:ascii="Arial" w:cs="Arial" w:eastAsia="Arial" w:hAnsi="Arial"/>
          <w:sz w:val="18"/>
          <w:szCs w:val="18"/>
          <w:color w:val="auto"/>
        </w:rPr>
      </w:pPr>
    </w:p>
    <w:p>
      <w:pPr>
        <w:ind w:left="-20" w:firstLine="2302"/>
        <w:spacing w:after="0" w:line="254" w:lineRule="auto"/>
        <w:tabs>
          <w:tab w:leader="none" w:pos="3141" w:val="left"/>
        </w:tabs>
        <w:numPr>
          <w:ilvl w:val="2"/>
          <w:numId w:val="77"/>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rFonts w:ascii="Arial" w:cs="Arial" w:eastAsia="Arial" w:hAnsi="Arial"/>
          <w:sz w:val="18"/>
          <w:szCs w:val="18"/>
          <w:color w:val="auto"/>
        </w:rPr>
      </w:pPr>
    </w:p>
    <w:p>
      <w:pPr>
        <w:ind w:left="-20" w:right="20" w:firstLine="2302"/>
        <w:spacing w:after="0" w:line="267" w:lineRule="auto"/>
        <w:tabs>
          <w:tab w:leader="none" w:pos="3191" w:val="left"/>
        </w:tabs>
        <w:numPr>
          <w:ilvl w:val="2"/>
          <w:numId w:val="77"/>
        </w:numPr>
        <w:rPr>
          <w:rFonts w:ascii="Arial" w:cs="Arial" w:eastAsia="Arial" w:hAnsi="Arial"/>
          <w:sz w:val="17"/>
          <w:szCs w:val="17"/>
          <w:color w:val="auto"/>
        </w:rPr>
      </w:pPr>
      <w:r>
        <w:rPr>
          <w:rFonts w:ascii="Arial" w:cs="Arial" w:eastAsia="Arial" w:hAnsi="Arial"/>
          <w:sz w:val="17"/>
          <w:szCs w:val="17"/>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1" w:lineRule="exact"/>
        <w:rPr>
          <w:rFonts w:ascii="Arial" w:cs="Arial" w:eastAsia="Arial" w:hAnsi="Arial"/>
          <w:sz w:val="17"/>
          <w:szCs w:val="17"/>
          <w:color w:val="auto"/>
        </w:rPr>
      </w:pPr>
    </w:p>
    <w:p>
      <w:pPr>
        <w:ind w:left="3180" w:hanging="898"/>
        <w:spacing w:after="0"/>
        <w:tabs>
          <w:tab w:leader="none" w:pos="3180" w:val="left"/>
        </w:tabs>
        <w:numPr>
          <w:ilvl w:val="2"/>
          <w:numId w:val="77"/>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6" w:lineRule="exact"/>
        <w:rPr>
          <w:rFonts w:ascii="Arial" w:cs="Arial" w:eastAsia="Arial" w:hAnsi="Arial"/>
          <w:sz w:val="17"/>
          <w:szCs w:val="17"/>
          <w:color w:val="auto"/>
        </w:rPr>
      </w:pPr>
    </w:p>
    <w:p>
      <w:pPr>
        <w:ind w:left="1620" w:hanging="867"/>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1537"/>
        <w:spacing w:after="0" w:line="254" w:lineRule="auto"/>
        <w:tabs>
          <w:tab w:leader="none" w:pos="2356"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6" w:name="page77"/>
    <w:bookmarkEnd w:id="76"/>
    <w:p>
      <w:pPr>
        <w:ind w:firstLine="1537"/>
        <w:spacing w:after="0" w:line="285" w:lineRule="auto"/>
        <w:tabs>
          <w:tab w:leader="none" w:pos="2386"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6" w:lineRule="exact"/>
        <w:rPr>
          <w:rFonts w:ascii="Arial" w:cs="Arial" w:eastAsia="Arial" w:hAnsi="Arial"/>
          <w:sz w:val="16"/>
          <w:szCs w:val="16"/>
          <w:color w:val="auto"/>
        </w:rPr>
      </w:pPr>
    </w:p>
    <w:p>
      <w:pPr>
        <w:ind w:left="2380" w:hanging="843"/>
        <w:spacing w:after="0"/>
        <w:tabs>
          <w:tab w:leader="none" w:pos="23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302"/>
        <w:spacing w:after="0" w:line="268" w:lineRule="auto"/>
        <w:tabs>
          <w:tab w:leader="none" w:pos="3111" w:val="left"/>
        </w:tabs>
        <w:numPr>
          <w:ilvl w:val="1"/>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79" w:lineRule="exact"/>
        <w:rPr>
          <w:rFonts w:ascii="Arial" w:cs="Arial" w:eastAsia="Arial" w:hAnsi="Arial"/>
          <w:sz w:val="17"/>
          <w:szCs w:val="17"/>
          <w:color w:val="auto"/>
        </w:rPr>
      </w:pPr>
    </w:p>
    <w:p>
      <w:pPr>
        <w:ind w:left="3160" w:hanging="858"/>
        <w:spacing w:after="0"/>
        <w:tabs>
          <w:tab w:leader="none" w:pos="3160"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895"/>
        <w:spacing w:after="0"/>
        <w:tabs>
          <w:tab w:leader="none" w:pos="3960" w:val="left"/>
        </w:tabs>
        <w:numPr>
          <w:ilvl w:val="2"/>
          <w:numId w:val="79"/>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w:t>
      </w:r>
    </w:p>
    <w:p>
      <w:pPr>
        <w:spacing w:after="0" w:line="34"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left="-40" w:right="20" w:firstLine="3065"/>
        <w:spacing w:after="0" w:line="286" w:lineRule="auto"/>
        <w:tabs>
          <w:tab w:leader="none" w:pos="3905" w:val="left"/>
        </w:tabs>
        <w:numPr>
          <w:ilvl w:val="2"/>
          <w:numId w:val="80"/>
        </w:numPr>
        <w:rPr>
          <w:rFonts w:ascii="Arial" w:cs="Arial" w:eastAsia="Arial" w:hAnsi="Arial"/>
          <w:sz w:val="16"/>
          <w:szCs w:val="16"/>
          <w:color w:val="auto"/>
        </w:rPr>
      </w:pPr>
      <w:r>
        <w:rPr>
          <w:rFonts w:ascii="Arial" w:cs="Arial" w:eastAsia="Arial" w:hAnsi="Arial"/>
          <w:sz w:val="16"/>
          <w:szCs w:val="16"/>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73" w:lineRule="exact"/>
        <w:rPr>
          <w:rFonts w:ascii="Arial" w:cs="Arial" w:eastAsia="Arial" w:hAnsi="Arial"/>
          <w:sz w:val="16"/>
          <w:szCs w:val="16"/>
          <w:color w:val="auto"/>
        </w:rPr>
      </w:pPr>
    </w:p>
    <w:p>
      <w:pPr>
        <w:ind w:left="-40" w:firstLine="2302"/>
        <w:spacing w:after="0" w:line="287" w:lineRule="auto"/>
        <w:tabs>
          <w:tab w:leader="none" w:pos="3171"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1" w:lineRule="exact"/>
        <w:rPr>
          <w:rFonts w:ascii="Arial" w:cs="Arial" w:eastAsia="Arial" w:hAnsi="Arial"/>
          <w:sz w:val="16"/>
          <w:szCs w:val="16"/>
          <w:color w:val="auto"/>
        </w:rPr>
      </w:pPr>
    </w:p>
    <w:p>
      <w:pPr>
        <w:ind w:left="-40" w:right="140" w:firstLine="1537"/>
        <w:spacing w:after="0" w:line="272" w:lineRule="auto"/>
        <w:tabs>
          <w:tab w:leader="none" w:pos="2346"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Each Award Agreement shall either be (i) in writing in a form approved by the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77" w:lineRule="exact"/>
        <w:rPr>
          <w:rFonts w:ascii="Arial" w:cs="Arial" w:eastAsia="Arial" w:hAnsi="Arial"/>
          <w:sz w:val="17"/>
          <w:szCs w:val="17"/>
          <w:color w:val="auto"/>
        </w:rPr>
      </w:pPr>
    </w:p>
    <w:p>
      <w:pPr>
        <w:ind w:left="-40" w:right="40" w:firstLine="1537"/>
        <w:spacing w:after="0" w:line="290" w:lineRule="auto"/>
        <w:tabs>
          <w:tab w:leader="none" w:pos="2336"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557" w:right="359" w:bottom="1440" w:gutter="0" w:footer="0" w:header="0"/>
        </w:sectPr>
      </w:pPr>
    </w:p>
    <w:bookmarkStart w:id="78" w:name="page79"/>
    <w:bookmarkEnd w:id="78"/>
    <w:p>
      <w:pPr>
        <w:ind w:left="-20" w:right="60" w:firstLine="1537"/>
        <w:spacing w:after="0" w:line="289" w:lineRule="auto"/>
        <w:tabs>
          <w:tab w:leader="none" w:pos="2336"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ind w:left="-20" w:right="20" w:firstLine="1537"/>
        <w:spacing w:after="0" w:line="268" w:lineRule="auto"/>
        <w:tabs>
          <w:tab w:leader="none" w:pos="2366"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on Rights Conferred Under Plan</w:t>
      </w:r>
      <w:r>
        <w:rPr>
          <w:rFonts w:ascii="Arial" w:cs="Arial" w:eastAsia="Arial" w:hAnsi="Arial"/>
          <w:sz w:val="17"/>
          <w:szCs w:val="17"/>
          <w:color w:val="auto"/>
        </w:rPr>
        <w:t>. Neither the Plan nor any action taken hereunder or under any Award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86" w:lineRule="exact"/>
        <w:rPr>
          <w:rFonts w:ascii="Arial" w:cs="Arial" w:eastAsia="Arial" w:hAnsi="Arial"/>
          <w:sz w:val="17"/>
          <w:szCs w:val="17"/>
          <w:color w:val="auto"/>
        </w:rPr>
      </w:pPr>
    </w:p>
    <w:p>
      <w:pPr>
        <w:ind w:left="-20" w:right="20" w:firstLine="1537"/>
        <w:spacing w:after="0" w:line="291" w:lineRule="auto"/>
        <w:tabs>
          <w:tab w:leader="none" w:pos="2366"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6" w:lineRule="exact"/>
        <w:rPr>
          <w:rFonts w:ascii="Arial" w:cs="Arial" w:eastAsia="Arial" w:hAnsi="Arial"/>
          <w:sz w:val="16"/>
          <w:szCs w:val="16"/>
          <w:color w:val="auto"/>
        </w:rPr>
      </w:pPr>
    </w:p>
    <w:p>
      <w:pPr>
        <w:ind w:left="-20" w:right="300" w:firstLine="1537"/>
        <w:spacing w:after="0" w:line="311" w:lineRule="auto"/>
        <w:tabs>
          <w:tab w:leader="none" w:pos="2326"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48" w:lineRule="exact"/>
        <w:rPr>
          <w:rFonts w:ascii="Arial" w:cs="Arial" w:eastAsia="Arial" w:hAnsi="Arial"/>
          <w:sz w:val="16"/>
          <w:szCs w:val="16"/>
          <w:color w:val="auto"/>
        </w:rPr>
      </w:pPr>
    </w:p>
    <w:p>
      <w:pPr>
        <w:ind w:left="-20" w:firstLine="1537"/>
        <w:spacing w:after="0" w:line="257" w:lineRule="auto"/>
        <w:tabs>
          <w:tab w:leader="none" w:pos="2326"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7" w:lineRule="exact"/>
        <w:rPr>
          <w:rFonts w:ascii="Arial" w:cs="Arial" w:eastAsia="Arial" w:hAnsi="Arial"/>
          <w:sz w:val="18"/>
          <w:szCs w:val="18"/>
          <w:color w:val="auto"/>
        </w:rPr>
      </w:pPr>
    </w:p>
    <w:p>
      <w:pPr>
        <w:ind w:left="-20" w:right="80" w:firstLine="1537"/>
        <w:spacing w:after="0" w:line="263" w:lineRule="auto"/>
        <w:tabs>
          <w:tab w:leader="none" w:pos="2366"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9" w:name="page80"/>
    <w:bookmarkEnd w:id="79"/>
    <w:p>
      <w:pPr>
        <w:ind w:right="60" w:firstLine="1537"/>
        <w:spacing w:after="0" w:line="286" w:lineRule="auto"/>
        <w:tabs>
          <w:tab w:leader="none" w:pos="2346"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ind w:right="60" w:firstLine="1537"/>
        <w:spacing w:after="0" w:line="271" w:lineRule="auto"/>
        <w:tabs>
          <w:tab w:leader="none" w:pos="2436"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3" w:lineRule="exact"/>
        <w:rPr>
          <w:rFonts w:ascii="Arial" w:cs="Arial" w:eastAsia="Arial" w:hAnsi="Arial"/>
          <w:sz w:val="18"/>
          <w:szCs w:val="18"/>
          <w:color w:val="auto"/>
        </w:rPr>
      </w:pPr>
    </w:p>
    <w:p>
      <w:pPr>
        <w:jc w:val="both"/>
        <w:ind w:right="160" w:firstLine="1537"/>
        <w:spacing w:after="0" w:line="263" w:lineRule="auto"/>
        <w:tabs>
          <w:tab w:leader="none" w:pos="2386"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Notice of 2021 Annual Meeting of</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Thursday, August 5, 2021</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11:30 A.M. EDT</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81" w:name="page82"/>
    <w:bookmarkEnd w:id="81"/>
    <w:p>
      <w:pPr>
        <w:jc w:val="center"/>
        <w:ind w:right="-959"/>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959"/>
        <w:spacing w:after="0"/>
        <w:rPr>
          <w:sz w:val="20"/>
          <w:szCs w:val="20"/>
          <w:color w:val="auto"/>
        </w:rPr>
      </w:pPr>
      <w:r>
        <w:rPr>
          <w:rFonts w:ascii="Arial" w:cs="Arial" w:eastAsia="Arial" w:hAnsi="Arial"/>
          <w:sz w:val="22"/>
          <w:szCs w:val="22"/>
          <w:color w:val="auto"/>
        </w:rPr>
        <w:t>DESTINATION XL GROUP, INC.</w:t>
      </w:r>
    </w:p>
    <w:p>
      <w:pPr>
        <w:jc w:val="center"/>
        <w:ind w:right="-959"/>
        <w:spacing w:after="0"/>
        <w:rPr>
          <w:sz w:val="20"/>
          <w:szCs w:val="20"/>
          <w:color w:val="auto"/>
        </w:rPr>
      </w:pPr>
      <w:r>
        <w:rPr>
          <w:rFonts w:ascii="Arial" w:cs="Arial" w:eastAsia="Arial" w:hAnsi="Arial"/>
          <w:sz w:val="18"/>
          <w:szCs w:val="18"/>
          <w:b w:val="1"/>
          <w:bCs w:val="1"/>
          <w:color w:val="auto"/>
        </w:rPr>
        <w:t>August 5, 2021</w:t>
      </w:r>
    </w:p>
    <w:p>
      <w:pPr>
        <w:spacing w:after="0" w:line="88" w:lineRule="exact"/>
        <w:rPr>
          <w:sz w:val="20"/>
          <w:szCs w:val="20"/>
          <w:color w:val="auto"/>
        </w:rPr>
      </w:pPr>
    </w:p>
    <w:p>
      <w:pPr>
        <w:jc w:val="center"/>
        <w:ind w:right="-959"/>
        <w:spacing w:after="0"/>
        <w:rPr>
          <w:sz w:val="20"/>
          <w:szCs w:val="20"/>
          <w:color w:val="auto"/>
        </w:rPr>
      </w:pPr>
      <w:r>
        <w:rPr>
          <w:rFonts w:ascii="Arial" w:cs="Arial" w:eastAsia="Arial" w:hAnsi="Arial"/>
          <w:sz w:val="11"/>
          <w:szCs w:val="11"/>
          <w:b w:val="1"/>
          <w:bCs w:val="1"/>
          <w:color w:val="auto"/>
        </w:rPr>
        <w:t>GO GREEN</w:t>
      </w:r>
    </w:p>
    <w:p>
      <w:pPr>
        <w:spacing w:after="0" w:line="2" w:lineRule="exact"/>
        <w:rPr>
          <w:sz w:val="20"/>
          <w:szCs w:val="20"/>
          <w:color w:val="auto"/>
        </w:rPr>
      </w:pPr>
    </w:p>
    <w:p>
      <w:pPr>
        <w:jc w:val="center"/>
        <w:ind w:right="-959"/>
        <w:spacing w:after="0"/>
        <w:rPr>
          <w:sz w:val="20"/>
          <w:szCs w:val="20"/>
          <w:color w:val="auto"/>
        </w:rPr>
      </w:pPr>
      <w:r>
        <w:rPr>
          <w:rFonts w:ascii="Arial" w:cs="Arial" w:eastAsia="Arial" w:hAnsi="Arial"/>
          <w:sz w:val="11"/>
          <w:szCs w:val="11"/>
          <w:color w:val="auto"/>
        </w:rPr>
        <w:t>e-consent makes it easy to go paperless. With e-consent, you can quickly access your proxy material, statements and other eligible documents online, while</w:t>
      </w:r>
    </w:p>
    <w:p>
      <w:pPr>
        <w:jc w:val="center"/>
        <w:ind w:right="-959"/>
        <w:spacing w:after="0"/>
        <w:rPr>
          <w:sz w:val="20"/>
          <w:szCs w:val="20"/>
          <w:color w:val="auto"/>
        </w:rPr>
      </w:pPr>
      <w:r>
        <w:rPr>
          <w:rFonts w:ascii="Arial" w:cs="Arial" w:eastAsia="Arial" w:hAnsi="Arial"/>
          <w:sz w:val="11"/>
          <w:szCs w:val="11"/>
          <w:color w:val="auto"/>
        </w:rPr>
        <w:t xml:space="preserve">reducing costs, clutter and paper waste. Enroll today via </w:t>
      </w:r>
      <w:r>
        <w:rPr>
          <w:rFonts w:ascii="Arial" w:cs="Arial" w:eastAsia="Arial" w:hAnsi="Arial"/>
          <w:sz w:val="11"/>
          <w:szCs w:val="11"/>
          <w:u w:val="single" w:color="auto"/>
          <w:color w:val="auto"/>
        </w:rPr>
        <w:t>www.astfinancial.com</w:t>
      </w:r>
      <w:r>
        <w:rPr>
          <w:rFonts w:ascii="Arial" w:cs="Arial" w:eastAsia="Arial" w:hAnsi="Arial"/>
          <w:sz w:val="11"/>
          <w:szCs w:val="11"/>
          <w:color w:val="auto"/>
        </w:rPr>
        <w:t xml:space="preserve"> to enjoy online access.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Important Notice Regarding Internet Availability of Proxy Materials for the Annual Meeting of Stockholders to be Held on August 5, 2021</w:t>
      </w:r>
      <w:r>
        <w:rPr>
          <w:rFonts w:ascii="Arial" w:cs="Arial" w:eastAsia="Arial" w:hAnsi="Arial"/>
          <w:sz w:val="15"/>
          <w:szCs w:val="15"/>
          <w:color w:val="auto"/>
        </w:rPr>
        <w:t>:</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 xml:space="preserve">The Proxy Statement and 2021 Annual Report to Stockholders are available at </w:t>
      </w:r>
      <w:r>
        <w:rPr>
          <w:rFonts w:ascii="Arial" w:cs="Arial" w:eastAsia="Arial" w:hAnsi="Arial"/>
          <w:sz w:val="14"/>
          <w:szCs w:val="14"/>
          <w:u w:val="single" w:color="auto"/>
          <w:color w:val="auto"/>
        </w:rPr>
        <w:t>https://investor.dxl.com/financial-information/annual-reports</w:t>
      </w:r>
    </w:p>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4"/>
          <w:szCs w:val="14"/>
          <w:color w:val="auto"/>
        </w:rPr>
        <w:t>PLEASE SIGN, DATE AND MAIL</w:t>
      </w:r>
    </w:p>
    <w:p>
      <w:pPr>
        <w:jc w:val="center"/>
        <w:ind w:right="-959"/>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959"/>
        <w:spacing w:after="0"/>
        <w:rPr>
          <w:sz w:val="20"/>
          <w:szCs w:val="20"/>
          <w:color w:val="auto"/>
        </w:rPr>
      </w:pPr>
      <w:r>
        <w:rPr>
          <w:rFonts w:ascii="Arial" w:cs="Arial" w:eastAsia="Arial" w:hAnsi="Arial"/>
          <w:sz w:val="14"/>
          <w:szCs w:val="14"/>
          <w:color w:val="auto"/>
        </w:rPr>
        <w:t>PROVIDED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465" cy="205740"/>
                    </a:xfrm>
                    <a:prstGeom prst="rect">
                      <a:avLst/>
                    </a:prstGeom>
                    <a:noFill/>
                  </pic:spPr>
                </pic:pic>
              </a:graphicData>
            </a:graphic>
          </wp:anchor>
        </w:drawing>
      </w:r>
    </w:p>
    <w:p>
      <w:pPr>
        <w:spacing w:after="0" w:line="289" w:lineRule="exact"/>
        <w:rPr>
          <w:sz w:val="20"/>
          <w:szCs w:val="20"/>
          <w:color w:val="auto"/>
        </w:rPr>
      </w:pPr>
    </w:p>
    <w:p>
      <w:pPr>
        <w:ind w:left="4080"/>
        <w:spacing w:after="0"/>
        <w:rPr>
          <w:sz w:val="20"/>
          <w:szCs w:val="20"/>
          <w:color w:val="auto"/>
        </w:rPr>
      </w:pPr>
      <w:r>
        <w:rPr>
          <w:rFonts w:ascii="Arial" w:cs="Arial" w:eastAsia="Arial" w:hAnsi="Arial"/>
          <w:sz w:val="11"/>
          <w:szCs w:val="11"/>
          <w:color w:val="auto"/>
        </w:rPr>
        <w:t>Please detach along perforated line and mail in the envelope provided</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154940</wp:posOffset>
            </wp:positionV>
            <wp:extent cx="7136130" cy="3130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236" w:lineRule="exact"/>
        <w:rPr>
          <w:sz w:val="20"/>
          <w:szCs w:val="20"/>
          <w:color w:val="auto"/>
        </w:rPr>
      </w:pPr>
    </w:p>
    <w:p>
      <w:pPr>
        <w:jc w:val="center"/>
        <w:ind w:right="-959"/>
        <w:spacing w:after="0"/>
        <w:rPr>
          <w:sz w:val="20"/>
          <w:szCs w:val="20"/>
          <w:color w:val="auto"/>
        </w:rPr>
      </w:pPr>
      <w:r>
        <w:rPr>
          <w:rFonts w:ascii="Arial" w:cs="Arial" w:eastAsia="Arial" w:hAnsi="Arial"/>
          <w:sz w:val="13"/>
          <w:szCs w:val="13"/>
          <w:b w:val="1"/>
          <w:bCs w:val="1"/>
          <w:color w:val="auto"/>
        </w:rPr>
        <w:t>THE BOARD OF DIRECTORS RECOMMENDS A VOTE “FOR” THE ELECTION OF DIRECTORS,</w:t>
      </w:r>
    </w:p>
    <w:p>
      <w:pPr>
        <w:jc w:val="center"/>
        <w:ind w:right="-959"/>
        <w:spacing w:after="0" w:line="230" w:lineRule="auto"/>
        <w:rPr>
          <w:sz w:val="20"/>
          <w:szCs w:val="20"/>
          <w:color w:val="auto"/>
        </w:rPr>
      </w:pPr>
      <w:r>
        <w:rPr>
          <w:rFonts w:ascii="Arial" w:cs="Arial" w:eastAsia="Arial" w:hAnsi="Arial"/>
          <w:sz w:val="13"/>
          <w:szCs w:val="13"/>
          <w:b w:val="1"/>
          <w:bCs w:val="1"/>
          <w:color w:val="auto"/>
        </w:rPr>
        <w:t>AND “FOR” PROPOSALS 2, 3, 4 and 5.</w:t>
      </w:r>
    </w:p>
    <w:p>
      <w:pPr>
        <w:spacing w:after="0" w:line="1" w:lineRule="exact"/>
        <w:rPr>
          <w:sz w:val="20"/>
          <w:szCs w:val="20"/>
          <w:color w:val="auto"/>
        </w:rPr>
      </w:pPr>
    </w:p>
    <w:p>
      <w:pPr>
        <w:ind w:left="96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4980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980305"/>
                    </a:xfrm>
                    <a:prstGeom prst="rect">
                      <a:avLst/>
                    </a:prstGeom>
                    <a:noFill/>
                  </pic:spPr>
                </pic:pic>
              </a:graphicData>
            </a:graphic>
          </wp:anchor>
        </w:drawing>
      </w:r>
    </w:p>
    <w:p>
      <w:pPr>
        <w:spacing w:after="0" w:line="166" w:lineRule="exact"/>
        <w:rPr>
          <w:sz w:val="20"/>
          <w:szCs w:val="20"/>
          <w:color w:val="auto"/>
        </w:rPr>
      </w:pPr>
    </w:p>
    <w:p>
      <w:pPr>
        <w:ind w:left="1700" w:right="2620"/>
        <w:spacing w:after="0" w:line="258" w:lineRule="auto"/>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EACH OF</w:t>
      </w:r>
      <w:r>
        <w:rPr>
          <w:rFonts w:ascii="Arial" w:cs="Arial" w:eastAsia="Arial" w:hAnsi="Arial"/>
          <w:sz w:val="14"/>
          <w:szCs w:val="14"/>
          <w:b w:val="1"/>
          <w:bCs w:val="1"/>
          <w:color w:val="auto"/>
        </w:rPr>
        <w:t xml:space="preserve"> </w:t>
      </w:r>
      <w:r>
        <w:rPr>
          <w:rFonts w:ascii="Arial" w:cs="Arial" w:eastAsia="Arial" w:hAnsi="Arial"/>
          <w:sz w:val="14"/>
          <w:szCs w:val="14"/>
          <w:color w:val="auto"/>
        </w:rPr>
        <w:t>THE NOMINEES NAMED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27"/>
        </w:trPr>
        <w:tc>
          <w:tcPr>
            <w:tcW w:w="8000" w:type="dxa"/>
            <w:vAlign w:val="bottom"/>
          </w:tcPr>
          <w:p>
            <w:pPr>
              <w:ind w:left="1700"/>
              <w:spacing w:after="0"/>
              <w:rPr>
                <w:sz w:val="20"/>
                <w:szCs w:val="20"/>
                <w:color w:val="auto"/>
              </w:rPr>
            </w:pPr>
            <w:r>
              <w:rPr>
                <w:rFonts w:ascii="Arial" w:cs="Arial" w:eastAsia="Arial" w:hAnsi="Arial"/>
                <w:sz w:val="14"/>
                <w:szCs w:val="14"/>
                <w:color w:val="auto"/>
              </w:rPr>
              <w:t>Harvey S. Kanter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Jack Boyle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Lionel F. Conacher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Willem Mesdag</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Ivy Ross</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0" w:type="dxa"/>
            <w:vAlign w:val="bottom"/>
          </w:tcPr>
          <w:p>
            <w:pPr>
              <w:ind w:left="1700"/>
              <w:spacing w:after="0"/>
              <w:rPr>
                <w:sz w:val="20"/>
                <w:szCs w:val="20"/>
                <w:color w:val="auto"/>
              </w:rPr>
            </w:pPr>
            <w:r>
              <w:rPr>
                <w:rFonts w:ascii="Arial" w:cs="Arial" w:eastAsia="Arial" w:hAnsi="Arial"/>
                <w:sz w:val="14"/>
                <w:szCs w:val="14"/>
                <w:color w:val="auto"/>
              </w:rPr>
              <w:t>Elaine Rubin</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3"/>
        </w:trPr>
        <w:tc>
          <w:tcPr>
            <w:tcW w:w="80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2"/>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rPr>
              <w:t>To approve</w:t>
            </w:r>
            <w:r>
              <w:rPr>
                <w:rFonts w:ascii="Arial" w:cs="Arial" w:eastAsia="Arial" w:hAnsi="Arial"/>
                <w:sz w:val="14"/>
                <w:szCs w:val="14"/>
                <w:color w:val="auto"/>
              </w:rPr>
              <w:t>,</w:t>
            </w:r>
            <w:r>
              <w:rPr>
                <w:rFonts w:ascii="Arial" w:cs="Arial" w:eastAsia="Arial" w:hAnsi="Arial"/>
                <w:sz w:val="14"/>
                <w:szCs w:val="14"/>
                <w:b w:val="1"/>
                <w:bCs w:val="1"/>
                <w:color w:val="auto"/>
              </w:rPr>
              <w:t xml:space="preserve"> on an advisory basis</w:t>
            </w:r>
            <w:r>
              <w:rPr>
                <w:rFonts w:ascii="Arial" w:cs="Arial" w:eastAsia="Arial" w:hAnsi="Arial"/>
                <w:sz w:val="14"/>
                <w:szCs w:val="14"/>
                <w:color w:val="auto"/>
              </w:rPr>
              <w:t>,</w:t>
            </w:r>
            <w:r>
              <w:rPr>
                <w:rFonts w:ascii="Arial" w:cs="Arial" w:eastAsia="Arial" w:hAnsi="Arial"/>
                <w:sz w:val="14"/>
                <w:szCs w:val="14"/>
                <w:b w:val="1"/>
                <w:bCs w:val="1"/>
                <w:color w:val="auto"/>
              </w:rPr>
              <w:t xml:space="preserve"> named executive officer compensation</w:t>
            </w:r>
            <w:r>
              <w:rPr>
                <w:rFonts w:ascii="Arial" w:cs="Arial" w:eastAsia="Arial" w:hAnsi="Arial"/>
                <w:sz w:val="14"/>
                <w:szCs w:val="14"/>
                <w:color w:val="auto"/>
              </w:rPr>
              <w:t>. THE BOARD OF</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DIRECTORS RECOMMENDS A VOTE “FOR” PROPOSAL 2.</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w w:val="96"/>
              </w:rPr>
              <w:t>To approve an amendment to the Company’s Restated Certificate of Incorporation to increase the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3"/>
        </w:trPr>
        <w:tc>
          <w:tcPr>
            <w:tcW w:w="8000" w:type="dxa"/>
            <w:vAlign w:val="bottom"/>
          </w:tcPr>
          <w:p>
            <w:pPr>
              <w:ind w:left="1700"/>
              <w:spacing w:after="0" w:line="153" w:lineRule="exact"/>
              <w:rPr>
                <w:sz w:val="20"/>
                <w:szCs w:val="20"/>
                <w:color w:val="auto"/>
              </w:rPr>
            </w:pPr>
            <w:r>
              <w:rPr>
                <w:rFonts w:ascii="Arial" w:cs="Arial" w:eastAsia="Arial" w:hAnsi="Arial"/>
                <w:sz w:val="14"/>
                <w:szCs w:val="14"/>
                <w:b w:val="1"/>
                <w:bCs w:val="1"/>
                <w:color w:val="auto"/>
              </w:rPr>
              <w:t xml:space="preserve">authorized number of shares of common stock from 100,000,000 to 125,000,000 shares. </w:t>
            </w:r>
            <w:r>
              <w:rPr>
                <w:rFonts w:ascii="Arial" w:cs="Arial" w:eastAsia="Arial" w:hAnsi="Arial"/>
                <w:sz w:val="14"/>
                <w:szCs w:val="14"/>
                <w:color w:val="auto"/>
              </w:rPr>
              <w:t>THE</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BOARD OF DIRECTORS RECOMMENDS A VOTE “FOR” PROPOSAL 3.</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06"/>
        </w:trPr>
        <w:tc>
          <w:tcPr>
            <w:tcW w:w="80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w w:val="95"/>
              </w:rPr>
              <w:t>To approve amendments to the Company’s 2016 Incentive Compensation Plan to increase the total</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8000" w:type="dxa"/>
            <w:vAlign w:val="bottom"/>
          </w:tcPr>
          <w:p>
            <w:pPr>
              <w:ind w:left="1700"/>
              <w:spacing w:after="0" w:line="143" w:lineRule="exact"/>
              <w:rPr>
                <w:sz w:val="20"/>
                <w:szCs w:val="20"/>
                <w:color w:val="auto"/>
              </w:rPr>
            </w:pPr>
            <w:r>
              <w:rPr>
                <w:rFonts w:ascii="Arial" w:cs="Arial" w:eastAsia="Arial" w:hAnsi="Arial"/>
                <w:sz w:val="14"/>
                <w:szCs w:val="14"/>
                <w:b w:val="1"/>
                <w:bCs w:val="1"/>
                <w:color w:val="auto"/>
                <w:w w:val="93"/>
              </w:rPr>
              <w:t xml:space="preserve">number of shares of common stock authorized for issuance under the plan by 4,855,000 shares. </w:t>
            </w:r>
            <w:r>
              <w:rPr>
                <w:rFonts w:ascii="Arial" w:cs="Arial" w:eastAsia="Arial" w:hAnsi="Arial"/>
                <w:sz w:val="14"/>
                <w:szCs w:val="14"/>
                <w:color w:val="auto"/>
                <w:w w:val="93"/>
              </w:rPr>
              <w:t>THE</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BOARD OF DIRECTORS RECOMMENDS A VOTE “FOR” PROPOSAL 4.</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8000" w:type="dxa"/>
            <w:vAlign w:val="bottom"/>
          </w:tcPr>
          <w:p>
            <w:pPr>
              <w:ind w:left="1700"/>
              <w:spacing w:after="0"/>
              <w:rPr>
                <w:sz w:val="20"/>
                <w:szCs w:val="20"/>
                <w:color w:val="auto"/>
              </w:rPr>
            </w:pPr>
            <w:r>
              <w:rPr>
                <w:rFonts w:ascii="Arial" w:cs="Arial" w:eastAsia="Arial" w:hAnsi="Arial"/>
                <w:sz w:val="14"/>
                <w:szCs w:val="14"/>
                <w:b w:val="1"/>
                <w:bCs w:val="1"/>
                <w:color w:val="auto"/>
              </w:rPr>
              <w:t>To ratify the appointment of KPMG LLP as the Company’s independent registered public</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8000" w:type="dxa"/>
            <w:vAlign w:val="bottom"/>
          </w:tcPr>
          <w:p>
            <w:pPr>
              <w:ind w:left="1700"/>
              <w:spacing w:after="0" w:line="143" w:lineRule="exact"/>
              <w:rPr>
                <w:sz w:val="20"/>
                <w:szCs w:val="20"/>
                <w:color w:val="auto"/>
              </w:rPr>
            </w:pPr>
            <w:r>
              <w:rPr>
                <w:rFonts w:ascii="Arial" w:cs="Arial" w:eastAsia="Arial" w:hAnsi="Arial"/>
                <w:sz w:val="14"/>
                <w:szCs w:val="14"/>
                <w:b w:val="1"/>
                <w:bCs w:val="1"/>
                <w:color w:val="auto"/>
              </w:rPr>
              <w:t xml:space="preserve">accounting firm for fiscal year ending January 29, 2022. </w:t>
            </w:r>
            <w:r>
              <w:rPr>
                <w:rFonts w:ascii="Arial" w:cs="Arial" w:eastAsia="Arial" w:hAnsi="Arial"/>
                <w:sz w:val="14"/>
                <w:szCs w:val="14"/>
                <w:color w:val="auto"/>
              </w:rPr>
              <w:t>THE BOARD OF DIRECTORS</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0" w:type="dxa"/>
            <w:vAlign w:val="bottom"/>
          </w:tcPr>
          <w:p>
            <w:pPr>
              <w:ind w:left="1700"/>
              <w:spacing w:after="0"/>
              <w:rPr>
                <w:sz w:val="20"/>
                <w:szCs w:val="20"/>
                <w:color w:val="auto"/>
              </w:rPr>
            </w:pPr>
            <w:r>
              <w:rPr>
                <w:rFonts w:ascii="Arial" w:cs="Arial" w:eastAsia="Arial" w:hAnsi="Arial"/>
                <w:sz w:val="14"/>
                <w:szCs w:val="14"/>
                <w:color w:val="auto"/>
              </w:rPr>
              <w:t>RECOMMENDS A VOTE “FOR” PROPOSAL 5.</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r>
              <w:rPr>
                <w:rFonts w:ascii="Arial" w:cs="Arial" w:eastAsia="Arial" w:hAnsi="Arial"/>
                <w:sz w:val="14"/>
                <w:szCs w:val="14"/>
                <w:color w:val="auto"/>
              </w:rPr>
              <w:t>IF THIS PROXY IS PROPERLY EXECUTED AND RETURNED IT WILL BE VOTED AS SPECIFIED HEREIN. IF NO SPECIFIC</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DIRECTION IS GIVEN, IT WILL BE VOTED “FOR” EACH DIRECTOR NOMINEE AND “FOR” EACH OF THE OTHER</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4"/>
                <w:szCs w:val="14"/>
                <w:color w:val="auto"/>
              </w:rPr>
              <w:t>PROPOSALS. RECEIPT IS HEREBY ACKNOWLEDGED OF THE NOTICE OF ANNUAL MEETING AND PROXY</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0" w:type="dxa"/>
            <w:vAlign w:val="bottom"/>
          </w:tcPr>
          <w:p>
            <w:pPr>
              <w:spacing w:after="0"/>
              <w:rPr>
                <w:sz w:val="20"/>
                <w:szCs w:val="20"/>
                <w:color w:val="auto"/>
              </w:rPr>
            </w:pPr>
            <w:r>
              <w:rPr>
                <w:rFonts w:ascii="Arial" w:cs="Arial" w:eastAsia="Arial" w:hAnsi="Arial"/>
                <w:sz w:val="14"/>
                <w:szCs w:val="14"/>
                <w:color w:val="auto"/>
              </w:rPr>
              <w:t>STATEMENT OF DESTINATION XL GROUP, INC. DATED July 2, 2021.</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4"/>
                <w:szCs w:val="14"/>
                <w:color w:val="auto"/>
                <w:w w:val="93"/>
              </w:rPr>
              <w:t>To change the address on your account, please check the box at right and indicate your new address in the address space above. Please</w:t>
            </w: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8000" w:type="dxa"/>
            <w:vAlign w:val="bottom"/>
          </w:tcPr>
          <w:p>
            <w:pPr>
              <w:spacing w:after="0"/>
              <w:rPr>
                <w:sz w:val="20"/>
                <w:szCs w:val="20"/>
                <w:color w:val="auto"/>
              </w:rPr>
            </w:pPr>
            <w:r>
              <w:rPr>
                <w:rFonts w:ascii="Arial" w:cs="Arial" w:eastAsia="Arial" w:hAnsi="Arial"/>
                <w:sz w:val="14"/>
                <w:szCs w:val="14"/>
                <w:color w:val="auto"/>
              </w:rPr>
              <w:t>note that changes to the registered name(s) on the account may not be submitted via this method.</w:t>
            </w:r>
          </w:p>
        </w:tc>
        <w:tc>
          <w:tcPr>
            <w:tcW w:w="5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000" w:type="dxa"/>
            <w:vAlign w:val="bottom"/>
          </w:tcPr>
          <w:p>
            <w:pPr>
              <w:spacing w:after="0"/>
              <w:rPr>
                <w:sz w:val="20"/>
                <w:szCs w:val="20"/>
                <w:color w:val="auto"/>
              </w:rPr>
            </w:pPr>
            <w:r>
              <w:rPr>
                <w:rFonts w:ascii="Arial" w:cs="Arial" w:eastAsia="Arial" w:hAnsi="Arial"/>
                <w:sz w:val="14"/>
                <w:szCs w:val="14"/>
                <w:color w:val="auto"/>
              </w:rPr>
              <w:t>MARK “X” HERE IF YOU PLAN TO ATTEND THE MEETING.</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91" w:lineRule="exact"/>
        <w:rPr>
          <w:sz w:val="20"/>
          <w:szCs w:val="20"/>
          <w:color w:val="auto"/>
        </w:rPr>
      </w:pPr>
    </w:p>
    <w:p>
      <w:pPr>
        <w:ind w:left="260"/>
        <w:spacing w:after="0"/>
        <w:tabs>
          <w:tab w:leader="none" w:pos="3120" w:val="left"/>
          <w:tab w:leader="none" w:pos="5160" w:val="left"/>
          <w:tab w:leader="none" w:pos="906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40"/>
          </w:cols>
          <w:pgMar w:left="340" w:top="621" w:right="131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32320" cy="2811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Annual Meeting Of Stockholders To Be Held On August 5, 2021</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undersigned stockholder of Destination XL Group, Inc. (the “Company”) hereby appoints Lionel F. Conacher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5, 2021, at 11:30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3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lvl w:ilvl="1">
      <w:lvlJc w:val="left"/>
      <w:lvlText w:val="%2)"/>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amp;"/>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3"/>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
      <w:numFmt w:val="bullet"/>
      <w:start w:val="1"/>
    </w:lvl>
    <w:lvl w:ilvl="1">
      <w:lvlJc w:val="left"/>
      <w:lvlText w:val="(%2)"/>
      <w:numFmt w:val="decimal"/>
      <w:start w:val="8"/>
    </w:lvl>
  </w:abstractNum>
  <w:abstractNum w:abstractNumId="31">
    <w:nsid w:val="235BA861"/>
    <w:multiLevelType w:val="hybridMultilevel"/>
    <w:lvl w:ilvl="0">
      <w:lvlJc w:val="left"/>
      <w:lvlText w:val="(%1)"/>
      <w:numFmt w:val="lowerRoman"/>
      <w:start w:val="1"/>
    </w:lvl>
  </w:abstractNum>
  <w:abstractNum w:abstractNumId="32">
    <w:nsid w:val="47398C89"/>
    <w:multiLevelType w:val="hybridMultilevel"/>
    <w:lvl w:ilvl="0">
      <w:lvlJc w:val="left"/>
      <w:lvlText w:val="(%1)"/>
      <w:numFmt w:val="lowerRoman"/>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5"/>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4"/>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5DB70AE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9"/>
    </w:lvl>
  </w:abstractNum>
  <w:abstractNum w:abstractNumId="52">
    <w:nsid w:val="100F8FCA"/>
    <w:multiLevelType w:val="hybridMultilevel"/>
    <w:lvl w:ilvl="0">
      <w:lvlJc w:val="left"/>
      <w:lvlText w:val="(%1)"/>
      <w:numFmt w:val="lowerLetter"/>
      <w:start w:val="10"/>
    </w:lvl>
  </w:abstractNum>
  <w:abstractNum w:abstractNumId="53">
    <w:nsid w:val="6590700B"/>
    <w:multiLevelType w:val="hybridMultilevel"/>
    <w:lvl w:ilvl="0">
      <w:lvlJc w:val="left"/>
      <w:lvlText w:val="(%1)"/>
      <w:numFmt w:val="lowerLetter"/>
      <w:start w:val="24"/>
    </w:lvl>
  </w:abstractNum>
  <w:abstractNum w:abstractNumId="54">
    <w:nsid w:val="15014ACB"/>
    <w:multiLevelType w:val="hybridMultilevel"/>
    <w:lvl w:ilvl="0">
      <w:lvlJc w:val="left"/>
      <w:lvlText w:val="(%1)"/>
      <w:numFmt w:val="lowerLetter"/>
      <w:start w:val="27"/>
    </w:lvl>
  </w:abstractNum>
  <w:abstractNum w:abstractNumId="55">
    <w:nsid w:val="5F5E7FD0"/>
    <w:multiLevelType w:val="hybridMultilevel"/>
    <w:lvl w:ilvl="0">
      <w:lvlJc w:val="left"/>
      <w:lvlText w:val="(%1)"/>
      <w:numFmt w:val="lowerLetter"/>
      <w:start w:val="34"/>
    </w:lvl>
  </w:abstractNum>
  <w:abstractNum w:abstractNumId="56">
    <w:nsid w:val="98A3148"/>
    <w:multiLevelType w:val="hybridMultilevel"/>
    <w:lvl w:ilvl="0">
      <w:lvlJc w:val="left"/>
      <w:lvlText w:val="%1"/>
      <w:numFmt w:val="decimal"/>
      <w:start w:val="1"/>
    </w:lvl>
    <w:lvl w:ilvl="1">
      <w:lvlJc w:val="left"/>
      <w:lvlText w:val="(%2)"/>
      <w:numFmt w:val="lowerLetter"/>
      <w:start w:val="49"/>
    </w:lvl>
  </w:abstractNum>
  <w:abstractNum w:abstractNumId="57">
    <w:nsid w:val="799D0247"/>
    <w:multiLevelType w:val="hybridMultilevel"/>
    <w:lvl w:ilvl="0">
      <w:lvlJc w:val="left"/>
      <w:lvlText w:val="%1."/>
      <w:numFmt w:val="decimal"/>
      <w:start w:val="3"/>
    </w:lvl>
    <w:lvl w:ilvl="1">
      <w:lvlJc w:val="left"/>
      <w:lvlText w:val="(%2)"/>
      <w:numFmt w:val="lowerLetter"/>
      <w:start w:val="1"/>
    </w:lvl>
  </w:abstractNum>
  <w:abstractNum w:abstractNumId="58">
    <w:nsid w:val="6B947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42C296B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
    <w:nsid w:val="168E121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1">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2">
    <w:nsid w:val="661E3F1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3">
    <w:nsid w:val="5DC79E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4">
    <w:nsid w:val="540A471C"/>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65">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6">
    <w:nsid w:val="51D9C564"/>
    <w:multiLevelType w:val="hybridMultilevel"/>
    <w:lvl w:ilvl="0">
      <w:lvlJc w:val="left"/>
      <w:lvlText w:val="%1"/>
      <w:numFmt w:val="decimal"/>
      <w:start w:val="1"/>
    </w:lvl>
    <w:lvl w:ilvl="1">
      <w:lvlJc w:val="left"/>
      <w:lvlText w:val="(%2)"/>
      <w:numFmt w:val="lowerLetter"/>
      <w:start w:val="6"/>
    </w:lvl>
  </w:abstractNum>
  <w:abstractNum w:abstractNumId="67">
    <w:nsid w:val="613EFDC5"/>
    <w:multiLevelType w:val="hybridMultilevel"/>
    <w:lvl w:ilvl="0">
      <w:lvlJc w:val="left"/>
      <w:lvlText w:val="%1."/>
      <w:numFmt w:val="decimal"/>
      <w:start w:val="8"/>
    </w:lvl>
    <w:lvl w:ilvl="1">
      <w:lvlJc w:val="left"/>
      <w:lvlText w:val="(%2)"/>
      <w:numFmt w:val="lowerLetter"/>
      <w:start w:val="1"/>
    </w:lvl>
  </w:abstractNum>
  <w:abstractNum w:abstractNumId="68">
    <w:nsid w:val="BF72B1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9">
    <w:nsid w:val="11447B73"/>
    <w:multiLevelType w:val="hybridMultilevel"/>
    <w:lvl w:ilvl="0">
      <w:lvlJc w:val="left"/>
      <w:lvlText w:val="%1"/>
      <w:numFmt w:val="lowerLetter"/>
      <w:start w:val="1"/>
    </w:lvl>
    <w:lvl w:ilvl="1">
      <w:lvlJc w:val="left"/>
      <w:lvlText w:val="(%2)"/>
      <w:numFmt w:val="lowerLetter"/>
      <w:start w:val="61"/>
    </w:lvl>
  </w:abstractNum>
  <w:abstractNum w:abstractNumId="70">
    <w:nsid w:val="42963E5A"/>
    <w:multiLevelType w:val="hybridMultilevel"/>
    <w:lvl w:ilvl="0">
      <w:lvlJc w:val="left"/>
      <w:lvlText w:val="(%1)"/>
      <w:numFmt w:val="lowerLetter"/>
      <w:start w:val="6"/>
    </w:lvl>
    <w:lvl w:ilvl="1">
      <w:lvlJc w:val="left"/>
      <w:lvlText w:val="(%2)"/>
      <w:numFmt w:val="lowerLetter"/>
      <w:start w:val="9"/>
    </w:lvl>
  </w:abstractNum>
  <w:abstractNum w:abstractNumId="71">
    <w:nsid w:val="A0382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2">
    <w:nsid w:val="8F2B15E"/>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73">
    <w:nsid w:val="1A32234B"/>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4">
    <w:nsid w:val="3B0FD379"/>
    <w:multiLevelType w:val="hybridMultilevel"/>
    <w:lvl w:ilvl="0">
      <w:lvlJc w:val="left"/>
      <w:lvlText w:val="%1"/>
      <w:numFmt w:val="decimal"/>
      <w:start w:val="1"/>
    </w:lvl>
    <w:lvl w:ilvl="1">
      <w:lvlJc w:val="left"/>
      <w:lvlText w:val="(%2)"/>
      <w:numFmt w:val="lowerLetter"/>
      <w:start w:val="3"/>
    </w:lvl>
  </w:abstractNum>
  <w:abstractNum w:abstractNumId="75">
    <w:nsid w:val="68EB2F63"/>
    <w:multiLevelType w:val="hybridMultilevel"/>
    <w:lvl w:ilvl="0">
      <w:lvlJc w:val="left"/>
      <w:lvlText w:val="%1."/>
      <w:numFmt w:val="decimal"/>
      <w:start w:val="10"/>
    </w:lvl>
    <w:lvl w:ilvl="1">
      <w:lvlJc w:val="left"/>
      <w:lvlText w:val="(%2)"/>
      <w:numFmt w:val="lowerLetter"/>
      <w:start w:val="1"/>
    </w:lvl>
  </w:abstractNum>
  <w:abstractNum w:abstractNumId="76">
    <w:nsid w:val="496281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60B6DF7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8">
    <w:nsid w:val="6A5EE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9">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0">
    <w:nsid w:val="7FFFCA1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1">
    <w:nsid w:val="1A27709E"/>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82">
    <w:nsid w:val="71EA1109"/>
    <w:multiLevelType w:val="hybridMultilevel"/>
    <w:lvl w:ilvl="0">
      <w:lvlJc w:val="left"/>
      <w:lvlText w:val="(%1)"/>
      <w:numFmt w:val="lowerLetter"/>
      <w:start w:val="6"/>
    </w:lvl>
  </w:abstractNum>
  <w:abstractNum w:abstractNumId="83">
    <w:nsid w:val="100F59DC"/>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2021-07-02T07:17:58Z</dcterms:created>
  <dcterms:modified xsi:type="dcterms:W3CDTF">2021-07-02T07:17:58Z</dcterms:modified>
</cp:coreProperties>
</file>