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October 7, 2016</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333-112561</w:t>
      </w:r>
    </w:p>
    <w:p>
      <w:pPr>
        <w:spacing w:after="0" w:line="14" w:lineRule="exact"/>
        <w:rPr>
          <w:sz w:val="24"/>
          <w:szCs w:val="24"/>
          <w:color w:val="auto"/>
        </w:rPr>
      </w:pPr>
    </w:p>
    <w:p>
      <w:pPr>
        <w:jc w:val="right"/>
        <w:spacing w:after="0"/>
        <w:tabs>
          <w:tab w:leader="none" w:pos="800" w:val="left"/>
        </w:tabs>
        <w:rPr>
          <w:sz w:val="20"/>
          <w:szCs w:val="20"/>
          <w:color w:val="auto"/>
        </w:rPr>
      </w:pPr>
      <w:r>
        <w:rPr>
          <w:rFonts w:ascii="Arial" w:cs="Arial" w:eastAsia="Arial" w:hAnsi="Arial"/>
          <w:sz w:val="22"/>
          <w:szCs w:val="22"/>
          <w:b w:val="1"/>
          <w:bCs w:val="1"/>
          <w:color w:val="auto"/>
        </w:rPr>
        <w:t>Registration No.</w:t>
      </w:r>
      <w:r>
        <w:rPr>
          <w:sz w:val="20"/>
          <w:szCs w:val="20"/>
          <w:color w:val="auto"/>
        </w:rPr>
        <w:tab/>
      </w:r>
      <w:r>
        <w:rPr>
          <w:rFonts w:ascii="Arial" w:cs="Arial" w:eastAsia="Arial" w:hAnsi="Arial"/>
          <w:sz w:val="19"/>
          <w:szCs w:val="19"/>
          <w:b w:val="1"/>
          <w:bCs w:val="1"/>
          <w:color w:val="auto"/>
        </w:rPr>
        <w:t>33-52892</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14" w:lineRule="exact"/>
        <w:rPr>
          <w:sz w:val="24"/>
          <w:szCs w:val="24"/>
          <w:color w:val="auto"/>
        </w:rPr>
      </w:pPr>
    </w:p>
    <w:tbl>
      <w:tblPr>
        <w:tblLayout w:type="fixed"/>
        <w:tblInd w:w="800" w:type="dxa"/>
        <w:tblCellMar>
          <w:top w:w="0" w:type="dxa"/>
          <w:left w:w="0" w:type="dxa"/>
          <w:bottom w:w="0" w:type="dxa"/>
          <w:right w:w="0" w:type="dxa"/>
        </w:tblCellMar>
      </w:tblPr>
      <w:tr>
        <w:trPr>
          <w:trHeight w:val="297"/>
        </w:trPr>
        <w:tc>
          <w:tcPr>
            <w:tcW w:w="2400" w:type="dxa"/>
            <w:vAlign w:val="bottom"/>
          </w:tcPr>
          <w:p>
            <w:pPr>
              <w:spacing w:after="0"/>
              <w:rPr>
                <w:sz w:val="24"/>
                <w:szCs w:val="24"/>
                <w:color w:val="auto"/>
              </w:rPr>
            </w:pPr>
          </w:p>
        </w:tc>
        <w:tc>
          <w:tcPr>
            <w:tcW w:w="6800" w:type="dxa"/>
            <w:vAlign w:val="bottom"/>
          </w:tcPr>
          <w:p>
            <w:pPr>
              <w:jc w:val="center"/>
              <w:ind w:right="1652"/>
              <w:spacing w:after="0"/>
              <w:rPr>
                <w:sz w:val="20"/>
                <w:szCs w:val="20"/>
                <w:color w:val="auto"/>
              </w:rPr>
            </w:pPr>
            <w:r>
              <w:rPr>
                <w:rFonts w:ascii="Arial" w:cs="Arial" w:eastAsia="Arial" w:hAnsi="Arial"/>
                <w:sz w:val="25"/>
                <w:szCs w:val="25"/>
                <w:b w:val="1"/>
                <w:bCs w:val="1"/>
                <w:color w:val="auto"/>
                <w:w w:val="91"/>
              </w:rPr>
              <w:t>Post-Effective Amendment No. 1</w:t>
            </w:r>
          </w:p>
        </w:tc>
        <w:tc>
          <w:tcPr>
            <w:tcW w:w="0" w:type="dxa"/>
            <w:vAlign w:val="bottom"/>
          </w:tcPr>
          <w:p>
            <w:pPr>
              <w:spacing w:after="0"/>
              <w:rPr>
                <w:sz w:val="1"/>
                <w:szCs w:val="1"/>
                <w:color w:val="auto"/>
              </w:rPr>
            </w:pPr>
          </w:p>
        </w:tc>
      </w:tr>
      <w:tr>
        <w:trPr>
          <w:trHeight w:val="297"/>
        </w:trPr>
        <w:tc>
          <w:tcPr>
            <w:tcW w:w="2400" w:type="dxa"/>
            <w:vAlign w:val="bottom"/>
          </w:tcPr>
          <w:p>
            <w:pPr>
              <w:spacing w:after="0"/>
              <w:rPr>
                <w:sz w:val="24"/>
                <w:szCs w:val="24"/>
                <w:color w:val="auto"/>
              </w:rPr>
            </w:pPr>
          </w:p>
        </w:tc>
        <w:tc>
          <w:tcPr>
            <w:tcW w:w="6800" w:type="dxa"/>
            <w:vAlign w:val="bottom"/>
          </w:tcPr>
          <w:p>
            <w:pPr>
              <w:jc w:val="center"/>
              <w:ind w:right="1652"/>
              <w:spacing w:after="0"/>
              <w:rPr>
                <w:sz w:val="20"/>
                <w:szCs w:val="20"/>
                <w:color w:val="auto"/>
              </w:rPr>
            </w:pPr>
            <w:r>
              <w:rPr>
                <w:rFonts w:ascii="Arial" w:cs="Arial" w:eastAsia="Arial" w:hAnsi="Arial"/>
                <w:sz w:val="25"/>
                <w:szCs w:val="25"/>
                <w:b w:val="1"/>
                <w:bCs w:val="1"/>
                <w:color w:val="auto"/>
                <w:w w:val="92"/>
              </w:rPr>
              <w:t>to Form S-8</w:t>
            </w:r>
          </w:p>
        </w:tc>
        <w:tc>
          <w:tcPr>
            <w:tcW w:w="0" w:type="dxa"/>
            <w:vAlign w:val="bottom"/>
          </w:tcPr>
          <w:p>
            <w:pPr>
              <w:spacing w:after="0"/>
              <w:rPr>
                <w:sz w:val="1"/>
                <w:szCs w:val="1"/>
                <w:color w:val="auto"/>
              </w:rPr>
            </w:pPr>
          </w:p>
        </w:tc>
      </w:tr>
      <w:tr>
        <w:trPr>
          <w:trHeight w:val="297"/>
        </w:trPr>
        <w:tc>
          <w:tcPr>
            <w:tcW w:w="2400" w:type="dxa"/>
            <w:vAlign w:val="bottom"/>
          </w:tcPr>
          <w:p>
            <w:pPr>
              <w:spacing w:after="0"/>
              <w:rPr>
                <w:sz w:val="24"/>
                <w:szCs w:val="24"/>
                <w:color w:val="auto"/>
              </w:rPr>
            </w:pPr>
          </w:p>
        </w:tc>
        <w:tc>
          <w:tcPr>
            <w:tcW w:w="6800" w:type="dxa"/>
            <w:vAlign w:val="bottom"/>
          </w:tcPr>
          <w:p>
            <w:pPr>
              <w:jc w:val="center"/>
              <w:ind w:right="1652"/>
              <w:spacing w:after="0"/>
              <w:rPr>
                <w:sz w:val="20"/>
                <w:szCs w:val="20"/>
                <w:color w:val="auto"/>
              </w:rPr>
            </w:pPr>
            <w:r>
              <w:rPr>
                <w:rFonts w:ascii="Arial" w:cs="Arial" w:eastAsia="Arial" w:hAnsi="Arial"/>
                <w:sz w:val="25"/>
                <w:szCs w:val="25"/>
                <w:b w:val="1"/>
                <w:bCs w:val="1"/>
                <w:color w:val="auto"/>
                <w:w w:val="90"/>
              </w:rPr>
              <w:t>Registration Statement</w:t>
            </w:r>
          </w:p>
        </w:tc>
        <w:tc>
          <w:tcPr>
            <w:tcW w:w="0" w:type="dxa"/>
            <w:vAlign w:val="bottom"/>
          </w:tcPr>
          <w:p>
            <w:pPr>
              <w:spacing w:after="0"/>
              <w:rPr>
                <w:sz w:val="1"/>
                <w:szCs w:val="1"/>
                <w:color w:val="auto"/>
              </w:rPr>
            </w:pPr>
          </w:p>
        </w:tc>
      </w:tr>
      <w:tr>
        <w:trPr>
          <w:trHeight w:val="329"/>
        </w:trPr>
        <w:tc>
          <w:tcPr>
            <w:tcW w:w="2400" w:type="dxa"/>
            <w:vAlign w:val="bottom"/>
          </w:tcPr>
          <w:p>
            <w:pPr>
              <w:spacing w:after="0"/>
              <w:rPr>
                <w:sz w:val="24"/>
                <w:szCs w:val="24"/>
                <w:color w:val="auto"/>
              </w:rPr>
            </w:pPr>
          </w:p>
        </w:tc>
        <w:tc>
          <w:tcPr>
            <w:tcW w:w="6800" w:type="dxa"/>
            <w:vAlign w:val="bottom"/>
          </w:tcPr>
          <w:p>
            <w:pPr>
              <w:jc w:val="center"/>
              <w:ind w:right="1652"/>
              <w:spacing w:after="0"/>
              <w:rPr>
                <w:sz w:val="20"/>
                <w:szCs w:val="20"/>
                <w:color w:val="auto"/>
              </w:rPr>
            </w:pPr>
            <w:r>
              <w:rPr>
                <w:rFonts w:ascii="Arial" w:cs="Arial" w:eastAsia="Arial" w:hAnsi="Arial"/>
                <w:sz w:val="25"/>
                <w:szCs w:val="25"/>
                <w:b w:val="1"/>
                <w:bCs w:val="1"/>
                <w:color w:val="auto"/>
                <w:w w:val="90"/>
              </w:rPr>
              <w:t>under the Securities Act of 1933</w:t>
            </w:r>
          </w:p>
        </w:tc>
        <w:tc>
          <w:tcPr>
            <w:tcW w:w="0" w:type="dxa"/>
            <w:vAlign w:val="bottom"/>
          </w:tcPr>
          <w:p>
            <w:pPr>
              <w:spacing w:after="0"/>
              <w:rPr>
                <w:sz w:val="1"/>
                <w:szCs w:val="1"/>
                <w:color w:val="auto"/>
              </w:rPr>
            </w:pPr>
          </w:p>
        </w:tc>
      </w:tr>
      <w:tr>
        <w:trPr>
          <w:trHeight w:val="578"/>
        </w:trPr>
        <w:tc>
          <w:tcPr>
            <w:tcW w:w="2400" w:type="dxa"/>
            <w:vAlign w:val="bottom"/>
          </w:tcPr>
          <w:p>
            <w:pPr>
              <w:spacing w:after="0"/>
              <w:rPr>
                <w:sz w:val="24"/>
                <w:szCs w:val="24"/>
                <w:color w:val="auto"/>
              </w:rPr>
            </w:pPr>
          </w:p>
        </w:tc>
        <w:tc>
          <w:tcPr>
            <w:tcW w:w="6800" w:type="dxa"/>
            <w:vAlign w:val="bottom"/>
          </w:tcPr>
          <w:p>
            <w:pPr>
              <w:jc w:val="center"/>
              <w:ind w:right="1652"/>
              <w:spacing w:after="0"/>
              <w:rPr>
                <w:sz w:val="20"/>
                <w:szCs w:val="20"/>
                <w:color w:val="auto"/>
              </w:rPr>
            </w:pPr>
            <w:r>
              <w:rPr>
                <w:rFonts w:ascii="Arial" w:cs="Arial" w:eastAsia="Arial" w:hAnsi="Arial"/>
                <w:sz w:val="32"/>
                <w:szCs w:val="32"/>
                <w:b w:val="1"/>
                <w:bCs w:val="1"/>
                <w:color w:val="auto"/>
              </w:rPr>
              <w:t>DESTINATION XL GROUP, INC.</w:t>
            </w:r>
          </w:p>
        </w:tc>
        <w:tc>
          <w:tcPr>
            <w:tcW w:w="0" w:type="dxa"/>
            <w:vAlign w:val="bottom"/>
          </w:tcPr>
          <w:p>
            <w:pPr>
              <w:spacing w:after="0"/>
              <w:rPr>
                <w:sz w:val="1"/>
                <w:szCs w:val="1"/>
                <w:color w:val="auto"/>
              </w:rPr>
            </w:pPr>
          </w:p>
        </w:tc>
      </w:tr>
      <w:tr>
        <w:trPr>
          <w:trHeight w:val="275"/>
        </w:trPr>
        <w:tc>
          <w:tcPr>
            <w:tcW w:w="2400" w:type="dxa"/>
            <w:vAlign w:val="bottom"/>
          </w:tcPr>
          <w:p>
            <w:pPr>
              <w:spacing w:after="0"/>
              <w:rPr>
                <w:sz w:val="23"/>
                <w:szCs w:val="23"/>
                <w:color w:val="auto"/>
              </w:rPr>
            </w:pPr>
          </w:p>
        </w:tc>
        <w:tc>
          <w:tcPr>
            <w:tcW w:w="6800" w:type="dxa"/>
            <w:vAlign w:val="bottom"/>
          </w:tcPr>
          <w:p>
            <w:pPr>
              <w:jc w:val="center"/>
              <w:ind w:right="1672"/>
              <w:spacing w:after="0"/>
              <w:rPr>
                <w:sz w:val="20"/>
                <w:szCs w:val="20"/>
                <w:color w:val="auto"/>
              </w:rPr>
            </w:pPr>
            <w:r>
              <w:rPr>
                <w:rFonts w:ascii="Arial" w:cs="Arial" w:eastAsia="Arial" w:hAnsi="Arial"/>
                <w:sz w:val="22"/>
                <w:szCs w:val="22"/>
                <w:color w:val="auto"/>
                <w:w w:val="88"/>
              </w:rPr>
              <w:t>(Exact name of registrant as specified in its charter)</w:t>
            </w:r>
          </w:p>
        </w:tc>
        <w:tc>
          <w:tcPr>
            <w:tcW w:w="0" w:type="dxa"/>
            <w:vAlign w:val="bottom"/>
          </w:tcPr>
          <w:p>
            <w:pPr>
              <w:spacing w:after="0"/>
              <w:rPr>
                <w:sz w:val="1"/>
                <w:szCs w:val="1"/>
                <w:color w:val="auto"/>
              </w:rPr>
            </w:pPr>
          </w:p>
        </w:tc>
      </w:tr>
      <w:tr>
        <w:trPr>
          <w:trHeight w:val="666"/>
        </w:trPr>
        <w:tc>
          <w:tcPr>
            <w:tcW w:w="2400" w:type="dxa"/>
            <w:vAlign w:val="bottom"/>
          </w:tcPr>
          <w:p>
            <w:pPr>
              <w:jc w:val="center"/>
              <w:ind w:right="18"/>
              <w:spacing w:after="0"/>
              <w:rPr>
                <w:sz w:val="20"/>
                <w:szCs w:val="20"/>
                <w:color w:val="auto"/>
              </w:rPr>
            </w:pPr>
            <w:r>
              <w:rPr>
                <w:rFonts w:ascii="Arial" w:cs="Arial" w:eastAsia="Arial" w:hAnsi="Arial"/>
                <w:sz w:val="22"/>
                <w:szCs w:val="22"/>
                <w:b w:val="1"/>
                <w:bCs w:val="1"/>
                <w:color w:val="auto"/>
                <w:w w:val="88"/>
              </w:rPr>
              <w:t>Delaware</w:t>
            </w:r>
          </w:p>
        </w:tc>
        <w:tc>
          <w:tcPr>
            <w:tcW w:w="68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24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6800" w:type="dxa"/>
            <w:vAlign w:val="bottom"/>
          </w:tcPr>
          <w:p>
            <w:pPr>
              <w:jc w:val="center"/>
              <w:ind w:left="565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240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of Incorporation)</w:t>
            </w:r>
          </w:p>
        </w:tc>
        <w:tc>
          <w:tcPr>
            <w:tcW w:w="6800" w:type="dxa"/>
            <w:vAlign w:val="bottom"/>
          </w:tcPr>
          <w:p>
            <w:pPr>
              <w:jc w:val="center"/>
              <w:ind w:left="5632"/>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2400" w:type="dxa"/>
            <w:vAlign w:val="bottom"/>
          </w:tcPr>
          <w:p>
            <w:pPr>
              <w:jc w:val="center"/>
              <w:ind w:right="18"/>
              <w:spacing w:after="0"/>
              <w:rPr>
                <w:sz w:val="20"/>
                <w:szCs w:val="20"/>
                <w:color w:val="auto"/>
              </w:rPr>
            </w:pPr>
            <w:r>
              <w:rPr>
                <w:rFonts w:ascii="Arial" w:cs="Arial" w:eastAsia="Arial" w:hAnsi="Arial"/>
                <w:sz w:val="18"/>
                <w:szCs w:val="18"/>
                <w:b w:val="1"/>
                <w:bCs w:val="1"/>
                <w:color w:val="auto"/>
                <w:w w:val="91"/>
              </w:rPr>
              <w:t>555 Turnpike Street,</w:t>
            </w:r>
          </w:p>
        </w:tc>
        <w:tc>
          <w:tcPr>
            <w:tcW w:w="6800" w:type="dxa"/>
            <w:vAlign w:val="bottom"/>
            <w:vMerge w:val="restart"/>
          </w:tcPr>
          <w:p>
            <w:pPr>
              <w:jc w:val="right"/>
              <w:ind w:right="152"/>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2400" w:type="dxa"/>
            <w:vAlign w:val="bottom"/>
          </w:tcPr>
          <w:p>
            <w:pPr>
              <w:jc w:val="center"/>
              <w:ind w:right="18"/>
              <w:spacing w:after="0"/>
              <w:rPr>
                <w:sz w:val="20"/>
                <w:szCs w:val="20"/>
                <w:color w:val="auto"/>
              </w:rPr>
            </w:pPr>
            <w:r>
              <w:rPr>
                <w:rFonts w:ascii="Arial" w:cs="Arial" w:eastAsia="Arial" w:hAnsi="Arial"/>
                <w:sz w:val="18"/>
                <w:szCs w:val="18"/>
                <w:b w:val="1"/>
                <w:bCs w:val="1"/>
                <w:color w:val="auto"/>
                <w:w w:val="88"/>
              </w:rPr>
              <w:t>Canton, Massachusetts</w:t>
            </w:r>
          </w:p>
        </w:tc>
        <w:tc>
          <w:tcPr>
            <w:tcW w:w="6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400" w:type="dxa"/>
            <w:vAlign w:val="bottom"/>
          </w:tcPr>
          <w:p>
            <w:pPr>
              <w:jc w:val="center"/>
              <w:ind w:right="18"/>
              <w:spacing w:after="0" w:line="158" w:lineRule="exact"/>
              <w:rPr>
                <w:sz w:val="20"/>
                <w:szCs w:val="20"/>
                <w:color w:val="auto"/>
              </w:rPr>
            </w:pPr>
            <w:r>
              <w:rPr>
                <w:rFonts w:ascii="Arial" w:cs="Arial" w:eastAsia="Arial" w:hAnsi="Arial"/>
                <w:sz w:val="14"/>
                <w:szCs w:val="14"/>
                <w:b w:val="1"/>
                <w:bCs w:val="1"/>
                <w:color w:val="auto"/>
                <w:w w:val="86"/>
              </w:rPr>
              <w:t>(Address of Principal Executive Offices)</w:t>
            </w:r>
          </w:p>
        </w:tc>
        <w:tc>
          <w:tcPr>
            <w:tcW w:w="6800" w:type="dxa"/>
            <w:vAlign w:val="bottom"/>
          </w:tcPr>
          <w:p>
            <w:pPr>
              <w:jc w:val="center"/>
              <w:ind w:left="5632"/>
              <w:spacing w:after="0" w:line="158" w:lineRule="exact"/>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jc w:val="center"/>
        <w:spacing w:after="0" w:line="230" w:lineRule="auto"/>
        <w:rPr>
          <w:sz w:val="20"/>
          <w:szCs w:val="20"/>
          <w:color w:val="auto"/>
        </w:rPr>
      </w:pPr>
      <w:r>
        <w:rPr>
          <w:rFonts w:ascii="Arial" w:cs="Arial" w:eastAsia="Arial" w:hAnsi="Arial"/>
          <w:sz w:val="22"/>
          <w:szCs w:val="22"/>
          <w:b w:val="1"/>
          <w:bCs w:val="1"/>
          <w:color w:val="auto"/>
        </w:rPr>
        <w:t>DESTINATION XL GROUP, INC.</w:t>
      </w:r>
    </w:p>
    <w:p>
      <w:pPr>
        <w:jc w:val="center"/>
        <w:spacing w:after="0" w:line="231" w:lineRule="auto"/>
        <w:rPr>
          <w:sz w:val="20"/>
          <w:szCs w:val="20"/>
          <w:color w:val="auto"/>
        </w:rPr>
      </w:pPr>
      <w:r>
        <w:rPr>
          <w:rFonts w:ascii="Arial" w:cs="Arial" w:eastAsia="Arial" w:hAnsi="Arial"/>
          <w:sz w:val="22"/>
          <w:szCs w:val="22"/>
          <w:b w:val="1"/>
          <w:bCs w:val="1"/>
          <w:color w:val="auto"/>
        </w:rPr>
        <w:t>1992 STOCK INCENTIVE PLAN</w:t>
      </w:r>
    </w:p>
    <w:p>
      <w:pPr>
        <w:jc w:val="center"/>
        <w:spacing w:after="0" w:line="230" w:lineRule="auto"/>
        <w:rPr>
          <w:sz w:val="20"/>
          <w:szCs w:val="20"/>
          <w:color w:val="auto"/>
        </w:rPr>
      </w:pPr>
      <w:r>
        <w:rPr>
          <w:rFonts w:ascii="Arial" w:cs="Arial" w:eastAsia="Arial" w:hAnsi="Arial"/>
          <w:sz w:val="22"/>
          <w:szCs w:val="22"/>
          <w:b w:val="1"/>
          <w:bCs w:val="1"/>
          <w:color w:val="auto"/>
        </w:rPr>
        <w:t>(formerly known as Casual Male Retail Group, Inc. 1992 Stock Incentive Plan)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(Full title of the plan)</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Robert S. Molloy</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Senior Vice President, General Counsel and Secretary</w:t>
      </w:r>
    </w:p>
    <w:p>
      <w:pPr>
        <w:jc w:val="center"/>
        <w:spacing w:after="0" w:line="230" w:lineRule="auto"/>
        <w:rPr>
          <w:sz w:val="20"/>
          <w:szCs w:val="20"/>
          <w:color w:val="auto"/>
        </w:rPr>
      </w:pPr>
      <w:r>
        <w:rPr>
          <w:rFonts w:ascii="Arial" w:cs="Arial" w:eastAsia="Arial" w:hAnsi="Arial"/>
          <w:sz w:val="22"/>
          <w:szCs w:val="22"/>
          <w:b w:val="1"/>
          <w:bCs w:val="1"/>
          <w:color w:val="auto"/>
        </w:rPr>
        <w:t>Destination XL Group, Inc.</w:t>
      </w:r>
    </w:p>
    <w:p>
      <w:pPr>
        <w:jc w:val="center"/>
        <w:spacing w:after="0" w:line="231" w:lineRule="auto"/>
        <w:rPr>
          <w:sz w:val="20"/>
          <w:szCs w:val="20"/>
          <w:color w:val="auto"/>
        </w:rPr>
      </w:pPr>
      <w:r>
        <w:rPr>
          <w:rFonts w:ascii="Arial" w:cs="Arial" w:eastAsia="Arial" w:hAnsi="Arial"/>
          <w:sz w:val="22"/>
          <w:szCs w:val="22"/>
          <w:b w:val="1"/>
          <w:bCs w:val="1"/>
          <w:color w:val="auto"/>
        </w:rPr>
        <w:t>555 Turnpike Street</w:t>
      </w:r>
    </w:p>
    <w:p>
      <w:pPr>
        <w:jc w:val="center"/>
        <w:spacing w:after="0" w:line="230" w:lineRule="auto"/>
        <w:rPr>
          <w:sz w:val="20"/>
          <w:szCs w:val="20"/>
          <w:color w:val="auto"/>
        </w:rPr>
      </w:pPr>
      <w:r>
        <w:rPr>
          <w:rFonts w:ascii="Arial" w:cs="Arial" w:eastAsia="Arial" w:hAnsi="Arial"/>
          <w:sz w:val="22"/>
          <w:szCs w:val="22"/>
          <w:b w:val="1"/>
          <w:bCs w:val="1"/>
          <w:color w:val="auto"/>
        </w:rPr>
        <w:t>Canton, Massachusetts 02021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and address of agent for service)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(781) 828−9300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(Telephone number, including area code, of agent for service)</w:t>
      </w:r>
    </w:p>
    <w:p>
      <w:pPr>
        <w:spacing w:after="0" w:line="215" w:lineRule="exact"/>
        <w:rPr>
          <w:sz w:val="24"/>
          <w:szCs w:val="24"/>
          <w:color w:val="auto"/>
        </w:rPr>
      </w:pPr>
    </w:p>
    <w:p>
      <w:pPr>
        <w:jc w:val="both"/>
        <w:ind w:right="340"/>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0" w:right="239" w:bottom="1440" w:gutter="0" w:footer="0" w:header="0"/>
        </w:sectPr>
      </w:pPr>
    </w:p>
    <w:p>
      <w:pPr>
        <w:spacing w:after="0" w:line="227" w:lineRule="exact"/>
        <w:rPr>
          <w:sz w:val="24"/>
          <w:szCs w:val="24"/>
          <w:color w:val="auto"/>
        </w:rPr>
      </w:pPr>
    </w:p>
    <w:p>
      <w:pPr>
        <w:ind w:left="420"/>
        <w:spacing w:after="0"/>
        <w:tabs>
          <w:tab w:leader="none" w:pos="3160" w:val="left"/>
        </w:tabs>
        <w:rPr>
          <w:sz w:val="20"/>
          <w:szCs w:val="20"/>
          <w:color w:val="auto"/>
        </w:rPr>
      </w:pPr>
      <w:r>
        <w:rPr>
          <w:rFonts w:ascii="Arial" w:cs="Arial" w:eastAsia="Arial" w:hAnsi="Arial"/>
          <w:sz w:val="22"/>
          <w:szCs w:val="22"/>
          <w:color w:val="auto"/>
        </w:rPr>
        <w:t>Large accelerated filer</w:t>
      </w:r>
      <w:r>
        <w:rPr>
          <w:sz w:val="20"/>
          <w:szCs w:val="20"/>
          <w:color w:val="auto"/>
        </w:rPr>
        <w:tab/>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9"/>
          <w:szCs w:val="19"/>
          <w:color w:val="auto"/>
        </w:rPr>
        <w:t>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14" w:lineRule="exact"/>
        <w:rPr>
          <w:sz w:val="24"/>
          <w:szCs w:val="24"/>
          <w:color w:val="auto"/>
        </w:rPr>
      </w:pPr>
    </w:p>
    <w:p>
      <w:pPr>
        <w:sectPr>
          <w:pgSz w:w="11900" w:h="16838" w:orient="portrait"/>
          <w:cols w:equalWidth="0" w:num="3">
            <w:col w:w="4180" w:space="720"/>
            <w:col w:w="1440" w:space="120"/>
            <w:col w:w="4960"/>
          </w:cols>
          <w:pgMar w:left="240" w:top="220" w:right="239" w:bottom="1440" w:gutter="0" w:footer="0" w:header="0"/>
          <w:type w:val="continuous"/>
        </w:sectPr>
      </w:pPr>
    </w:p>
    <w:p>
      <w:pPr>
        <w:ind w:left="420"/>
        <w:spacing w:after="0"/>
        <w:tabs>
          <w:tab w:leader="none" w:pos="3160" w:val="left"/>
        </w:tabs>
        <w:rPr>
          <w:sz w:val="20"/>
          <w:szCs w:val="20"/>
          <w:color w:val="auto"/>
        </w:rPr>
      </w:pPr>
      <w:r>
        <w:rPr>
          <w:rFonts w:ascii="Arial" w:cs="Arial" w:eastAsia="Arial" w:hAnsi="Arial"/>
          <w:sz w:val="22"/>
          <w:szCs w:val="22"/>
          <w:color w:val="auto"/>
        </w:rPr>
        <w:t>Non-accelerated filer</w:t>
      </w:r>
      <w:r>
        <w:rPr>
          <w:sz w:val="20"/>
          <w:szCs w:val="20"/>
          <w:color w:val="auto"/>
        </w:rPr>
        <w:tab/>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color w:val="auto"/>
        </w:rPr>
        <w:t>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4" w:lineRule="exact"/>
        <w:rPr>
          <w:sz w:val="24"/>
          <w:szCs w:val="24"/>
          <w:color w:val="auto"/>
        </w:rPr>
      </w:pPr>
    </w:p>
    <w:p>
      <w:pPr>
        <w:sectPr>
          <w:pgSz w:w="11900" w:h="16838" w:orient="portrait"/>
          <w:cols w:equalWidth="0" w:num="3">
            <w:col w:w="7000" w:space="720"/>
            <w:col w:w="2380" w:space="640"/>
            <w:col w:w="680"/>
          </w:cols>
          <w:pgMar w:left="240" w:top="220" w:right="239" w:bottom="1440" w:gutter="0" w:footer="0" w:header="0"/>
          <w:type w:val="continuous"/>
        </w:sectPr>
      </w:pPr>
    </w:p>
    <w:p>
      <w:pPr>
        <w:spacing w:after="0"/>
        <w:rPr>
          <w:sz w:val="20"/>
          <w:szCs w:val="20"/>
          <w:color w:val="auto"/>
        </w:rPr>
      </w:pPr>
      <w:r>
        <w:rPr>
          <w:rFonts w:ascii="Arial" w:cs="Arial" w:eastAsia="Arial" w:hAnsi="Arial"/>
          <w:sz w:val="19"/>
          <w:szCs w:val="19"/>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511175</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color w:val="auto"/>
        </w:rPr>
        <w:t>EXPLANATORY NOTE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Post-Effective Amendment No.1 (this “Post-Effective Amendment”) to each of the following Registration Statements on Form S-8 (the “Prior Registration Statements”) of Destination XL Group, Inc. (formerly known as Casual Male Retail Group, Inc.) (the “Registrant”) relating to the offering and sale of shares of Common Stock under the Registrant’s 1992 Stock Incentive Plan (the “1992 Plan): (i) Registration Statement on Form S-8, File No. 333-112561, filed with the Securities and Exchange Commission on February 4, 2004, and (ii) Registration Statement on Form S-8, File No. 33-52892, filed with the Securities and Exchange Commission on October 2, 1992, is being filed to deregister any and all securities that remain unsold pursuant to the Prior Registration Statements.</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DEREGISTRATION OF UNSOLD SECURITIES</w:t>
      </w:r>
    </w:p>
    <w:p>
      <w:pPr>
        <w:spacing w:after="0" w:line="200" w:lineRule="exact"/>
        <w:rPr>
          <w:sz w:val="20"/>
          <w:szCs w:val="20"/>
          <w:color w:val="auto"/>
        </w:rPr>
      </w:pPr>
    </w:p>
    <w:p>
      <w:pPr>
        <w:spacing w:after="0" w:line="2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accordance with the undertakings contained in the Prior Registration Statements, the Registrant hereby deregisters all shares of Common Stock that were previously registered under the Prior Registration Statements that remain unissued under the 1992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000033"/>
        </w:rPr>
        <w:t>SIGNATURES</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7"/>
          <w:szCs w:val="17"/>
          <w:color w:val="000033"/>
        </w:rPr>
        <w:t>Pursuant to the requirements of the Securities Act of 1933, the Registrant certifies that it has reasonable grounds to believe that it meets all of the requirements for filing on Form S-8 and has duly caused this Post-Effective Amendment No. 1 to the Registration Statements to be signed on its behalf by the undersigned, thereunto duly authorized, in the Town of Canton, Commonwealth of Massachusetts, on this 7th day of October 2016.</w:t>
      </w:r>
    </w:p>
    <w:p>
      <w:pPr>
        <w:spacing w:after="0" w:line="38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XL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October 7, 2016</w:t>
      </w:r>
    </w:p>
    <w:p>
      <w:pPr>
        <w:spacing w:after="0" w:line="20" w:lineRule="exact"/>
        <w:rPr>
          <w:sz w:val="20"/>
          <w:szCs w:val="20"/>
          <w:color w:val="auto"/>
        </w:rPr>
      </w:pPr>
    </w:p>
    <w:p>
      <w:pPr>
        <w:ind w:left="6820"/>
        <w:spacing w:after="0"/>
        <w:tabs>
          <w:tab w:leader="none" w:pos="8520" w:val="left"/>
        </w:tabs>
        <w:rPr>
          <w:sz w:val="20"/>
          <w:szCs w:val="20"/>
          <w:color w:val="auto"/>
        </w:rPr>
      </w:pPr>
      <w:r>
        <w:rPr>
          <w:rFonts w:ascii="Arial" w:cs="Arial" w:eastAsia="Arial" w:hAnsi="Arial"/>
          <w:sz w:val="18"/>
          <w:szCs w:val="18"/>
          <w:color w:val="000033"/>
        </w:rPr>
        <w:t>By:</w:t>
      </w:r>
      <w:r>
        <w:rPr>
          <w:sz w:val="20"/>
          <w:szCs w:val="20"/>
          <w:color w:val="auto"/>
        </w:rPr>
        <w:tab/>
      </w:r>
      <w:r>
        <w:rPr>
          <w:rFonts w:ascii="Arial" w:cs="Arial" w:eastAsia="Arial" w:hAnsi="Arial"/>
          <w:sz w:val="22"/>
          <w:szCs w:val="22"/>
          <w:color w:val="000033"/>
        </w:rPr>
        <w:t>/</w:t>
      </w:r>
      <w:r>
        <w:rPr>
          <w:rFonts w:ascii="Arial" w:cs="Arial" w:eastAsia="Arial" w:hAnsi="Arial"/>
          <w:sz w:val="18"/>
          <w:szCs w:val="18"/>
          <w:color w:val="000033"/>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wp:posOffset>
            </wp:positionV>
            <wp:extent cx="2667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jc w:val="center"/>
        <w:ind w:left="7220"/>
        <w:spacing w:after="0" w:line="222" w:lineRule="auto"/>
        <w:rPr>
          <w:sz w:val="20"/>
          <w:szCs w:val="20"/>
          <w:color w:val="auto"/>
        </w:rPr>
      </w:pPr>
      <w:r>
        <w:rPr>
          <w:rFonts w:ascii="Arial" w:cs="Arial" w:eastAsia="Arial" w:hAnsi="Arial"/>
          <w:sz w:val="14"/>
          <w:szCs w:val="14"/>
          <w:b w:val="1"/>
          <w:bCs w:val="1"/>
          <w:color w:val="000033"/>
        </w:rPr>
        <w:t>Robert S. Molloy</w:t>
      </w:r>
    </w:p>
    <w:p>
      <w:pPr>
        <w:jc w:val="center"/>
        <w:ind w:left="7220"/>
        <w:spacing w:after="0"/>
        <w:rPr>
          <w:sz w:val="20"/>
          <w:szCs w:val="20"/>
          <w:color w:val="auto"/>
        </w:rPr>
      </w:pPr>
      <w:r>
        <w:rPr>
          <w:rFonts w:ascii="Arial" w:cs="Arial" w:eastAsia="Arial" w:hAnsi="Arial"/>
          <w:sz w:val="14"/>
          <w:szCs w:val="14"/>
          <w:b w:val="1"/>
          <w:bCs w:val="1"/>
          <w:color w:val="000033"/>
        </w:rPr>
        <w:t>Senior Vice President, General Counsel and Secretary</w:t>
      </w:r>
    </w:p>
    <w:sectPr>
      <w:pgSz w:w="11900" w:h="16838" w:orient="portrait"/>
      <w:cols w:equalWidth="0" w:num="1">
        <w:col w:w="11380"/>
      </w:cols>
      <w:pgMar w:left="240" w:top="31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2019-12-05T19:35:39Z</dcterms:created>
  <dcterms:modified xsi:type="dcterms:W3CDTF">2019-12-05T19:35:39Z</dcterms:modified>
</cp:coreProperties>
</file>