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12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UNITED STATES</w:t>
            </w:r>
          </w:p>
        </w:tc>
        <w:tc>
          <w:tcPr>
            <w:tcW w:w="310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OMB APPROVAL</w:t>
            </w:r>
          </w:p>
        </w:tc>
      </w:tr>
      <w:tr>
        <w:trPr>
          <w:trHeight w:val="203"/>
        </w:trPr>
        <w:tc>
          <w:tcPr>
            <w:tcW w:w="44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SECURITIES AND EXCHANGE COMMISSION</w:t>
            </w:r>
          </w:p>
        </w:tc>
        <w:tc>
          <w:tcPr>
            <w:tcW w:w="310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Washington, DC 20549</w:t>
            </w:r>
          </w:p>
        </w:tc>
        <w:tc>
          <w:tcPr>
            <w:tcW w:w="21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OMB Number: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3235-0145</w:t>
            </w:r>
          </w:p>
        </w:tc>
      </w:tr>
      <w:tr>
        <w:trPr>
          <w:trHeight w:val="203"/>
        </w:trPr>
        <w:tc>
          <w:tcPr>
            <w:tcW w:w="4480" w:type="dxa"/>
            <w:vAlign w:val="bottom"/>
          </w:tcPr>
          <w:p>
            <w:pPr>
              <w:spacing w:after="0"/>
              <w:rPr>
                <w:sz w:val="17"/>
                <w:szCs w:val="17"/>
                <w:color w:val="auto"/>
              </w:rPr>
            </w:pPr>
          </w:p>
        </w:tc>
        <w:tc>
          <w:tcPr>
            <w:tcW w:w="31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Expires:   December 31, 2005</w:t>
            </w:r>
          </w:p>
        </w:tc>
      </w:tr>
      <w:tr>
        <w:trPr>
          <w:trHeight w:val="203"/>
        </w:trPr>
        <w:tc>
          <w:tcPr>
            <w:tcW w:w="448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SCHEDULE 13G</w:t>
            </w:r>
          </w:p>
        </w:tc>
        <w:tc>
          <w:tcPr>
            <w:tcW w:w="31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Estimated average burden</w:t>
            </w:r>
          </w:p>
        </w:tc>
      </w:tr>
      <w:tr>
        <w:trPr>
          <w:trHeight w:val="203"/>
        </w:trPr>
        <w:tc>
          <w:tcPr>
            <w:tcW w:w="4480" w:type="dxa"/>
            <w:vAlign w:val="bottom"/>
          </w:tcPr>
          <w:p>
            <w:pPr>
              <w:spacing w:after="0"/>
              <w:rPr>
                <w:sz w:val="17"/>
                <w:szCs w:val="17"/>
                <w:color w:val="auto"/>
              </w:rPr>
            </w:pPr>
          </w:p>
        </w:tc>
        <w:tc>
          <w:tcPr>
            <w:tcW w:w="21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hours per response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Under the Securities Exchange Act of 1934</w:t>
            </w:r>
          </w:p>
        </w:tc>
        <w:tc>
          <w:tcPr>
            <w:tcW w:w="3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(Amendment No.)*</w:t>
            </w:r>
          </w:p>
        </w:tc>
        <w:tc>
          <w:tcPr>
            <w:tcW w:w="2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10"/>
        </w:trPr>
        <w:tc>
          <w:tcPr>
            <w:tcW w:w="4480" w:type="dxa"/>
            <w:vAlign w:val="bottom"/>
          </w:tcPr>
          <w:p>
            <w:pPr>
              <w:jc w:val="center"/>
              <w:ind w:right="192"/>
              <w:spacing w:after="0"/>
              <w:rPr>
                <w:sz w:val="20"/>
                <w:szCs w:val="20"/>
                <w:color w:val="auto"/>
              </w:rPr>
            </w:pPr>
            <w:r>
              <w:rPr>
                <w:rFonts w:ascii="Courier New" w:cs="Courier New" w:eastAsia="Courier New" w:hAnsi="Courier New"/>
                <w:sz w:val="18"/>
                <w:szCs w:val="18"/>
                <w:color w:val="auto"/>
                <w:w w:val="97"/>
              </w:rPr>
              <w:t>CASUAL MALE RETAIL GROUP, INC.</w:t>
            </w: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ind w:left="2860"/>
        <w:spacing w:after="0"/>
        <w:rPr>
          <w:sz w:val="20"/>
          <w:szCs w:val="20"/>
          <w:color w:val="auto"/>
        </w:rPr>
      </w:pPr>
      <w:r>
        <w:rPr>
          <w:rFonts w:ascii="Courier New" w:cs="Courier New" w:eastAsia="Courier New" w:hAnsi="Courier New"/>
          <w:sz w:val="18"/>
          <w:szCs w:val="18"/>
          <w:color w:val="auto"/>
        </w:rPr>
        <w:t>(Title of Class Securities)</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148711104</w:t>
      </w:r>
    </w:p>
    <w:p>
      <w:pPr>
        <w:ind w:left="2320"/>
        <w:spacing w:after="0" w:line="238" w:lineRule="auto"/>
        <w:rPr>
          <w:sz w:val="20"/>
          <w:szCs w:val="20"/>
          <w:color w:val="auto"/>
        </w:rPr>
      </w:pPr>
      <w:r>
        <w:rPr>
          <w:rFonts w:ascii="Courier New" w:cs="Courier New" w:eastAsia="Courier New" w:hAnsi="Courier New"/>
          <w:sz w:val="18"/>
          <w:szCs w:val="18"/>
          <w:color w:val="auto"/>
        </w:rPr>
        <w:t>____________________________________</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31, 2002</w:t>
      </w:r>
    </w:p>
    <w:p>
      <w:pPr>
        <w:ind w:left="8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13d-1(b)</w:t>
      </w:r>
    </w:p>
    <w:p>
      <w:pPr>
        <w:spacing w:after="0" w:line="201" w:lineRule="exact"/>
        <w:rPr>
          <w:sz w:val="24"/>
          <w:szCs w:val="24"/>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6540"/>
        <w:spacing w:after="0"/>
        <w:rPr>
          <w:sz w:val="20"/>
          <w:szCs w:val="20"/>
          <w:color w:val="auto"/>
        </w:rPr>
      </w:pPr>
      <w:r>
        <w:rPr>
          <w:rFonts w:ascii="Courier New" w:cs="Courier New" w:eastAsia="Courier New" w:hAnsi="Courier New"/>
          <w:sz w:val="18"/>
          <w:szCs w:val="18"/>
          <w:color w:val="auto"/>
        </w:rPr>
        <w:t>Page 2 of 10 Pages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148711104</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hanging="941"/>
        <w:spacing w:after="0" w:line="238" w:lineRule="auto"/>
        <w:tabs>
          <w:tab w:leader="none" w:pos="11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1160" w:right="273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Husic Capital Management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hanging="941"/>
        <w:spacing w:after="0" w:line="238" w:lineRule="auto"/>
        <w:tabs>
          <w:tab w:leader="none" w:pos="11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413"/>
        <w:spacing w:after="0" w:line="238" w:lineRule="auto"/>
        <w:tabs>
          <w:tab w:leader="none" w:pos="158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hanging="941"/>
        <w:spacing w:after="0" w:line="238" w:lineRule="auto"/>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hanging="941"/>
        <w:spacing w:after="0" w:line="238" w:lineRule="auto"/>
        <w:tabs>
          <w:tab w:leader="none" w:pos="11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1055" w:right="1440" w:bottom="0" w:gutter="0" w:footer="0" w:header="0"/>
        </w:sectPr>
      </w:pPr>
    </w:p>
    <w:bookmarkStart w:id="1" w:name="page2"/>
    <w:bookmarkEnd w:id="1"/>
    <w:p>
      <w:pPr>
        <w:ind w:left="1160"/>
        <w:spacing w:after="0"/>
        <w:rPr>
          <w:sz w:val="20"/>
          <w:szCs w:val="20"/>
          <w:color w:val="auto"/>
        </w:rPr>
      </w:pPr>
      <w:r>
        <w:rPr>
          <w:rFonts w:ascii="Courier New" w:cs="Courier New" w:eastAsia="Courier New" w:hAnsi="Courier New"/>
          <w:sz w:val="18"/>
          <w:szCs w:val="18"/>
          <w:color w:val="auto"/>
        </w:rPr>
        <w:t>California</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hanging="420"/>
        <w:spacing w:after="0" w:line="238" w:lineRule="auto"/>
        <w:tabs>
          <w:tab w:leader="none" w:pos="2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2,243,400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6.</w:t>
        <w:tab/>
        <w:t>SHARED VOTING POWER</w:t>
      </w:r>
    </w:p>
    <w:p>
      <w:pPr>
        <w:spacing w:after="0" w:line="4" w:lineRule="exact"/>
        <w:rPr>
          <w:sz w:val="20"/>
          <w:szCs w:val="20"/>
          <w:color w:val="auto"/>
        </w:rPr>
      </w:pPr>
    </w:p>
    <w:p>
      <w:pPr>
        <w:sectPr>
          <w:pgSz w:w="11900" w:h="16838" w:orient="portrait"/>
          <w:cols w:equalWidth="0" w:num="2">
            <w:col w:w="1060" w:space="420"/>
            <w:col w:w="8739"/>
          </w:cols>
          <w:pgMar w:left="240" w:top="33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339" w:right="1440" w:bottom="1440" w:gutter="0" w:footer="0" w:header="0"/>
          <w:type w:val="continuous"/>
        </w:sectPr>
      </w:pPr>
    </w:p>
    <w:p>
      <w:pPr>
        <w:spacing w:after="0" w:line="21" w:lineRule="exact"/>
        <w:rPr>
          <w:sz w:val="20"/>
          <w:szCs w:val="20"/>
          <w:color w:val="auto"/>
        </w:rPr>
      </w:pPr>
    </w:p>
    <w:p>
      <w:pPr>
        <w:ind w:left="220" w:hanging="210"/>
        <w:spacing w:after="0" w:line="268" w:lineRule="auto"/>
        <w:rPr>
          <w:sz w:val="20"/>
          <w:szCs w:val="20"/>
          <w:color w:val="auto"/>
        </w:rPr>
      </w:pPr>
      <w:r>
        <w:rPr>
          <w:rFonts w:ascii="Courier New" w:cs="Courier New" w:eastAsia="Courier New" w:hAnsi="Courier New"/>
          <w:sz w:val="16"/>
          <w:szCs w:val="16"/>
          <w:color w:val="auto"/>
        </w:rPr>
        <w:t>BENEFICIALLY OWNED BY EACH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7.</w:t>
        <w:tab/>
        <w:t>SOLE DISPOSITIVE POWER</w:t>
      </w:r>
    </w:p>
    <w:p>
      <w:pPr>
        <w:spacing w:after="0" w:line="4" w:lineRule="exact"/>
        <w:rPr>
          <w:sz w:val="20"/>
          <w:szCs w:val="20"/>
          <w:color w:val="auto"/>
        </w:rPr>
      </w:pPr>
    </w:p>
    <w:p>
      <w:pPr>
        <w:sectPr>
          <w:pgSz w:w="11900" w:h="16838" w:orient="portrait"/>
          <w:cols w:equalWidth="0" w:num="2">
            <w:col w:w="1280" w:space="200"/>
            <w:col w:w="8739"/>
          </w:cols>
          <w:pgMar w:left="240" w:top="339"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33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2,243,400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200"/>
            <w:col w:w="8739"/>
          </w:cols>
          <w:pgMar w:left="240" w:top="339" w:right="1440" w:bottom="1440" w:gutter="0" w:footer="0" w:header="0"/>
          <w:type w:val="continuous"/>
        </w:sectPr>
      </w:pPr>
    </w:p>
    <w:p>
      <w:pPr>
        <w:ind w:left="2640" w:right="5059" w:hanging="420"/>
        <w:spacing w:after="0" w:line="357" w:lineRule="auto"/>
        <w:tabs>
          <w:tab w:leader="none" w:pos="26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739" w:hanging="941"/>
        <w:spacing w:after="0" w:line="357" w:lineRule="auto"/>
        <w:tabs>
          <w:tab w:leader="none" w:pos="11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2,243,400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319" w:hanging="1047"/>
        <w:spacing w:after="0" w:line="235" w:lineRule="auto"/>
        <w:tabs>
          <w:tab w:leader="none" w:pos="11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1047"/>
        <w:spacing w:after="0" w:line="238" w:lineRule="auto"/>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13.7%</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4519" w:hanging="1047"/>
        <w:spacing w:after="0" w:line="357" w:lineRule="auto"/>
        <w:tabs>
          <w:tab w:leader="none" w:pos="11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PN, 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type w:val="continuous"/>
        </w:sectPr>
      </w:pPr>
    </w:p>
    <w:bookmarkStart w:id="2" w:name="page3"/>
    <w:bookmarkEnd w:id="2"/>
    <w:p>
      <w:pPr>
        <w:ind w:left="6540"/>
        <w:spacing w:after="0"/>
        <w:rPr>
          <w:sz w:val="20"/>
          <w:szCs w:val="20"/>
          <w:color w:val="auto"/>
        </w:rPr>
      </w:pPr>
      <w:r>
        <w:rPr>
          <w:rFonts w:ascii="Courier New" w:cs="Courier New" w:eastAsia="Courier New" w:hAnsi="Courier New"/>
          <w:sz w:val="18"/>
          <w:szCs w:val="18"/>
          <w:color w:val="auto"/>
        </w:rPr>
        <w:t>Page 3 of 10 Pages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148711104</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1160" w:right="273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Frank J. Husic &amp;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413"/>
        <w:spacing w:after="0" w:line="238" w:lineRule="auto"/>
        <w:tabs>
          <w:tab w:leader="none" w:pos="15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5259" w:hanging="941"/>
        <w:spacing w:after="0" w:line="357" w:lineRule="auto"/>
        <w:tabs>
          <w:tab w:leader="none" w:pos="11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hanging="420"/>
        <w:spacing w:after="0" w:line="238" w:lineRule="auto"/>
        <w:tabs>
          <w:tab w:leader="none" w:pos="2640" w:val="left"/>
        </w:tabs>
        <w:numPr>
          <w:ilvl w:val="3"/>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2,243,400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6.</w:t>
        <w:tab/>
        <w:t>SHARED VOTING POWER</w:t>
      </w:r>
    </w:p>
    <w:p>
      <w:pPr>
        <w:spacing w:after="0" w:line="4" w:lineRule="exact"/>
        <w:rPr>
          <w:sz w:val="20"/>
          <w:szCs w:val="20"/>
          <w:color w:val="auto"/>
        </w:rPr>
      </w:pPr>
    </w:p>
    <w:p>
      <w:pPr>
        <w:sectPr>
          <w:pgSz w:w="11900" w:h="16838" w:orient="portrait"/>
          <w:cols w:equalWidth="0" w:num="2">
            <w:col w:w="1060" w:space="420"/>
            <w:col w:w="8739"/>
          </w:cols>
          <w:pgMar w:left="240" w:top="91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220" w:hanging="210"/>
        <w:spacing w:after="0" w:line="268" w:lineRule="auto"/>
        <w:rPr>
          <w:sz w:val="20"/>
          <w:szCs w:val="20"/>
          <w:color w:val="auto"/>
        </w:rPr>
      </w:pPr>
      <w:r>
        <w:rPr>
          <w:rFonts w:ascii="Courier New" w:cs="Courier New" w:eastAsia="Courier New" w:hAnsi="Courier New"/>
          <w:sz w:val="16"/>
          <w:szCs w:val="16"/>
          <w:color w:val="auto"/>
        </w:rPr>
        <w:t>BENEFICIALLY OWNED BY EACH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7.</w:t>
        <w:tab/>
        <w:t>SOLE DISPOSITIVE POWER</w:t>
      </w:r>
    </w:p>
    <w:p>
      <w:pPr>
        <w:spacing w:after="0" w:line="4" w:lineRule="exact"/>
        <w:rPr>
          <w:sz w:val="20"/>
          <w:szCs w:val="20"/>
          <w:color w:val="auto"/>
        </w:rPr>
      </w:pPr>
    </w:p>
    <w:p>
      <w:pPr>
        <w:sectPr>
          <w:pgSz w:w="11900" w:h="16838" w:orient="portrait"/>
          <w:cols w:equalWidth="0" w:num="2">
            <w:col w:w="1280" w:space="200"/>
            <w:col w:w="8739"/>
          </w:cols>
          <w:pgMar w:left="240" w:top="919"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2,243,400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200"/>
            <w:col w:w="8739"/>
          </w:cols>
          <w:pgMar w:left="240" w:top="919" w:right="1440" w:bottom="1440" w:gutter="0" w:footer="0" w:header="0"/>
          <w:type w:val="continuous"/>
        </w:sectPr>
      </w:pPr>
    </w:p>
    <w:p>
      <w:pPr>
        <w:ind w:left="2640" w:right="5059" w:hanging="420"/>
        <w:spacing w:after="0" w:line="357" w:lineRule="auto"/>
        <w:tabs>
          <w:tab w:leader="none" w:pos="264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739" w:hanging="941"/>
        <w:spacing w:after="0" w:line="357" w:lineRule="auto"/>
        <w:tabs>
          <w:tab w:leader="none" w:pos="11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2,243,400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319" w:hanging="1047"/>
        <w:spacing w:after="0" w:line="235" w:lineRule="auto"/>
        <w:tabs>
          <w:tab w:leader="none" w:pos="11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1047"/>
        <w:spacing w:after="0" w:line="238" w:lineRule="auto"/>
        <w:tabs>
          <w:tab w:leader="none" w:pos="11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13.7%</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4519" w:hanging="1047"/>
        <w:spacing w:after="0" w:line="357" w:lineRule="auto"/>
        <w:tabs>
          <w:tab w:leader="none" w:pos="11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CO, HC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6540"/>
        <w:spacing w:after="0"/>
        <w:rPr>
          <w:sz w:val="20"/>
          <w:szCs w:val="20"/>
          <w:color w:val="auto"/>
        </w:rPr>
      </w:pPr>
      <w:r>
        <w:rPr>
          <w:rFonts w:ascii="Courier New" w:cs="Courier New" w:eastAsia="Courier New" w:hAnsi="Courier New"/>
          <w:sz w:val="18"/>
          <w:szCs w:val="18"/>
          <w:color w:val="auto"/>
        </w:rPr>
        <w:t>Page 4 of 10 Pages</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148711104</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1160" w:right="273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Frank J. Husic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413"/>
        <w:spacing w:after="0" w:line="238" w:lineRule="auto"/>
        <w:tabs>
          <w:tab w:leader="none" w:pos="158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941"/>
        <w:spacing w:after="0" w:line="238" w:lineRule="auto"/>
        <w:tabs>
          <w:tab w:leader="none" w:pos="11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5259" w:hanging="941"/>
        <w:spacing w:after="0" w:line="357" w:lineRule="auto"/>
        <w:tabs>
          <w:tab w:leader="none" w:pos="11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hanging="420"/>
        <w:spacing w:after="0" w:line="238" w:lineRule="auto"/>
        <w:tabs>
          <w:tab w:leader="none" w:pos="2640" w:val="left"/>
        </w:tabs>
        <w:numPr>
          <w:ilvl w:val="3"/>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2,243,400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6.</w:t>
        <w:tab/>
        <w:t>SHARED VOTING POWER</w:t>
      </w:r>
    </w:p>
    <w:p>
      <w:pPr>
        <w:spacing w:after="0" w:line="4" w:lineRule="exact"/>
        <w:rPr>
          <w:sz w:val="20"/>
          <w:szCs w:val="20"/>
          <w:color w:val="auto"/>
        </w:rPr>
      </w:pPr>
    </w:p>
    <w:p>
      <w:pPr>
        <w:sectPr>
          <w:pgSz w:w="11900" w:h="16838" w:orient="portrait"/>
          <w:cols w:equalWidth="0" w:num="2">
            <w:col w:w="1060" w:space="420"/>
            <w:col w:w="8739"/>
          </w:cols>
          <w:pgMar w:left="240" w:top="91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SHARES</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220" w:hanging="210"/>
        <w:spacing w:after="0" w:line="268" w:lineRule="auto"/>
        <w:rPr>
          <w:sz w:val="20"/>
          <w:szCs w:val="20"/>
          <w:color w:val="auto"/>
        </w:rPr>
      </w:pPr>
      <w:r>
        <w:rPr>
          <w:rFonts w:ascii="Courier New" w:cs="Courier New" w:eastAsia="Courier New" w:hAnsi="Courier New"/>
          <w:sz w:val="16"/>
          <w:szCs w:val="16"/>
          <w:color w:val="auto"/>
        </w:rPr>
        <w:t>BENEFICIALLY OWNED BY EACH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1140" w:val="left"/>
        </w:tabs>
        <w:rPr>
          <w:sz w:val="20"/>
          <w:szCs w:val="20"/>
          <w:color w:val="auto"/>
        </w:rPr>
      </w:pPr>
      <w:r>
        <w:rPr>
          <w:rFonts w:ascii="Courier New" w:cs="Courier New" w:eastAsia="Courier New" w:hAnsi="Courier New"/>
          <w:sz w:val="18"/>
          <w:szCs w:val="18"/>
          <w:color w:val="auto"/>
        </w:rPr>
        <w:t>7.</w:t>
        <w:tab/>
        <w:t>SOLE DISPOSITIVE POWER</w:t>
      </w:r>
    </w:p>
    <w:p>
      <w:pPr>
        <w:spacing w:after="0" w:line="4" w:lineRule="exact"/>
        <w:rPr>
          <w:sz w:val="20"/>
          <w:szCs w:val="20"/>
          <w:color w:val="auto"/>
        </w:rPr>
      </w:pPr>
    </w:p>
    <w:p>
      <w:pPr>
        <w:sectPr>
          <w:pgSz w:w="11900" w:h="16838" w:orient="portrait"/>
          <w:cols w:equalWidth="0" w:num="2">
            <w:col w:w="1280" w:space="200"/>
            <w:col w:w="8739"/>
          </w:cols>
          <w:pgMar w:left="240" w:top="919"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Courier New" w:cs="Courier New" w:eastAsia="Courier New" w:hAnsi="Courier New"/>
          <w:sz w:val="18"/>
          <w:szCs w:val="18"/>
          <w:color w:val="auto"/>
        </w:rPr>
        <w:t>2,243,400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280" w:space="200"/>
            <w:col w:w="8739"/>
          </w:cols>
          <w:pgMar w:left="240" w:top="919" w:right="1440" w:bottom="1440" w:gutter="0" w:footer="0" w:header="0"/>
          <w:type w:val="continuous"/>
        </w:sectPr>
      </w:pPr>
    </w:p>
    <w:p>
      <w:pPr>
        <w:ind w:left="2640" w:right="5059" w:hanging="420"/>
        <w:spacing w:after="0" w:line="357" w:lineRule="auto"/>
        <w:tabs>
          <w:tab w:leader="none" w:pos="2640"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739" w:hanging="941"/>
        <w:spacing w:after="0" w:line="357" w:lineRule="auto"/>
        <w:tabs>
          <w:tab w:leader="none" w:pos="11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2,243,400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319" w:hanging="1047"/>
        <w:spacing w:after="0" w:line="235" w:lineRule="auto"/>
        <w:tabs>
          <w:tab w:leader="none" w:pos="11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1047"/>
        <w:spacing w:after="0" w:line="238" w:lineRule="auto"/>
        <w:tabs>
          <w:tab w:leader="none" w:pos="11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13.7%</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4519" w:hanging="1047"/>
        <w:spacing w:after="0" w:line="357" w:lineRule="auto"/>
        <w:tabs>
          <w:tab w:leader="none" w:pos="11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 HC</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5 of 10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900" w:hanging="628"/>
        <w:spacing w:after="0"/>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Casual Male Retail Group, Inc. (formerly Designs, Inc.)</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w:t>
      </w:r>
    </w:p>
    <w:p>
      <w:pPr>
        <w:spacing w:after="0" w:line="206" w:lineRule="exact"/>
        <w:rPr>
          <w:rFonts w:ascii="Courier New" w:cs="Courier New" w:eastAsia="Courier New" w:hAnsi="Courier New"/>
          <w:sz w:val="18"/>
          <w:szCs w:val="18"/>
          <w:color w:val="auto"/>
        </w:rPr>
      </w:pPr>
    </w:p>
    <w:p>
      <w:pPr>
        <w:ind w:left="1900" w:right="63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555 Turnpike Street Canton, MA 02021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900" w:hanging="628"/>
        <w:spacing w:after="0"/>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ind w:left="190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by (i) Husic Capital Management, a California limited partnership and registered investment adviser ("IA"), (ii) Frank J. Husic and Co., a California corporation ("Corporate G.P.") and (iii) Frank J. Husic ("Shareholder") (collectively, the "Reporting Persons"). Corporate G.P. controls IA by virtue of its position as the sole general partner of IA. Shareholder controls IA by virtue of Shareholder's position as the sole shareholder of Corporate G.P.</w:t>
      </w:r>
    </w:p>
    <w:p>
      <w:pPr>
        <w:spacing w:after="0" w:line="213" w:lineRule="exact"/>
        <w:rPr>
          <w:rFonts w:ascii="Courier New" w:cs="Courier New" w:eastAsia="Courier New" w:hAnsi="Courier New"/>
          <w:sz w:val="18"/>
          <w:szCs w:val="18"/>
          <w:color w:val="auto"/>
        </w:rPr>
      </w:pPr>
    </w:p>
    <w:p>
      <w:pPr>
        <w:ind w:left="1900"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IA's beneficial ownership of the Common Stock is direct as a result of IA's discretionary authority to buy, sell, and vote shares of such Common Stock for its investment advisory clients. Corporate G.P.'s beneficial ownership of Common Stock is indirect as a result of its control of IA. Shareholder's beneficial ownership of Common Stock is indirect as a result of Shareholder's stock ownership in Corporate G.P. The beneficial ownership of the Corporate G.P. and Shareholder is reported solely because Rules 13d-1(a) and (b) under the Securities Exchange Act of 1934, as amended, require any person who is "directly or indirectly" the beneficial owner of more than five percent of any equity security of a specified class to file a Schedule 13G within the specified time period. The answers in blocks 5, 7, 9 and 11 above and in responses to item 4 by Corporate G.P. and Shareholder are given on the basis of the "indirect" beneficial ownership referred to in such Rule, based on the direct beneficial ownership of Common Stock by IA and the relationship of Corporate G.P. and Shareholder to IA referred to above.</w:t>
      </w:r>
    </w:p>
    <w:p>
      <w:pPr>
        <w:spacing w:after="0" w:line="200" w:lineRule="exact"/>
        <w:rPr>
          <w:rFonts w:ascii="Courier New" w:cs="Courier New" w:eastAsia="Courier New" w:hAnsi="Courier New"/>
          <w:sz w:val="18"/>
          <w:szCs w:val="18"/>
          <w:color w:val="auto"/>
        </w:rPr>
      </w:pPr>
    </w:p>
    <w:p>
      <w:pPr>
        <w:spacing w:after="0" w:line="397" w:lineRule="exact"/>
        <w:rPr>
          <w:rFonts w:ascii="Courier New" w:cs="Courier New" w:eastAsia="Courier New" w:hAnsi="Courier New"/>
          <w:sz w:val="18"/>
          <w:szCs w:val="18"/>
          <w:color w:val="auto"/>
        </w:rPr>
      </w:pPr>
    </w:p>
    <w:p>
      <w:pPr>
        <w:ind w:left="190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each Reporting Person is given solely by the respective Reporting Person, and no Reporting Person undertakes hereby any responsibility for the accuracy or completeness of such information concerning any other Reporting Person.</w:t>
      </w:r>
    </w:p>
    <w:p>
      <w:pPr>
        <w:spacing w:after="0" w:line="208" w:lineRule="exact"/>
        <w:rPr>
          <w:rFonts w:ascii="Courier New" w:cs="Courier New" w:eastAsia="Courier New" w:hAnsi="Courier New"/>
          <w:sz w:val="18"/>
          <w:szCs w:val="18"/>
          <w:color w:val="auto"/>
        </w:rPr>
      </w:pPr>
    </w:p>
    <w:p>
      <w:pPr>
        <w:ind w:left="1900" w:right="2099" w:hanging="628"/>
        <w:spacing w:after="0" w:line="470" w:lineRule="auto"/>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IA's Principal Business Office is located at:</w:t>
      </w:r>
    </w:p>
    <w:p>
      <w:pPr>
        <w:spacing w:after="0" w:line="11" w:lineRule="exact"/>
        <w:rPr>
          <w:rFonts w:ascii="Courier New" w:cs="Courier New" w:eastAsia="Courier New" w:hAnsi="Courier New"/>
          <w:sz w:val="18"/>
          <w:szCs w:val="18"/>
          <w:color w:val="auto"/>
        </w:rPr>
      </w:pPr>
    </w:p>
    <w:p>
      <w:pPr>
        <w:ind w:left="1900" w:right="4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555 California Street, Suite 2900 San Francisco, California 94104</w:t>
      </w:r>
    </w:p>
    <w:p>
      <w:pPr>
        <w:spacing w:after="0" w:line="16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G.P.'s Principal Business Office is located at:</w:t>
      </w:r>
    </w:p>
    <w:p>
      <w:pPr>
        <w:spacing w:after="0" w:line="206" w:lineRule="exact"/>
        <w:rPr>
          <w:rFonts w:ascii="Courier New" w:cs="Courier New" w:eastAsia="Courier New" w:hAnsi="Courier New"/>
          <w:sz w:val="18"/>
          <w:szCs w:val="18"/>
          <w:color w:val="auto"/>
        </w:rPr>
      </w:pPr>
    </w:p>
    <w:p>
      <w:pPr>
        <w:ind w:left="1900" w:right="4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555 California Street, Suite 2900 San Francisco, California 94104</w:t>
      </w:r>
    </w:p>
    <w:p>
      <w:pPr>
        <w:sectPr>
          <w:pgSz w:w="11900" w:h="16838" w:orient="portrait"/>
          <w:cols w:equalWidth="0" w:num="1">
            <w:col w:w="10219"/>
          </w:cols>
          <w:pgMar w:left="240" w:top="919"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Page 6 of 10 pages</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Shareholder's Principal Business Office is located at: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555 California Street, Suite 2900</w:t>
      </w:r>
    </w:p>
    <w:p>
      <w:pPr>
        <w:ind w:left="1900"/>
        <w:spacing w:after="0" w:line="238" w:lineRule="auto"/>
        <w:rPr>
          <w:sz w:val="20"/>
          <w:szCs w:val="20"/>
          <w:color w:val="auto"/>
        </w:rPr>
      </w:pPr>
      <w:r>
        <w:rPr>
          <w:rFonts w:ascii="Courier New" w:cs="Courier New" w:eastAsia="Courier New" w:hAnsi="Courier New"/>
          <w:sz w:val="18"/>
          <w:szCs w:val="18"/>
          <w:color w:val="auto"/>
        </w:rPr>
        <w:t>San Francisco, California 94104</w:t>
      </w:r>
    </w:p>
    <w:p>
      <w:pPr>
        <w:spacing w:after="0" w:line="202" w:lineRule="exact"/>
        <w:rPr>
          <w:sz w:val="20"/>
          <w:szCs w:val="20"/>
          <w:color w:val="auto"/>
        </w:rPr>
      </w:pPr>
    </w:p>
    <w:p>
      <w:pPr>
        <w:ind w:left="1900" w:hanging="628"/>
        <w:spacing w:after="0"/>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6" w:lineRule="exact"/>
        <w:rPr>
          <w:rFonts w:ascii="Courier New" w:cs="Courier New" w:eastAsia="Courier New" w:hAnsi="Courier New"/>
          <w:sz w:val="18"/>
          <w:szCs w:val="18"/>
          <w:color w:val="auto"/>
        </w:rPr>
      </w:pPr>
    </w:p>
    <w:p>
      <w:pPr>
        <w:ind w:left="1900" w:right="3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 is a California limited partnership Corporate G.P. is a California corporation Shareholder is a United States citizen</w:t>
      </w:r>
    </w:p>
    <w:p>
      <w:pPr>
        <w:spacing w:after="0" w:line="208" w:lineRule="exact"/>
        <w:rPr>
          <w:rFonts w:ascii="Courier New" w:cs="Courier New" w:eastAsia="Courier New" w:hAnsi="Courier New"/>
          <w:sz w:val="18"/>
          <w:szCs w:val="18"/>
          <w:color w:val="auto"/>
        </w:rPr>
      </w:pPr>
    </w:p>
    <w:p>
      <w:pPr>
        <w:ind w:left="1900" w:right="5359" w:hanging="628"/>
        <w:spacing w:after="0" w:line="470" w:lineRule="auto"/>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6"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148711104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2540" w:right="1879" w:hanging="1268"/>
        <w:spacing w:after="0" w:line="235" w:lineRule="auto"/>
        <w:tabs>
          <w:tab w:leader="none" w:pos="190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540" w:right="1779" w:hanging="1268"/>
        <w:spacing w:after="0" w:line="235" w:lineRule="auto"/>
        <w:tabs>
          <w:tab w:leader="none" w:pos="190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8" w:lineRule="exact"/>
        <w:rPr>
          <w:rFonts w:ascii="Courier New" w:cs="Courier New" w:eastAsia="Courier New" w:hAnsi="Courier New"/>
          <w:sz w:val="18"/>
          <w:szCs w:val="18"/>
          <w:color w:val="auto"/>
        </w:rPr>
      </w:pPr>
    </w:p>
    <w:p>
      <w:pPr>
        <w:ind w:left="2540" w:right="1879" w:hanging="1268"/>
        <w:spacing w:after="0" w:line="235" w:lineRule="auto"/>
        <w:tabs>
          <w:tab w:leader="none" w:pos="190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540" w:right="2199" w:hanging="1268"/>
        <w:spacing w:after="0" w:line="235" w:lineRule="auto"/>
        <w:tabs>
          <w:tab w:leader="none" w:pos="190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sz w:val="20"/>
          <w:szCs w:val="20"/>
          <w:color w:val="auto"/>
        </w:rPr>
      </w:pPr>
    </w:p>
    <w:p>
      <w:pPr>
        <w:ind w:left="1900" w:right="2619" w:hanging="1263"/>
        <w:spacing w:after="0" w:line="235" w:lineRule="auto"/>
        <w:tabs>
          <w:tab w:leader="none" w:pos="188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|X| An investment adviser in accordance with Section 240.13D-1(b)(1)(ii)(E);</w:t>
      </w:r>
    </w:p>
    <w:p>
      <w:pPr>
        <w:spacing w:after="0" w:line="208" w:lineRule="exact"/>
        <w:rPr>
          <w:sz w:val="20"/>
          <w:szCs w:val="20"/>
          <w:color w:val="auto"/>
        </w:rPr>
      </w:pPr>
    </w:p>
    <w:p>
      <w:pPr>
        <w:ind w:left="2540" w:right="1779" w:hanging="1268"/>
        <w:spacing w:after="0" w:line="235" w:lineRule="auto"/>
        <w:tabs>
          <w:tab w:leader="none" w:pos="190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Section 240.13d-1(b)(10(ii)(F);</w:t>
      </w:r>
    </w:p>
    <w:p>
      <w:pPr>
        <w:spacing w:after="0" w:line="208" w:lineRule="exact"/>
        <w:rPr>
          <w:rFonts w:ascii="Courier New" w:cs="Courier New" w:eastAsia="Courier New" w:hAnsi="Courier New"/>
          <w:sz w:val="18"/>
          <w:szCs w:val="18"/>
          <w:color w:val="auto"/>
        </w:rPr>
      </w:pPr>
    </w:p>
    <w:p>
      <w:pPr>
        <w:ind w:left="2540" w:right="1779" w:hanging="1268"/>
        <w:spacing w:after="0" w:line="235" w:lineRule="auto"/>
        <w:tabs>
          <w:tab w:leader="none" w:pos="190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Section 249,13d-1(b)(1)(iii)(G);</w:t>
      </w:r>
    </w:p>
    <w:p>
      <w:pPr>
        <w:spacing w:after="0" w:line="208" w:lineRule="exact"/>
        <w:rPr>
          <w:rFonts w:ascii="Courier New" w:cs="Courier New" w:eastAsia="Courier New" w:hAnsi="Courier New"/>
          <w:sz w:val="18"/>
          <w:szCs w:val="18"/>
          <w:color w:val="auto"/>
        </w:rPr>
      </w:pPr>
    </w:p>
    <w:p>
      <w:pPr>
        <w:ind w:left="2540" w:right="1779" w:hanging="1268"/>
        <w:spacing w:after="0" w:line="235" w:lineRule="auto"/>
        <w:tabs>
          <w:tab w:leader="none" w:pos="190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540" w:right="1779" w:hanging="1268"/>
        <w:spacing w:after="0" w:line="236" w:lineRule="auto"/>
        <w:tabs>
          <w:tab w:leader="none" w:pos="190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3(c)(114) of the Investment Company Act of 1940 (15 U.S.C. 80a-3);</w:t>
      </w:r>
    </w:p>
    <w:p>
      <w:pPr>
        <w:spacing w:after="0" w:line="203"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Section</w:t>
      </w:r>
    </w:p>
    <w:p>
      <w:pPr>
        <w:ind w:left="2540"/>
        <w:spacing w:after="0" w:line="238" w:lineRule="auto"/>
        <w:rPr>
          <w:sz w:val="20"/>
          <w:szCs w:val="20"/>
          <w:color w:val="auto"/>
        </w:rPr>
      </w:pPr>
      <w:r>
        <w:rPr>
          <w:rFonts w:ascii="Courier New" w:cs="Courier New" w:eastAsia="Courier New" w:hAnsi="Courier New"/>
          <w:sz w:val="18"/>
          <w:szCs w:val="18"/>
          <w:color w:val="auto"/>
        </w:rPr>
        <w:t>240.13d-1(b)(1)(ii)(J).</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740" w:space="540"/>
            <w:col w:w="8939"/>
          </w:cols>
          <w:pgMar w:left="240" w:top="919" w:right="1440" w:bottom="1440" w:gutter="0" w:footer="0" w:header="0"/>
          <w:type w:val="continuous"/>
        </w:sectPr>
      </w:pPr>
    </w:p>
    <w:p>
      <w:pPr>
        <w:spacing w:after="0" w:line="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Amount Beneficially Owned: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2,243,400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460" w:space="720"/>
            <w:col w:w="3039"/>
          </w:cols>
          <w:pgMar w:left="240" w:top="919" w:right="1440" w:bottom="1440" w:gutter="0" w:footer="0" w:header="0"/>
          <w:type w:val="continuous"/>
        </w:sectPr>
      </w:pPr>
    </w:p>
    <w:bookmarkStart w:id="6" w:name="page7"/>
    <w:bookmarkEnd w:id="6"/>
    <w:p>
      <w:pPr>
        <w:ind w:left="6540"/>
        <w:spacing w:after="0"/>
        <w:rPr>
          <w:sz w:val="20"/>
          <w:szCs w:val="20"/>
          <w:color w:val="auto"/>
        </w:rPr>
      </w:pPr>
      <w:r>
        <w:rPr>
          <w:rFonts w:ascii="Courier New" w:cs="Courier New" w:eastAsia="Courier New" w:hAnsi="Courier New"/>
          <w:sz w:val="16"/>
          <w:szCs w:val="16"/>
          <w:color w:val="auto"/>
        </w:rPr>
        <w:t>Page 7 of 10 pages</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Percent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2">
            <w:col w:w="6460" w:space="720"/>
            <w:col w:w="3039"/>
          </w:cols>
          <w:pgMar w:left="240" w:top="925" w:right="1440" w:bottom="1440" w:gutter="0" w:footer="0" w:header="0"/>
          <w:type w:val="continuous"/>
        </w:sectPr>
      </w:pPr>
    </w:p>
    <w:p>
      <w:pPr>
        <w:ind w:left="1900" w:right="3579" w:hanging="628"/>
        <w:spacing w:after="0" w:line="235" w:lineRule="auto"/>
        <w:tabs>
          <w:tab w:leader="none" w:pos="19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joint filers have:</w:t>
      </w:r>
    </w:p>
    <w:p>
      <w:pPr>
        <w:spacing w:after="0" w:line="5"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2,243,400</w:t>
      </w:r>
    </w:p>
    <w:p>
      <w:pPr>
        <w:spacing w:after="0" w:line="21" w:lineRule="exact"/>
        <w:rPr>
          <w:rFonts w:ascii="Courier New" w:cs="Courier New" w:eastAsia="Courier New" w:hAnsi="Courier New"/>
          <w:sz w:val="16"/>
          <w:szCs w:val="16"/>
          <w:color w:val="auto"/>
        </w:rPr>
      </w:pPr>
    </w:p>
    <w:p>
      <w:pPr>
        <w:ind w:left="7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540" w:hanging="636"/>
        <w:spacing w:after="0"/>
        <w:tabs>
          <w:tab w:leader="none" w:pos="254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of to direct the vote: 0</w:t>
      </w:r>
    </w:p>
    <w:p>
      <w:pPr>
        <w:spacing w:after="0" w:line="218"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1440" w:gutter="0" w:footer="0" w:header="0"/>
          <w:type w:val="continuous"/>
        </w:sectPr>
      </w:pPr>
    </w:p>
    <w:p>
      <w:pPr>
        <w:spacing w:after="0" w:line="4" w:lineRule="exact"/>
        <w:rPr>
          <w:sz w:val="20"/>
          <w:szCs w:val="20"/>
          <w:color w:val="auto"/>
        </w:rPr>
      </w:pPr>
    </w:p>
    <w:p>
      <w:pPr>
        <w:ind w:left="2540" w:hanging="639"/>
        <w:spacing w:after="0" w:line="235" w:lineRule="auto"/>
        <w:tabs>
          <w:tab w:leader="none" w:pos="2520" w:val="left"/>
        </w:tabs>
        <w:rPr>
          <w:sz w:val="20"/>
          <w:szCs w:val="20"/>
          <w:color w:val="auto"/>
        </w:rPr>
      </w:pPr>
      <w:r>
        <w:rPr>
          <w:rFonts w:ascii="Courier New" w:cs="Courier New" w:eastAsia="Courier New" w:hAnsi="Courier New"/>
          <w:sz w:val="18"/>
          <w:szCs w:val="18"/>
          <w:color w:val="auto"/>
        </w:rPr>
        <w:t>(iii)</w:t>
        <w:tab/>
        <w:t>sole power to dispose or to direct the disposition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2,243,400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540" w:space="640"/>
            <w:col w:w="3039"/>
          </w:cols>
          <w:pgMar w:left="240" w:top="925" w:right="1440" w:bottom="1440" w:gutter="0" w:footer="0" w:header="0"/>
          <w:type w:val="continuous"/>
        </w:sectPr>
      </w:pPr>
    </w:p>
    <w:p>
      <w:pPr>
        <w:ind w:left="2540" w:hanging="639"/>
        <w:spacing w:after="0" w:line="235" w:lineRule="auto"/>
        <w:tabs>
          <w:tab w:leader="none" w:pos="2520" w:val="left"/>
        </w:tabs>
        <w:rPr>
          <w:sz w:val="20"/>
          <w:szCs w:val="20"/>
          <w:color w:val="auto"/>
        </w:rPr>
      </w:pPr>
      <w:r>
        <w:rPr>
          <w:rFonts w:ascii="Courier New" w:cs="Courier New" w:eastAsia="Courier New" w:hAnsi="Courier New"/>
          <w:sz w:val="18"/>
          <w:szCs w:val="18"/>
          <w:color w:val="auto"/>
        </w:rPr>
        <w:t>(iv)</w:t>
        <w:tab/>
        <w:t>shared power to dispose of or to direct the disposition of:</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640" w:space="540"/>
            <w:col w:w="3039"/>
          </w:cols>
          <w:pgMar w:left="240" w:top="925" w:right="1440" w:bottom="1440" w:gutter="0" w:footer="0" w:header="0"/>
          <w:type w:val="continuous"/>
        </w:sectPr>
      </w:pPr>
    </w:p>
    <w:p>
      <w:pPr>
        <w:spacing w:after="0" w:line="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280" w:right="19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IA, a registered investment adviser, Corporate G.P., IA's sole general partner, and Shareholder, the sole shareholder of Corporate G.P., have the right or the power to direct the receipt of dividends from Common Stock, and to direct the receipt of proceeds from the sale of Common Stock to IA's investment advisory clients. No single investment advisory client of IA owns more than 5% of the Common Stock.</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16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Identification and</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w w:val="99"/>
              </w:rPr>
              <w:t>Classification of the Subsidiary Which Acquired</w:t>
            </w:r>
          </w:p>
        </w:tc>
      </w:tr>
      <w:tr>
        <w:trPr>
          <w:trHeight w:val="203"/>
        </w:trPr>
        <w:tc>
          <w:tcPr>
            <w:tcW w:w="1060" w:type="dxa"/>
            <w:vAlign w:val="bottom"/>
          </w:tcPr>
          <w:p>
            <w:pPr>
              <w:spacing w:after="0"/>
              <w:rPr>
                <w:sz w:val="17"/>
                <w:szCs w:val="17"/>
                <w:color w:val="auto"/>
              </w:rPr>
            </w:pPr>
          </w:p>
        </w:tc>
        <w:tc>
          <w:tcPr>
            <w:tcW w:w="2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the Security Being</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 Company</w:t>
            </w:r>
          </w:p>
        </w:tc>
      </w:tr>
      <w:tr>
        <w:trPr>
          <w:trHeight w:val="405"/>
        </w:trPr>
        <w:tc>
          <w:tcPr>
            <w:tcW w:w="106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Corporate</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G.P. and</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w w:val="97"/>
              </w:rPr>
              <w:t>Shareholder are the equivalent of parent holding</w:t>
            </w:r>
          </w:p>
        </w:tc>
      </w:tr>
      <w:tr>
        <w:trPr>
          <w:trHeight w:val="203"/>
        </w:trPr>
        <w:tc>
          <w:tcPr>
            <w:tcW w:w="1060" w:type="dxa"/>
            <w:vAlign w:val="bottom"/>
          </w:tcPr>
          <w:p>
            <w:pPr>
              <w:spacing w:after="0"/>
              <w:rPr>
                <w:sz w:val="17"/>
                <w:szCs w:val="17"/>
                <w:color w:val="auto"/>
              </w:rPr>
            </w:pP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companies</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for purposes of the Schedule 13G. IA is the equivalent of</w:t>
            </w:r>
          </w:p>
        </w:tc>
      </w:tr>
      <w:tr>
        <w:trPr>
          <w:trHeight w:val="203"/>
        </w:trPr>
        <w:tc>
          <w:tcPr>
            <w:tcW w:w="1060" w:type="dxa"/>
            <w:vAlign w:val="bottom"/>
          </w:tcPr>
          <w:p>
            <w:pPr>
              <w:spacing w:after="0"/>
              <w:rPr>
                <w:sz w:val="17"/>
                <w:szCs w:val="17"/>
                <w:color w:val="auto"/>
              </w:rPr>
            </w:pP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w:t>
            </w:r>
          </w:p>
        </w:tc>
        <w:tc>
          <w:tcPr>
            <w:tcW w:w="6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G.P.'s direct subsidiary and Shareholder's indirect</w:t>
            </w:r>
          </w:p>
        </w:tc>
      </w:tr>
      <w:tr>
        <w:trPr>
          <w:trHeight w:val="203"/>
        </w:trPr>
        <w:tc>
          <w:tcPr>
            <w:tcW w:w="1060" w:type="dxa"/>
            <w:vAlign w:val="bottom"/>
          </w:tcPr>
          <w:p>
            <w:pPr>
              <w:spacing w:after="0"/>
              <w:rPr>
                <w:sz w:val="17"/>
                <w:szCs w:val="17"/>
                <w:color w:val="auto"/>
              </w:rPr>
            </w:pPr>
          </w:p>
        </w:tc>
        <w:tc>
          <w:tcPr>
            <w:tcW w:w="2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subsidiary, and IA</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acquired the security being reported on by</w:t>
            </w:r>
          </w:p>
        </w:tc>
      </w:tr>
      <w:tr>
        <w:trPr>
          <w:trHeight w:val="203"/>
        </w:trPr>
        <w:tc>
          <w:tcPr>
            <w:tcW w:w="1060" w:type="dxa"/>
            <w:vAlign w:val="bottom"/>
          </w:tcPr>
          <w:p>
            <w:pPr>
              <w:spacing w:after="0"/>
              <w:rPr>
                <w:sz w:val="17"/>
                <w:szCs w:val="17"/>
                <w:color w:val="auto"/>
              </w:rPr>
            </w:pP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G.P. and</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Shareholder. IA is a registered investment</w:t>
            </w:r>
          </w:p>
        </w:tc>
      </w:tr>
      <w:tr>
        <w:trPr>
          <w:trHeight w:val="203"/>
        </w:trPr>
        <w:tc>
          <w:tcPr>
            <w:tcW w:w="1060" w:type="dxa"/>
            <w:vAlign w:val="bottom"/>
          </w:tcPr>
          <w:p>
            <w:pPr>
              <w:spacing w:after="0"/>
              <w:rPr>
                <w:sz w:val="17"/>
                <w:szCs w:val="17"/>
                <w:color w:val="auto"/>
              </w:rPr>
            </w:pPr>
          </w:p>
        </w:tc>
        <w:tc>
          <w:tcPr>
            <w:tcW w:w="72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adviser. See Exhibit B.</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216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Identification and</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Classification of Members of the Group</w:t>
            </w:r>
          </w:p>
        </w:tc>
      </w:tr>
      <w:tr>
        <w:trPr>
          <w:trHeight w:val="405"/>
        </w:trPr>
        <w:tc>
          <w:tcPr>
            <w:tcW w:w="1060" w:type="dxa"/>
            <w:vAlign w:val="bottom"/>
          </w:tcPr>
          <w:p>
            <w:pPr>
              <w:spacing w:after="0"/>
              <w:rPr>
                <w:sz w:val="24"/>
                <w:szCs w:val="24"/>
                <w:color w:val="auto"/>
              </w:rPr>
            </w:pPr>
          </w:p>
        </w:tc>
        <w:tc>
          <w:tcPr>
            <w:tcW w:w="21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Not applicable.</w:t>
            </w:r>
          </w:p>
        </w:tc>
        <w:tc>
          <w:tcPr>
            <w:tcW w:w="512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Notice of</w:t>
            </w:r>
          </w:p>
        </w:tc>
        <w:tc>
          <w:tcPr>
            <w:tcW w:w="6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Dissolution of Group</w:t>
            </w:r>
          </w:p>
        </w:tc>
      </w:tr>
      <w:tr>
        <w:trPr>
          <w:trHeight w:val="405"/>
        </w:trPr>
        <w:tc>
          <w:tcPr>
            <w:tcW w:w="1060" w:type="dxa"/>
            <w:vAlign w:val="bottom"/>
          </w:tcPr>
          <w:p>
            <w:pPr>
              <w:spacing w:after="0"/>
              <w:rPr>
                <w:sz w:val="24"/>
                <w:szCs w:val="24"/>
                <w:color w:val="auto"/>
              </w:rPr>
            </w:pPr>
          </w:p>
        </w:tc>
        <w:tc>
          <w:tcPr>
            <w:tcW w:w="21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Not applicable.</w:t>
            </w:r>
          </w:p>
        </w:tc>
        <w:tc>
          <w:tcPr>
            <w:tcW w:w="512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1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Certification</w:t>
            </w:r>
          </w:p>
        </w:tc>
        <w:tc>
          <w:tcPr>
            <w:tcW w:w="5120" w:type="dxa"/>
            <w:vAlign w:val="bottom"/>
          </w:tcPr>
          <w:p>
            <w:pPr>
              <w:spacing w:after="0"/>
              <w:rPr>
                <w:sz w:val="24"/>
                <w:szCs w:val="24"/>
                <w:color w:val="auto"/>
              </w:rPr>
            </w:pPr>
          </w:p>
        </w:tc>
      </w:tr>
    </w:tbl>
    <w:p>
      <w:pPr>
        <w:spacing w:after="0" w:line="207" w:lineRule="exact"/>
        <w:rPr>
          <w:sz w:val="20"/>
          <w:szCs w:val="20"/>
          <w:color w:val="auto"/>
        </w:rPr>
      </w:pPr>
    </w:p>
    <w:p>
      <w:pPr>
        <w:ind w:left="1900" w:right="1779" w:hanging="628"/>
        <w:spacing w:after="0" w:line="235" w:lineRule="auto"/>
        <w:tabs>
          <w:tab w:leader="none" w:pos="19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240.13d-l (b):</w:t>
      </w:r>
    </w:p>
    <w:p>
      <w:pPr>
        <w:spacing w:after="0" w:line="208" w:lineRule="exact"/>
        <w:rPr>
          <w:sz w:val="20"/>
          <w:szCs w:val="20"/>
          <w:color w:val="auto"/>
        </w:rPr>
      </w:pPr>
    </w:p>
    <w:p>
      <w:pPr>
        <w:jc w:val="both"/>
        <w:ind w:left="128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925" w:right="1440" w:bottom="1440" w:gutter="0" w:footer="0" w:header="0"/>
          <w:type w:val="continuous"/>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Page 8 of 10 pages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9, 2003</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HUSIC CAPITAL MANAGEMENT</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Frank J. Husic &amp; Co.</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John Sanders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John Sanders</w:t>
      </w:r>
    </w:p>
    <w:p>
      <w:pPr>
        <w:ind w:left="370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FRANK J. HUSIC &amp; CO.</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Frank J. Husic &amp; Co.</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John Sanders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John Sanders</w:t>
      </w:r>
    </w:p>
    <w:p>
      <w:pPr>
        <w:ind w:left="370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FRANK J. HUSIC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Frank J. Husic</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Page 9 of 10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A</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Pursuant to Rule 13d-1(b)(1)(ii)(J) and Rule 13d-1(k)(1) under the Securities and Exchange Act of 1934, the members of the group making this joint filing are identified and classified as follows:</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2740" w:type="dxa"/>
            <w:vAlign w:val="bottom"/>
          </w:tcPr>
          <w:p>
            <w:pPr>
              <w:ind w:left="540"/>
              <w:spacing w:after="0"/>
              <w:rPr>
                <w:sz w:val="20"/>
                <w:szCs w:val="20"/>
                <w:color w:val="auto"/>
              </w:rPr>
            </w:pPr>
            <w:r>
              <w:rPr>
                <w:rFonts w:ascii="Courier New" w:cs="Courier New" w:eastAsia="Courier New" w:hAnsi="Courier New"/>
                <w:sz w:val="18"/>
                <w:szCs w:val="18"/>
                <w:color w:val="auto"/>
              </w:rPr>
              <w:t>Name</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Classification</w:t>
            </w:r>
          </w:p>
        </w:tc>
      </w:t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Not applicable.</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Not applicable.</w:t>
            </w:r>
          </w:p>
        </w:tc>
      </w:tr>
    </w:tbl>
    <w:p>
      <w:pPr>
        <w:sectPr>
          <w:pgSz w:w="11900" w:h="16838" w:orient="portrait"/>
          <w:cols w:equalWidth="0" w:num="1">
            <w:col w:w="10219"/>
          </w:cols>
          <w:pgMar w:left="240" w:top="919"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Page 10 of 10</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B</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Joint Filing Agreement Pursuant to Rule 13d-1</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agreement is made pursuant to Rule 13d-1(b)(1)(ii)(J) and Rule 13d-1(k)(1) under the Securities and Exchange Act of 1934 (the "Act") by and among the parties listed below, each referred to herein as a "Joint Filer." The Joint Filers agree that a statement of beneficial ownership as required by Sections 13(g) or 13(d) of the Act and the Rules thereunder may be filed on each of their behalf on Schedule 13G or Schedule 13D, as appropriate, and that said joint filing may thereafter be amended by further joint filings. The Joint Filers state that they each satisfy the requirements for making a joint filing under Rule 13d-1.</w:t>
      </w: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9, 2003</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HUSIC CAPITAL MANAGEMENT</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Frank J. Husic &amp; Co.</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John Sanders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John Sanders</w:t>
      </w:r>
    </w:p>
    <w:p>
      <w:pPr>
        <w:ind w:left="370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FRANK J. HUSIC &amp; CO.</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Frank J. Husic &amp; Co.</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John Sanders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John Sanders</w:t>
      </w:r>
    </w:p>
    <w:p>
      <w:pPr>
        <w:ind w:left="370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FRANK J. HUSIC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Frank J. Husic</w:t>
      </w:r>
    </w:p>
    <w:p>
      <w:pPr>
        <w:ind w:left="316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
    <w:nsid w:val="3F2DBA31"/>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
    <w:nsid w:val="7C83E458"/>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
    <w:nsid w:val="257130A3"/>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4">
    <w:nsid w:val="62BBD95A"/>
    <w:multiLevelType w:val="hybridMultilevel"/>
    <w:lvl w:ilvl="0">
      <w:lvlJc w:val="left"/>
      <w:lvlText w:val="-"/>
      <w:numFmt w:val="bullet"/>
      <w:start w:val="1"/>
    </w:lvl>
    <w:lvl w:ilvl="1">
      <w:lvlJc w:val="left"/>
      <w:lvlText w:val="%2."/>
      <w:numFmt w:val="decimal"/>
      <w:start w:val="5"/>
    </w:lvl>
  </w:abstractNum>
  <w:abstractNum w:abstractNumId="5">
    <w:nsid w:val="436C6125"/>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6">
    <w:nsid w:val="628C895D"/>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7">
    <w:nsid w:val="333AB105"/>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8">
    <w:nsid w:val="721DA31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9">
    <w:nsid w:val="2443A858"/>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0">
    <w:nsid w:val="2D1D5AE9"/>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1">
    <w:nsid w:val="6763845E"/>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lvl w:ilvl="3">
      <w:lvlJc w:val="left"/>
      <w:lvlText w:val="%4"/>
      <w:numFmt w:val="decimal"/>
      <w:start w:val="1"/>
    </w:lvl>
  </w:abstractNum>
  <w:abstractNum w:abstractNumId="12">
    <w:nsid w:val="75A2A8D4"/>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lvl w:ilvl="3">
      <w:lvlJc w:val="left"/>
      <w:lvlText w:val="%4"/>
      <w:numFmt w:val="decimal"/>
      <w:start w:val="1"/>
    </w:lvl>
  </w:abstractNum>
  <w:abstractNum w:abstractNumId="13">
    <w:nsid w:val="8EDBDAB"/>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lvl w:ilvl="3">
      <w:lvlJc w:val="left"/>
      <w:lvlText w:val="%4."/>
      <w:numFmt w:val="decimal"/>
      <w:start w:val="5"/>
    </w:lvl>
  </w:abstractNum>
  <w:abstractNum w:abstractNumId="14">
    <w:nsid w:val="79838CB2"/>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5">
    <w:nsid w:val="4353D0CD"/>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6">
    <w:nsid w:val="B03E0C6"/>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7">
    <w:nsid w:val="189A769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8">
    <w:nsid w:val="54E49EB4"/>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9">
    <w:nsid w:val="71F32454"/>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20">
    <w:nsid w:val="2CA88611"/>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lvl w:ilvl="3">
      <w:lvlJc w:val="left"/>
      <w:lvlText w:val="%4"/>
      <w:numFmt w:val="decimal"/>
      <w:start w:val="1"/>
    </w:lvl>
  </w:abstractNum>
  <w:abstractNum w:abstractNumId="21">
    <w:nsid w:val="836C40E"/>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lvl w:ilvl="3">
      <w:lvlJc w:val="left"/>
      <w:lvlText w:val="%4"/>
      <w:numFmt w:val="decimal"/>
      <w:start w:val="1"/>
    </w:lvl>
  </w:abstractNum>
  <w:abstractNum w:abstractNumId="22">
    <w:nsid w:val="2901D82"/>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lvl w:ilvl="3">
      <w:lvlJc w:val="left"/>
      <w:lvlText w:val="%4."/>
      <w:numFmt w:val="decimal"/>
      <w:start w:val="5"/>
    </w:lvl>
  </w:abstractNum>
  <w:abstractNum w:abstractNumId="23">
    <w:nsid w:val="3A95F874"/>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24">
    <w:nsid w:val="8138641"/>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25">
    <w:nsid w:val="1E7FF521"/>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26">
    <w:nsid w:val="7C3DBD3D"/>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7">
    <w:nsid w:val="737B8DDC"/>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3"/>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6"/>
    </w:lvl>
  </w:abstractNum>
  <w:abstractNum w:abstractNumId="33">
    <w:nsid w:val="419AC241"/>
    <w:multiLevelType w:val="hybridMultilevel"/>
    <w:lvl w:ilvl="0">
      <w:lvlJc w:val="left"/>
      <w:lvlText w:val="(%1)"/>
      <w:numFmt w:val="lowerLetter"/>
      <w:start w:val="3"/>
    </w:lvl>
    <w:lvl w:ilvl="1">
      <w:lvlJc w:val="left"/>
      <w:lvlText w:val="(%2)"/>
      <w:numFmt w:val="lowerRoman"/>
      <w:start w:val="1"/>
    </w:lvl>
  </w:abstractNum>
  <w:abstractNum w:abstractNumId="34">
    <w:nsid w:val="5577F8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2019-12-20T15:56:04Z</dcterms:created>
  <dcterms:modified xsi:type="dcterms:W3CDTF">2019-12-20T15:56:04Z</dcterms:modified>
</cp:coreProperties>
</file>