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1"/>
          <w:szCs w:val="31"/>
          <w:b w:val="1"/>
          <w:bCs w:val="1"/>
          <w:color w:val="auto"/>
        </w:rPr>
        <w:t>UNITED STATES</w:t>
      </w:r>
    </w:p>
    <w:p>
      <w:pPr>
        <w:spacing w:after="0" w:line="96" w:lineRule="exact"/>
        <w:rPr>
          <w:sz w:val="24"/>
          <w:szCs w:val="24"/>
          <w:color w:val="auto"/>
        </w:rPr>
      </w:pPr>
    </w:p>
    <w:p>
      <w:pPr>
        <w:jc w:val="center"/>
        <w:ind w:right="-619"/>
        <w:spacing w:after="0"/>
        <w:rPr>
          <w:sz w:val="20"/>
          <w:szCs w:val="20"/>
          <w:color w:val="auto"/>
        </w:rPr>
      </w:pPr>
      <w:r>
        <w:rPr>
          <w:rFonts w:ascii="Arial" w:cs="Arial" w:eastAsia="Arial" w:hAnsi="Arial"/>
          <w:sz w:val="31"/>
          <w:szCs w:val="31"/>
          <w:b w:val="1"/>
          <w:bCs w:val="1"/>
          <w:color w:val="auto"/>
        </w:rPr>
        <w:t>SECURITIES AND EXCHANGE COMMISSION</w:t>
      </w:r>
    </w:p>
    <w:p>
      <w:pPr>
        <w:spacing w:after="0" w:line="30" w:lineRule="exact"/>
        <w:rPr>
          <w:sz w:val="24"/>
          <w:szCs w:val="24"/>
          <w:color w:val="auto"/>
        </w:rPr>
      </w:pPr>
    </w:p>
    <w:p>
      <w:pPr>
        <w:ind w:left="44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3267710</wp:posOffset>
            </wp:positionH>
            <wp:positionV relativeFrom="paragraph">
              <wp:posOffset>152400</wp:posOffset>
            </wp:positionV>
            <wp:extent cx="721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347" w:lineRule="exact"/>
        <w:rPr>
          <w:sz w:val="24"/>
          <w:szCs w:val="24"/>
          <w:color w:val="auto"/>
        </w:rPr>
      </w:pPr>
    </w:p>
    <w:p>
      <w:pPr>
        <w:ind w:left="496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3267710</wp:posOffset>
            </wp:positionH>
            <wp:positionV relativeFrom="paragraph">
              <wp:posOffset>168910</wp:posOffset>
            </wp:positionV>
            <wp:extent cx="721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387" w:lineRule="exact"/>
        <w:rPr>
          <w:sz w:val="24"/>
          <w:szCs w:val="24"/>
          <w:color w:val="auto"/>
        </w:rPr>
      </w:pPr>
    </w:p>
    <w:p>
      <w:pPr>
        <w:jc w:val="center"/>
        <w:ind w:right="-619"/>
        <w:spacing w:after="0"/>
        <w:rPr>
          <w:sz w:val="20"/>
          <w:szCs w:val="20"/>
          <w:color w:val="auto"/>
        </w:rPr>
      </w:pPr>
      <w:r>
        <w:rPr>
          <w:rFonts w:ascii="Arial" w:cs="Arial" w:eastAsia="Arial" w:hAnsi="Arial"/>
          <w:sz w:val="21"/>
          <w:szCs w:val="21"/>
          <w:b w:val="1"/>
          <w:bCs w:val="1"/>
          <w:color w:val="auto"/>
        </w:rPr>
        <w:t>CURRENT REPORT</w:t>
      </w:r>
    </w:p>
    <w:p>
      <w:pPr>
        <w:spacing w:after="0" w:line="146" w:lineRule="exact"/>
        <w:rPr>
          <w:sz w:val="24"/>
          <w:szCs w:val="24"/>
          <w:color w:val="auto"/>
        </w:rPr>
      </w:pPr>
    </w:p>
    <w:p>
      <w:pPr>
        <w:jc w:val="center"/>
        <w:ind w:right="-6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55" w:lineRule="exact"/>
        <w:rPr>
          <w:sz w:val="24"/>
          <w:szCs w:val="24"/>
          <w:color w:val="auto"/>
        </w:rPr>
      </w:pPr>
    </w:p>
    <w:p>
      <w:pPr>
        <w:ind w:left="3360"/>
        <w:spacing w:after="0"/>
        <w:rPr>
          <w:sz w:val="20"/>
          <w:szCs w:val="20"/>
          <w:color w:val="auto"/>
        </w:rPr>
      </w:pPr>
      <w:r>
        <w:rPr>
          <w:rFonts w:ascii="Arial" w:cs="Arial" w:eastAsia="Arial" w:hAnsi="Arial"/>
          <w:sz w:val="17"/>
          <w:szCs w:val="17"/>
          <w:b w:val="1"/>
          <w:bCs w:val="1"/>
          <w:color w:val="auto"/>
        </w:rPr>
        <w:t>Date of Report (Date of earliest event reported): March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3267710</wp:posOffset>
            </wp:positionH>
            <wp:positionV relativeFrom="paragraph">
              <wp:posOffset>174625</wp:posOffset>
            </wp:positionV>
            <wp:extent cx="72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381" w:lineRule="exact"/>
        <w:rPr>
          <w:sz w:val="24"/>
          <w:szCs w:val="24"/>
          <w:color w:val="auto"/>
        </w:rPr>
      </w:pPr>
    </w:p>
    <w:p>
      <w:pPr>
        <w:jc w:val="center"/>
        <w:ind w:right="-619"/>
        <w:spacing w:after="0"/>
        <w:rPr>
          <w:sz w:val="20"/>
          <w:szCs w:val="20"/>
          <w:color w:val="auto"/>
        </w:rPr>
      </w:pPr>
      <w:r>
        <w:rPr>
          <w:rFonts w:ascii="Arial" w:cs="Arial" w:eastAsia="Arial" w:hAnsi="Arial"/>
          <w:sz w:val="41"/>
          <w:szCs w:val="41"/>
          <w:b w:val="1"/>
          <w:bCs w:val="1"/>
          <w:color w:val="auto"/>
        </w:rPr>
        <w:t>DESTINATION XL GROUP, INC.</w:t>
      </w:r>
    </w:p>
    <w:p>
      <w:pPr>
        <w:spacing w:after="0" w:line="49"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3267710</wp:posOffset>
            </wp:positionH>
            <wp:positionV relativeFrom="paragraph">
              <wp:posOffset>150495</wp:posOffset>
            </wp:positionV>
            <wp:extent cx="72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396"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3160" w:type="dxa"/>
            <w:vAlign w:val="bottom"/>
          </w:tcPr>
          <w:p>
            <w:pPr>
              <w:jc w:val="center"/>
              <w:ind w:right="882"/>
              <w:spacing w:after="0"/>
              <w:rPr>
                <w:sz w:val="20"/>
                <w:szCs w:val="20"/>
                <w:color w:val="auto"/>
              </w:rPr>
            </w:pPr>
            <w:r>
              <w:rPr>
                <w:rFonts w:ascii="Arial" w:cs="Arial" w:eastAsia="Arial" w:hAnsi="Arial"/>
                <w:sz w:val="21"/>
                <w:szCs w:val="21"/>
                <w:b w:val="1"/>
                <w:bCs w:val="1"/>
                <w:color w:val="auto"/>
                <w:w w:val="91"/>
              </w:rPr>
              <w:t>Delaware</w:t>
            </w:r>
          </w:p>
        </w:tc>
        <w:tc>
          <w:tcPr>
            <w:tcW w:w="3720" w:type="dxa"/>
            <w:vAlign w:val="bottom"/>
          </w:tcPr>
          <w:p>
            <w:pPr>
              <w:jc w:val="right"/>
              <w:ind w:right="1536"/>
              <w:spacing w:after="0"/>
              <w:rPr>
                <w:sz w:val="20"/>
                <w:szCs w:val="20"/>
                <w:color w:val="auto"/>
              </w:rPr>
            </w:pPr>
            <w:r>
              <w:rPr>
                <w:rFonts w:ascii="Arial" w:cs="Arial" w:eastAsia="Arial" w:hAnsi="Arial"/>
                <w:sz w:val="21"/>
                <w:szCs w:val="21"/>
                <w:b w:val="1"/>
                <w:bCs w:val="1"/>
                <w:color w:val="auto"/>
              </w:rPr>
              <w:t>01-34219</w:t>
            </w:r>
          </w:p>
        </w:tc>
        <w:tc>
          <w:tcPr>
            <w:tcW w:w="2260" w:type="dxa"/>
            <w:vAlign w:val="bottom"/>
          </w:tcPr>
          <w:p>
            <w:pPr>
              <w:jc w:val="right"/>
              <w:spacing w:after="0"/>
              <w:rPr>
                <w:sz w:val="20"/>
                <w:szCs w:val="20"/>
                <w:color w:val="auto"/>
              </w:rPr>
            </w:pPr>
            <w:r>
              <w:rPr>
                <w:rFonts w:ascii="Arial" w:cs="Arial" w:eastAsia="Arial" w:hAnsi="Arial"/>
                <w:sz w:val="21"/>
                <w:szCs w:val="21"/>
                <w:b w:val="1"/>
                <w:bCs w:val="1"/>
                <w:color w:val="auto"/>
              </w:rPr>
              <w:t>04-2623104</w:t>
            </w:r>
          </w:p>
        </w:tc>
        <w:tc>
          <w:tcPr>
            <w:tcW w:w="0" w:type="dxa"/>
            <w:vAlign w:val="bottom"/>
          </w:tcPr>
          <w:p>
            <w:pPr>
              <w:spacing w:after="0"/>
              <w:rPr>
                <w:sz w:val="1"/>
                <w:szCs w:val="1"/>
                <w:color w:val="auto"/>
              </w:rPr>
            </w:pPr>
          </w:p>
        </w:tc>
      </w:tr>
      <w:tr>
        <w:trPr>
          <w:trHeight w:val="142"/>
        </w:trPr>
        <w:tc>
          <w:tcPr>
            <w:tcW w:w="3160" w:type="dxa"/>
            <w:vAlign w:val="bottom"/>
          </w:tcPr>
          <w:p>
            <w:pPr>
              <w:jc w:val="center"/>
              <w:ind w:right="882"/>
              <w:spacing w:after="0" w:line="143" w:lineRule="exact"/>
              <w:rPr>
                <w:sz w:val="20"/>
                <w:szCs w:val="20"/>
                <w:color w:val="auto"/>
              </w:rPr>
            </w:pPr>
            <w:r>
              <w:rPr>
                <w:rFonts w:ascii="Arial" w:cs="Arial" w:eastAsia="Arial" w:hAnsi="Arial"/>
                <w:sz w:val="13"/>
                <w:szCs w:val="13"/>
                <w:b w:val="1"/>
                <w:bCs w:val="1"/>
                <w:color w:val="auto"/>
                <w:w w:val="90"/>
              </w:rPr>
              <w:t>(State or Other Jurisdiction</w:t>
            </w:r>
          </w:p>
        </w:tc>
        <w:tc>
          <w:tcPr>
            <w:tcW w:w="3720" w:type="dxa"/>
            <w:vAlign w:val="bottom"/>
          </w:tcPr>
          <w:p>
            <w:pPr>
              <w:spacing w:after="0"/>
              <w:rPr>
                <w:sz w:val="12"/>
                <w:szCs w:val="12"/>
                <w:color w:val="auto"/>
              </w:rPr>
            </w:pPr>
          </w:p>
        </w:tc>
        <w:tc>
          <w:tcPr>
            <w:tcW w:w="2260" w:type="dxa"/>
            <w:vAlign w:val="bottom"/>
          </w:tcPr>
          <w:p>
            <w:pPr>
              <w:jc w:val="center"/>
              <w:ind w:left="1180"/>
              <w:spacing w:after="0" w:line="143" w:lineRule="exact"/>
              <w:rPr>
                <w:sz w:val="20"/>
                <w:szCs w:val="20"/>
                <w:color w:val="auto"/>
              </w:rPr>
            </w:pPr>
            <w:r>
              <w:rPr>
                <w:rFonts w:ascii="Arial" w:cs="Arial" w:eastAsia="Arial" w:hAnsi="Arial"/>
                <w:sz w:val="13"/>
                <w:szCs w:val="13"/>
                <w:b w:val="1"/>
                <w:bCs w:val="1"/>
                <w:color w:val="auto"/>
                <w:w w:val="94"/>
              </w:rPr>
              <w:t>(IRS Employer</w:t>
            </w:r>
          </w:p>
        </w:tc>
        <w:tc>
          <w:tcPr>
            <w:tcW w:w="0" w:type="dxa"/>
            <w:vAlign w:val="bottom"/>
          </w:tcPr>
          <w:p>
            <w:pPr>
              <w:spacing w:after="0"/>
              <w:rPr>
                <w:sz w:val="1"/>
                <w:szCs w:val="1"/>
                <w:color w:val="auto"/>
              </w:rPr>
            </w:pPr>
          </w:p>
        </w:tc>
      </w:tr>
      <w:tr>
        <w:trPr>
          <w:trHeight w:val="167"/>
        </w:trPr>
        <w:tc>
          <w:tcPr>
            <w:tcW w:w="3160" w:type="dxa"/>
            <w:vAlign w:val="bottom"/>
          </w:tcPr>
          <w:p>
            <w:pPr>
              <w:jc w:val="center"/>
              <w:ind w:right="882"/>
              <w:spacing w:after="0"/>
              <w:rPr>
                <w:sz w:val="20"/>
                <w:szCs w:val="20"/>
                <w:color w:val="auto"/>
              </w:rPr>
            </w:pPr>
            <w:r>
              <w:rPr>
                <w:rFonts w:ascii="Arial" w:cs="Arial" w:eastAsia="Arial" w:hAnsi="Arial"/>
                <w:sz w:val="13"/>
                <w:szCs w:val="13"/>
                <w:b w:val="1"/>
                <w:bCs w:val="1"/>
                <w:color w:val="auto"/>
                <w:w w:val="92"/>
              </w:rPr>
              <w:t>of Incorporation)</w:t>
            </w:r>
          </w:p>
        </w:tc>
        <w:tc>
          <w:tcPr>
            <w:tcW w:w="3720" w:type="dxa"/>
            <w:vAlign w:val="bottom"/>
          </w:tcPr>
          <w:p>
            <w:pPr>
              <w:jc w:val="center"/>
              <w:ind w:right="216"/>
              <w:spacing w:after="0"/>
              <w:rPr>
                <w:sz w:val="20"/>
                <w:szCs w:val="20"/>
                <w:color w:val="auto"/>
              </w:rPr>
            </w:pPr>
            <w:r>
              <w:rPr>
                <w:rFonts w:ascii="Arial" w:cs="Arial" w:eastAsia="Arial" w:hAnsi="Arial"/>
                <w:sz w:val="13"/>
                <w:szCs w:val="13"/>
                <w:b w:val="1"/>
                <w:bCs w:val="1"/>
                <w:color w:val="auto"/>
                <w:w w:val="90"/>
              </w:rPr>
              <w:t>(Commission File Number)</w:t>
            </w:r>
          </w:p>
        </w:tc>
        <w:tc>
          <w:tcPr>
            <w:tcW w:w="2260" w:type="dxa"/>
            <w:vAlign w:val="bottom"/>
          </w:tcPr>
          <w:p>
            <w:pPr>
              <w:jc w:val="center"/>
              <w:ind w:left="1180"/>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383"/>
        </w:trPr>
        <w:tc>
          <w:tcPr>
            <w:tcW w:w="3160" w:type="dxa"/>
            <w:vAlign w:val="bottom"/>
          </w:tcPr>
          <w:p>
            <w:pPr>
              <w:jc w:val="center"/>
              <w:ind w:right="882"/>
              <w:spacing w:after="0"/>
              <w:rPr>
                <w:sz w:val="20"/>
                <w:szCs w:val="20"/>
                <w:color w:val="auto"/>
              </w:rPr>
            </w:pPr>
            <w:r>
              <w:rPr>
                <w:rFonts w:ascii="Arial" w:cs="Arial" w:eastAsia="Arial" w:hAnsi="Arial"/>
                <w:sz w:val="17"/>
                <w:szCs w:val="17"/>
                <w:b w:val="1"/>
                <w:bCs w:val="1"/>
                <w:color w:val="auto"/>
                <w:w w:val="93"/>
              </w:rPr>
              <w:t>555 Turnpike Street,</w:t>
            </w:r>
          </w:p>
        </w:tc>
        <w:tc>
          <w:tcPr>
            <w:tcW w:w="3720" w:type="dxa"/>
            <w:vAlign w:val="bottom"/>
          </w:tcPr>
          <w:p>
            <w:pPr>
              <w:spacing w:after="0"/>
              <w:rPr>
                <w:sz w:val="24"/>
                <w:szCs w:val="24"/>
                <w:color w:val="auto"/>
              </w:rPr>
            </w:pPr>
          </w:p>
        </w:tc>
        <w:tc>
          <w:tcPr>
            <w:tcW w:w="2260" w:type="dxa"/>
            <w:vAlign w:val="bottom"/>
            <w:vMerge w:val="restart"/>
          </w:tcPr>
          <w:p>
            <w:pPr>
              <w:jc w:val="right"/>
              <w:ind w:right="160"/>
              <w:spacing w:after="0"/>
              <w:rPr>
                <w:sz w:val="20"/>
                <w:szCs w:val="20"/>
                <w:color w:val="auto"/>
              </w:rPr>
            </w:pPr>
            <w:r>
              <w:rPr>
                <w:rFonts w:ascii="Arial" w:cs="Arial" w:eastAsia="Arial" w:hAnsi="Arial"/>
                <w:sz w:val="21"/>
                <w:szCs w:val="21"/>
                <w:b w:val="1"/>
                <w:bCs w:val="1"/>
                <w:color w:val="auto"/>
              </w:rPr>
              <w:t>02021</w:t>
            </w:r>
          </w:p>
        </w:tc>
        <w:tc>
          <w:tcPr>
            <w:tcW w:w="0" w:type="dxa"/>
            <w:vAlign w:val="bottom"/>
          </w:tcPr>
          <w:p>
            <w:pPr>
              <w:spacing w:after="0"/>
              <w:rPr>
                <w:sz w:val="1"/>
                <w:szCs w:val="1"/>
                <w:color w:val="auto"/>
              </w:rPr>
            </w:pPr>
          </w:p>
        </w:tc>
      </w:tr>
      <w:tr>
        <w:trPr>
          <w:trHeight w:val="212"/>
        </w:trPr>
        <w:tc>
          <w:tcPr>
            <w:tcW w:w="3160" w:type="dxa"/>
            <w:vAlign w:val="bottom"/>
          </w:tcPr>
          <w:p>
            <w:pPr>
              <w:jc w:val="center"/>
              <w:ind w:right="882"/>
              <w:spacing w:after="0"/>
              <w:rPr>
                <w:sz w:val="20"/>
                <w:szCs w:val="20"/>
                <w:color w:val="auto"/>
              </w:rPr>
            </w:pPr>
            <w:r>
              <w:rPr>
                <w:rFonts w:ascii="Arial" w:cs="Arial" w:eastAsia="Arial" w:hAnsi="Arial"/>
                <w:sz w:val="17"/>
                <w:szCs w:val="17"/>
                <w:b w:val="1"/>
                <w:bCs w:val="1"/>
                <w:color w:val="auto"/>
                <w:w w:val="88"/>
              </w:rPr>
              <w:t>Canton, Massachusetts</w:t>
            </w:r>
          </w:p>
        </w:tc>
        <w:tc>
          <w:tcPr>
            <w:tcW w:w="3720" w:type="dxa"/>
            <w:vAlign w:val="bottom"/>
          </w:tcPr>
          <w:p>
            <w:pPr>
              <w:spacing w:after="0"/>
              <w:rPr>
                <w:sz w:val="18"/>
                <w:szCs w:val="18"/>
                <w:color w:val="auto"/>
              </w:rPr>
            </w:pPr>
          </w:p>
        </w:tc>
        <w:tc>
          <w:tcPr>
            <w:tcW w:w="2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160" w:type="dxa"/>
            <w:vAlign w:val="bottom"/>
          </w:tcPr>
          <w:p>
            <w:pPr>
              <w:jc w:val="center"/>
              <w:ind w:right="882"/>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3720" w:type="dxa"/>
            <w:vAlign w:val="bottom"/>
          </w:tcPr>
          <w:p>
            <w:pPr>
              <w:spacing w:after="0"/>
              <w:rPr>
                <w:sz w:val="14"/>
                <w:szCs w:val="14"/>
                <w:color w:val="auto"/>
              </w:rPr>
            </w:pPr>
          </w:p>
        </w:tc>
        <w:tc>
          <w:tcPr>
            <w:tcW w:w="2260" w:type="dxa"/>
            <w:vAlign w:val="bottom"/>
          </w:tcPr>
          <w:p>
            <w:pPr>
              <w:jc w:val="center"/>
              <w:ind w:left="1180"/>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bl>
    <w:p>
      <w:pPr>
        <w:spacing w:after="0" w:line="124" w:lineRule="exact"/>
        <w:rPr>
          <w:sz w:val="24"/>
          <w:szCs w:val="24"/>
          <w:color w:val="auto"/>
        </w:rPr>
      </w:pPr>
    </w:p>
    <w:p>
      <w:pPr>
        <w:ind w:left="3160"/>
        <w:spacing w:after="0"/>
        <w:rPr>
          <w:sz w:val="20"/>
          <w:szCs w:val="20"/>
          <w:color w:val="auto"/>
        </w:rPr>
      </w:pPr>
      <w:r>
        <w:rPr>
          <w:rFonts w:ascii="Arial" w:cs="Arial" w:eastAsia="Arial" w:hAnsi="Arial"/>
          <w:sz w:val="17"/>
          <w:szCs w:val="17"/>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3267710</wp:posOffset>
            </wp:positionH>
            <wp:positionV relativeFrom="paragraph">
              <wp:posOffset>166370</wp:posOffset>
            </wp:positionV>
            <wp:extent cx="721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995" cy="825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330835</wp:posOffset>
            </wp:positionV>
            <wp:extent cx="721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107" w:lineRule="exact"/>
        <w:rPr>
          <w:sz w:val="24"/>
          <w:szCs w:val="24"/>
          <w:color w:val="auto"/>
        </w:rPr>
      </w:pPr>
    </w:p>
    <w:p>
      <w:pPr>
        <w:ind w:left="600" w:hanging="597"/>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66" w:lineRule="exact"/>
        <w:rPr>
          <w:rFonts w:ascii="MS PGothic" w:cs="MS PGothic" w:eastAsia="MS PGothic" w:hAnsi="MS PGothic"/>
          <w:sz w:val="17"/>
          <w:szCs w:val="17"/>
          <w:color w:val="auto"/>
        </w:rPr>
      </w:pPr>
    </w:p>
    <w:p>
      <w:pPr>
        <w:ind w:left="600" w:hanging="597"/>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66" w:lineRule="exact"/>
        <w:rPr>
          <w:rFonts w:ascii="MS PGothic" w:cs="MS PGothic" w:eastAsia="MS PGothic" w:hAnsi="MS PGothic"/>
          <w:sz w:val="17"/>
          <w:szCs w:val="17"/>
          <w:color w:val="auto"/>
        </w:rPr>
      </w:pPr>
    </w:p>
    <w:p>
      <w:pPr>
        <w:ind w:left="600" w:hanging="597"/>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6" w:lineRule="exact"/>
        <w:rPr>
          <w:rFonts w:ascii="MS PGothic" w:cs="MS PGothic" w:eastAsia="MS PGothic" w:hAnsi="MS PGothic"/>
          <w:sz w:val="17"/>
          <w:szCs w:val="17"/>
          <w:color w:val="auto"/>
        </w:rPr>
      </w:pPr>
    </w:p>
    <w:p>
      <w:pPr>
        <w:ind w:left="600" w:hanging="597"/>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ectPr>
          <w:pgSz w:w="11900" w:h="16838" w:orient="portrait"/>
          <w:cols w:equalWidth="0" w:num="1">
            <w:col w:w="10800"/>
          </w:cols>
          <w:pgMar w:left="240" w:top="512" w:right="85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w:t>
      </w:r>
    </w:p>
    <w:p>
      <w:pPr>
        <w:spacing w:after="0" w:line="294"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On March 25, 2015, Destination XL Group, Inc. (the “Company”) issued a press release announcing the Company’s operating results for the fourth quarter and fiscal year 2014. A copy of this press release is attached hereto as Exhibit 99.1.</w:t>
      </w: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60" w:type="dxa"/>
            <w:vAlign w:val="bottom"/>
            <w:gridSpan w:val="2"/>
          </w:tcPr>
          <w:p>
            <w:pPr>
              <w:ind w:left="860"/>
              <w:spacing w:after="0"/>
              <w:rPr>
                <w:sz w:val="20"/>
                <w:szCs w:val="20"/>
                <w:color w:val="auto"/>
              </w:rPr>
            </w:pPr>
            <w:r>
              <w:rPr>
                <w:rFonts w:ascii="Arial" w:cs="Arial" w:eastAsia="Arial" w:hAnsi="Arial"/>
                <w:sz w:val="21"/>
                <w:szCs w:val="21"/>
                <w:color w:val="auto"/>
              </w:rPr>
              <w:t>(d) Exhibits</w:t>
            </w: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80" w:type="dxa"/>
            <w:vAlign w:val="bottom"/>
          </w:tcPr>
          <w:p>
            <w:pPr>
              <w:spacing w:after="0"/>
              <w:rPr>
                <w:sz w:val="22"/>
                <w:szCs w:val="22"/>
                <w:color w:val="auto"/>
              </w:rPr>
            </w:pPr>
          </w:p>
        </w:tc>
      </w:tr>
      <w:tr>
        <w:trPr>
          <w:trHeight w:val="416"/>
        </w:trPr>
        <w:tc>
          <w:tcPr>
            <w:tcW w:w="2160" w:type="dxa"/>
            <w:vAlign w:val="bottom"/>
            <w:gridSpan w:val="2"/>
          </w:tcPr>
          <w:p>
            <w:pPr>
              <w:spacing w:after="0"/>
              <w:rPr>
                <w:sz w:val="20"/>
                <w:szCs w:val="20"/>
                <w:color w:val="auto"/>
              </w:rPr>
            </w:pPr>
            <w:r>
              <w:rPr>
                <w:rFonts w:ascii="Arial" w:cs="Arial" w:eastAsia="Arial" w:hAnsi="Arial"/>
                <w:sz w:val="21"/>
                <w:szCs w:val="21"/>
                <w:color w:val="auto"/>
              </w:rPr>
              <w:t>Exhibit No.</w:t>
            </w:r>
          </w:p>
        </w:tc>
        <w:tc>
          <w:tcPr>
            <w:tcW w:w="58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Arial" w:cs="Arial" w:eastAsia="Arial" w:hAnsi="Arial"/>
                <w:sz w:val="21"/>
                <w:szCs w:val="21"/>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695"/>
        </w:trPr>
        <w:tc>
          <w:tcPr>
            <w:tcW w:w="960" w:type="dxa"/>
            <w:vAlign w:val="bottom"/>
          </w:tcPr>
          <w:p>
            <w:pPr>
              <w:spacing w:after="0"/>
              <w:rPr>
                <w:sz w:val="20"/>
                <w:szCs w:val="20"/>
                <w:color w:val="auto"/>
              </w:rPr>
            </w:pPr>
            <w:r>
              <w:rPr>
                <w:rFonts w:ascii="Arial" w:cs="Arial" w:eastAsia="Arial" w:hAnsi="Arial"/>
                <w:sz w:val="21"/>
                <w:szCs w:val="21"/>
                <w:color w:val="auto"/>
              </w:rPr>
              <w:t>99.1</w:t>
            </w:r>
          </w:p>
        </w:tc>
        <w:tc>
          <w:tcPr>
            <w:tcW w:w="1200" w:type="dxa"/>
            <w:vAlign w:val="bottom"/>
          </w:tcPr>
          <w:p>
            <w:pPr>
              <w:spacing w:after="0"/>
              <w:rPr>
                <w:sz w:val="24"/>
                <w:szCs w:val="24"/>
                <w:color w:val="auto"/>
              </w:rPr>
            </w:pPr>
          </w:p>
        </w:tc>
        <w:tc>
          <w:tcPr>
            <w:tcW w:w="9020" w:type="dxa"/>
            <w:vAlign w:val="bottom"/>
            <w:gridSpan w:val="3"/>
          </w:tcPr>
          <w:p>
            <w:pPr>
              <w:ind w:left="320"/>
              <w:spacing w:after="0"/>
              <w:rPr>
                <w:sz w:val="20"/>
                <w:szCs w:val="20"/>
                <w:color w:val="auto"/>
              </w:rPr>
            </w:pPr>
            <w:r>
              <w:rPr>
                <w:rFonts w:ascii="Arial" w:cs="Arial" w:eastAsia="Arial" w:hAnsi="Arial"/>
                <w:sz w:val="21"/>
                <w:szCs w:val="21"/>
                <w:color w:val="auto"/>
                <w:w w:val="88"/>
              </w:rPr>
              <w:t>Press release issued by Destination XL Group, Inc. on March 25, 2015 regarding operating results for the</w:t>
            </w:r>
          </w:p>
        </w:tc>
      </w:tr>
      <w:tr>
        <w:trPr>
          <w:trHeight w:val="264"/>
        </w:trPr>
        <w:tc>
          <w:tcPr>
            <w:tcW w:w="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020" w:type="dxa"/>
            <w:vAlign w:val="bottom"/>
            <w:gridSpan w:val="3"/>
          </w:tcPr>
          <w:p>
            <w:pPr>
              <w:ind w:left="320"/>
              <w:spacing w:after="0"/>
              <w:rPr>
                <w:sz w:val="20"/>
                <w:szCs w:val="20"/>
                <w:color w:val="auto"/>
              </w:rPr>
            </w:pPr>
            <w:r>
              <w:rPr>
                <w:rFonts w:ascii="Arial" w:cs="Arial" w:eastAsia="Arial" w:hAnsi="Arial"/>
                <w:sz w:val="21"/>
                <w:szCs w:val="21"/>
                <w:color w:val="auto"/>
              </w:rPr>
              <w:t>fourth quarter and fiscal year 2014.</w:t>
            </w:r>
          </w:p>
        </w:tc>
      </w:tr>
    </w:tbl>
    <w:p>
      <w:pPr>
        <w:sectPr>
          <w:pgSz w:w="11900" w:h="16838" w:orient="portrait"/>
          <w:cols w:equalWidth="0" w:num="1">
            <w:col w:w="11340"/>
          </w:cols>
          <w:pgMar w:left="240" w:top="836"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1"/>
          <w:szCs w:val="21"/>
          <w:b w:val="1"/>
          <w:bCs w:val="1"/>
          <w:color w:val="auto"/>
        </w:rPr>
        <w:t>SIGNATURES</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00"/>
        <w:spacing w:after="0"/>
        <w:rPr>
          <w:sz w:val="20"/>
          <w:szCs w:val="20"/>
          <w:color w:val="auto"/>
        </w:rPr>
      </w:pPr>
      <w:r>
        <w:rPr>
          <w:rFonts w:ascii="Arial" w:cs="Arial" w:eastAsia="Arial" w:hAnsi="Arial"/>
          <w:sz w:val="21"/>
          <w:szCs w:val="21"/>
          <w:color w:val="auto"/>
        </w:rPr>
        <w:t>DESTINATION XL GROUP, INC.</w:t>
      </w:r>
    </w:p>
    <w:p>
      <w:pPr>
        <w:spacing w:after="0" w:line="172" w:lineRule="exact"/>
        <w:rPr>
          <w:sz w:val="20"/>
          <w:szCs w:val="20"/>
          <w:color w:val="auto"/>
        </w:rPr>
      </w:pPr>
    </w:p>
    <w:p>
      <w:pPr>
        <w:ind w:left="20"/>
        <w:spacing w:after="0"/>
        <w:tabs>
          <w:tab w:leader="none" w:pos="860" w:val="left"/>
          <w:tab w:leader="none" w:pos="5900" w:val="left"/>
          <w:tab w:leader="none" w:pos="818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March 25, 2015</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7620</wp:posOffset>
            </wp:positionV>
            <wp:extent cx="2986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4"/>
          <w:szCs w:val="14"/>
          <w:b w:val="1"/>
          <w:bCs w:val="1"/>
          <w:color w:val="auto"/>
        </w:rPr>
        <w:t>Senior Vice President, General Counsel and Secretary</w:t>
      </w:r>
    </w:p>
    <w:p>
      <w:pPr>
        <w:sectPr>
          <w:pgSz w:w="11900" w:h="16838" w:orient="portrait"/>
          <w:cols w:equalWidth="0" w:num="1">
            <w:col w:w="11240"/>
          </w:cols>
          <w:pgMar w:left="240" w:top="114" w:right="419" w:bottom="1440" w:gutter="0" w:footer="0" w:header="0"/>
        </w:sectPr>
      </w:pPr>
    </w:p>
    <w:bookmarkStart w:id="3" w:name="page4"/>
    <w:bookmarkEnd w:id="3"/>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1222375" cy="672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22375" cy="67246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Jeff Unger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(561) 482-9715</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Destination XL Group, Inc. Reports Fourth-Quarter and Fiscal Year 2014 Financial Results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+16.4% DXL Comparable Sales Increase For Fourth Quarter On Top Of +13.6% Comp Increase In Prior-Year Quarter</w:t>
      </w:r>
    </w:p>
    <w:p>
      <w:pPr>
        <w:spacing w:after="0" w:line="179"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 xml:space="preserve">CANTON, Mass., March 25, 2015 – </w:t>
      </w:r>
      <w:r>
        <w:rPr>
          <w:rFonts w:ascii="Arial" w:cs="Arial" w:eastAsia="Arial" w:hAnsi="Arial"/>
          <w:sz w:val="17"/>
          <w:szCs w:val="17"/>
          <w:u w:val="single" w:color="auto"/>
          <w:color w:val="auto"/>
        </w:rPr>
        <w:t>Destination XL Group, Inc.</w:t>
      </w:r>
      <w:r>
        <w:rPr>
          <w:rFonts w:ascii="Arial" w:cs="Arial" w:eastAsia="Arial" w:hAnsi="Arial"/>
          <w:sz w:val="17"/>
          <w:szCs w:val="17"/>
          <w:color w:val="auto"/>
        </w:rPr>
        <w:t xml:space="preserve"> (NASDAQ: DXLG), the largest omni-channel specialty retailer of big and tall men's apparel, today reported operating results for the fourth quarter and full year of fiscal 2014.</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Fourth-Quarter Fiscal 2014 Highlights</w:t>
      </w:r>
    </w:p>
    <w:p>
      <w:pPr>
        <w:spacing w:after="0" w:line="198" w:lineRule="exact"/>
        <w:rPr>
          <w:sz w:val="20"/>
          <w:szCs w:val="20"/>
          <w:color w:val="auto"/>
        </w:rPr>
      </w:pPr>
    </w:p>
    <w:p>
      <w:pPr>
        <w:ind w:left="760" w:hanging="377"/>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comparable sales increased +8.9% versus +4.2% in prior year quarter</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93 DXL stores, open at least 13 months, had a +16.4% comparable sales increase on top of +13.6% in the prior year quarter</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Sales per square foot in DXL stores of $165, up 10.0% from $150 last year</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income of $2.2 million versus an operating loss of $6.5 million in the prior year quarter</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EBITDA from continuing operations of $9.1 million versus $0.8 million in the prior year quarter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 Comments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are extremely pleased with our fourth quarter results, as our DXL stores delivered for the seventh consecutive quarter a double-digit comparable sales increase,” said President and CEO David Levin. “The comparable sales increase in DXL stores this quarter was +16.4%, which is quite impressive, given that it was on top of a very strong comparable sales increase the prior year. Our results exceeded expectations on a number of measures, which we believe gives further credence to our ability to execute our transformation to the DXL store concept.</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strategic decision to keep Casual Male XL stores open longer in markets where we have opened new Destination XL stores is paying dividends. In these markets, we are seeing a higher rate of Casual Male customers transitioning to the Destination XL brand, and our 2014 conversion rate is up 19%. In addition, we deferred the launch of our fall marketing campaign by three weeks compared with last year, which led to a surge in holiday sales. DXL comparable store sales continued to be strong throughout January following the end of the campaign in mid-December, in part due to a successful bounce-back promotion. Meanwhile, our Destination XL customer base continues to grow, both overall and on a per-store basis. In addition to the higher conversion rate, we are seeing an increase in our end-of-rack customers, who now make up 45% of our bottoms business. All of these factors have driven our sales per square foot to $165 at the end of Q4, compared with $150 a year ago.</w:t>
      </w:r>
    </w:p>
    <w:p>
      <w:pPr>
        <w:spacing w:after="0" w:line="157" w:lineRule="exact"/>
        <w:rPr>
          <w:sz w:val="20"/>
          <w:szCs w:val="20"/>
          <w:color w:val="auto"/>
        </w:rPr>
      </w:pPr>
    </w:p>
    <w:p>
      <w:pPr>
        <w:ind w:right="660"/>
        <w:spacing w:after="0" w:line="283" w:lineRule="auto"/>
        <w:rPr>
          <w:sz w:val="20"/>
          <w:szCs w:val="20"/>
          <w:color w:val="auto"/>
        </w:rPr>
      </w:pPr>
      <w:r>
        <w:rPr>
          <w:rFonts w:ascii="Arial" w:cs="Arial" w:eastAsia="Arial" w:hAnsi="Arial"/>
          <w:sz w:val="17"/>
          <w:szCs w:val="17"/>
          <w:color w:val="auto"/>
        </w:rPr>
        <w:t>“Going forward, we are focused on our plans to open 40 more DXL stores in fiscal 2015, continuing to drive sales per square foot in our stores and growing EBITDA,” Levin concluded.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Fourth-Quarter and Full-Year Fiscal 2014 Results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w:t>
      </w:r>
    </w:p>
    <w:p>
      <w:pPr>
        <w:spacing w:after="0" w:line="19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For the fourth quarter of fiscal 2014, total sales increased to $119.6 million from $107.7 million in the fourth quarter of fiscal 2013. The increase of $11.9 million in total sales was the result of an increase in sales at DXL stores of $12.0 million. On a comparable basis, total transactions in the Company’s DXL stores were up 13.9% over the prior-year fourth quarter. The Company is seeing</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increases in store traffic as well as improved conversion of store traffic to top-line sales, both of which contributed to an overall increase in transactions.</w:t>
      </w:r>
    </w:p>
    <w:p>
      <w:pPr>
        <w:spacing w:after="0" w:line="17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For fiscal 2014, total sales increased 7.1% to $414.0 million, compared with $386.5 million for fiscal 2013. The increase of $27.5 million was primarily due to an increase in sales from DXL stores of $30.7 million, partially offset by a decrease in sales from closed Casual Male XL and Rochester stores. A 13.7% increase from the 93 comparable DXL stores drove an overall comparable sales increase of 6.4% for fiscal 2014.</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Margin</w:t>
      </w:r>
    </w:p>
    <w:p>
      <w:pPr>
        <w:spacing w:after="0" w:line="179"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For the fourth quarter of fiscal 2014, gross margin, inclusive of occupancy costs, was 47.9% compared with gross margin of 44.8% for the fourth quarter of fiscal 2013. The increase of 310 basis points was the result of a 370-basis-point decrease in occupancy costs and a 60-basis-point decrease in merchandise margins. The decrease in occupancy costs was primarily the result of a $2.5 million gain recognized in the fourth quarter of fiscal 2014 due to the early termination of the San Francisco Rochester store lease.</w:t>
      </w:r>
    </w:p>
    <w:p>
      <w:pPr>
        <w:spacing w:after="0" w:line="138"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color w:val="auto"/>
        </w:rPr>
        <w:t>Gross margin for fiscal 2014 was 45.9%, compared with 45.6% for fiscal 2013. The increase of 30 basis points for fiscal 2014 from fiscal 2013 was driven by a decrease of 130 basis points in occupancy costs, which was partially offset by a decrease in merchandise margins of 100 basis points. The 130-basis-point improvement in occupancy costs as a percentage of sales is primarily due to the early lease termination payment discussed above.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&amp; Administrative</w:t>
      </w:r>
    </w:p>
    <w:p>
      <w:pPr>
        <w:spacing w:after="0" w:line="17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SG&amp;A expenses for the fourth quarter of fiscal 2014 were 40.3% of sales, compared with 44.1% in the fourth quarter of fiscal 2013. On a dollar basis, SG&amp;A expense increased $0.7 million from the same quarter a year ago. This increase was primarily due to deferring the national advertising campaign three weeks into the fourth quarter of fiscal 2014, as well as an increase in payroll costs for 40 new DXL stores. These increases were partially offset by the fact that the fourth quarter of fiscal 2013 also included a charge of approximately $2.3 million for severance costs.</w:t>
      </w:r>
    </w:p>
    <w:p>
      <w:pPr>
        <w:spacing w:after="0" w:line="13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SG&amp;A expenses for fiscal 2014 were 42.2%, compared with 43.7% for fiscal 2013. On a dollar basis, SG&amp;A expenses for fiscal 2014 increased $5.7 million, or 3.4%, to $174.8 million, compared with SG&amp;A expenses of $169.1 million in fiscal 2013. The increase in SG&amp;A expenses of $5.7 million is principally due to a greater number of DXL stores open in fiscal 2014 compared with fiscal 2013 and, to a lesser extent, increased store payroll to support the return to standard hours in the Company’s Casual Male XL stores. Also contributing was an increase in incentive accruals and stock compensation expense, partially offset by a decrease in marketing costs compared with fiscal 2013.</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DXL Transition Costs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results for the fourth quarter of fiscal 2014 include DXL transition costs of approximately $2.2 million. These transition costs include $0.8 million of pre-opening occupancy costs and lease exit costs, $1.2 million of SG&amp;A expenses related to pre-opening payroll, training and store operations and $0.2 million related to trademark amortization. Results for the fourth quarter of fiscal 2013 included DXL transition costs of approximately $2.9 million.</w:t>
      </w:r>
    </w:p>
    <w:p>
      <w:pPr>
        <w:spacing w:after="0" w:line="133" w:lineRule="exact"/>
        <w:rPr>
          <w:sz w:val="20"/>
          <w:szCs w:val="20"/>
          <w:color w:val="auto"/>
        </w:rPr>
      </w:pPr>
    </w:p>
    <w:p>
      <w:pPr>
        <w:ind w:right="420"/>
        <w:spacing w:after="0" w:line="283" w:lineRule="auto"/>
        <w:rPr>
          <w:sz w:val="20"/>
          <w:szCs w:val="20"/>
          <w:color w:val="auto"/>
        </w:rPr>
      </w:pPr>
      <w:r>
        <w:rPr>
          <w:rFonts w:ascii="Arial" w:cs="Arial" w:eastAsia="Arial" w:hAnsi="Arial"/>
          <w:sz w:val="17"/>
          <w:szCs w:val="17"/>
          <w:color w:val="auto"/>
        </w:rPr>
        <w:t>For fiscal 2014, total transition costs were $7.8 million, compared with $11.2 million for fiscal 2013. The decrease of $3.4 million is due to a reduction in lease termination costs and store closing costs associated with closing fewer Casual Male XL stores in fiscal 2014.</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w:t>
      </w:r>
    </w:p>
    <w:p>
      <w:pPr>
        <w:spacing w:after="0" w:line="179"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In the fourth quarter of fiscal 2014, the Company discontinued its direct business with Sears Canada. Accordingly, all operating results for the Company’s direct business with Sears have been reclassified to discontinued operations for all periods. In the second quarter of fiscal 2014, the Company announced its intention to exit this business and recorded a charge of approximately $0.8 million, which is reflected in the loss from discontinued operations for fiscal 2014.</w:t>
      </w:r>
    </w:p>
    <w:p>
      <w:pPr>
        <w:sectPr>
          <w:pgSz w:w="11900" w:h="16838" w:orient="portrait"/>
          <w:cols w:equalWidth="0" w:num="1">
            <w:col w:w="11400"/>
          </w:cols>
          <w:pgMar w:left="240" w:top="644"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color w:val="auto"/>
        </w:rPr>
        <w:t>EBITDA from Continuing Operations (a Non-GAAP measure)</w:t>
      </w:r>
    </w:p>
    <w:p>
      <w:pPr>
        <w:spacing w:after="0" w:line="115" w:lineRule="exact"/>
        <w:rPr>
          <w:sz w:val="20"/>
          <w:szCs w:val="20"/>
          <w:color w:val="auto"/>
        </w:rPr>
      </w:pPr>
    </w:p>
    <w:p>
      <w:pPr>
        <w:ind w:right="80"/>
        <w:spacing w:after="0" w:line="352" w:lineRule="auto"/>
        <w:rPr>
          <w:sz w:val="20"/>
          <w:szCs w:val="20"/>
          <w:color w:val="auto"/>
        </w:rPr>
      </w:pPr>
      <w:r>
        <w:rPr>
          <w:rFonts w:ascii="Arial" w:cs="Arial" w:eastAsia="Arial" w:hAnsi="Arial"/>
          <w:sz w:val="15"/>
          <w:szCs w:val="15"/>
          <w:color w:val="auto"/>
        </w:rPr>
        <w:t>Earnings before interest, taxes, depreciation and amortization (EBITDA) from continuing operations for the fourth quarter of fiscal 2014 were $9.1 million, compared with $0.8 million for the fourth quarter of fiscal 2013. The improvement was primarily driven by an increase in sales from the same quarter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For the full year of fiscal 2014, EBITDA from continuing operations more than doubled to $15.2 million from $7.3 million for fiscal 2013.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 (Loss)</w:t>
      </w:r>
    </w:p>
    <w:p>
      <w:pPr>
        <w:spacing w:after="0" w:line="17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Net income for the fourth quarter of fiscal 2014 was $1.6 million, or $0.03 per diluted share, compared with a net loss of $(55.1) million, or $(1.14) per diluted share, for the fourth quarter of fiscal 2013. Fiscal 2013 included a charge of $51.3 million to establish a full valuation allowance against the Company’s deferred tax assets, and charges for executive severance and an asset impairment. On a non-GAAP basis, excluding the severance and impairment charges in fiscal 2013 and assuming a normal tax rate for fiscal 2014 and fiscal 2013, adjusted income from continuing operations was $0.02 per share, versus an adjusted loss from continuing operations of $(0.04) per share for the fourth quarter of fiscal 2013.</w:t>
      </w:r>
    </w:p>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net loss for fiscal 2014 was $(12.3) million, or $(0.25) per diluted share, compared with a net loss of $(59.8) million or $(1.23) per diluted share for fiscal 2013. On a non-GAAP basis, excluding the severance and impairment charges in fiscal 2013 and assuming a normal tax rate for fiscal 2014 and fiscal 2013, the adjusted loss from continuing operations was $(0.13) per share for fiscal 2014, compared with $(0.14) per share for fiscal 2013.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w:t>
      </w:r>
    </w:p>
    <w:p>
      <w:pPr>
        <w:spacing w:after="0" w:line="17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Cash flow generated from operations for fiscal 2014 was $13.8 million, compared with $24.9 million for fiscal 2013. After capital expenditures, cash flow for fiscal 2014 improved by $2.1 million to $(27.1) million from $(29.2) million for fiscal 2013. Capital expenditures for fiscal 2014 were $40.9 million, including $30.4 million for DXL store construction and $7.1 million in technology improvements and omni-channel initiatives, compared with $54.1 million for fiscal 2013. All capital expenditures are subject to ROIC hurdles.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Non-GAAP measures</w:t>
      </w:r>
    </w:p>
    <w:p>
      <w:pPr>
        <w:spacing w:after="0" w:line="192" w:lineRule="exact"/>
        <w:rPr>
          <w:sz w:val="20"/>
          <w:szCs w:val="20"/>
          <w:color w:val="auto"/>
        </w:rPr>
      </w:pPr>
    </w:p>
    <w:p>
      <w:pPr>
        <w:jc w:val="both"/>
        <w:ind w:right="240"/>
        <w:spacing w:after="0" w:line="268" w:lineRule="auto"/>
        <w:rPr>
          <w:sz w:val="20"/>
          <w:szCs w:val="20"/>
          <w:color w:val="auto"/>
        </w:rPr>
      </w:pPr>
      <w:r>
        <w:rPr>
          <w:rFonts w:ascii="Arial" w:cs="Arial" w:eastAsia="Arial" w:hAnsi="Arial"/>
          <w:sz w:val="17"/>
          <w:szCs w:val="17"/>
          <w:color w:val="auto"/>
        </w:rPr>
        <w:t>EBITDA from continuing operations, adjusted income (loss) from continuing operations, adjusted income (loss) from continuing operations per diluted share and free cash flow are non-GAAP financial measures. Please see “Non-GAAP Measures” below and a reconciliation of these non-GAAP measures to the comparable GAAP measures that follows the table below.</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 &amp; Liquidity</w:t>
      </w:r>
    </w:p>
    <w:p>
      <w:pPr>
        <w:spacing w:after="0" w:line="179" w:lineRule="exact"/>
        <w:rPr>
          <w:sz w:val="20"/>
          <w:szCs w:val="20"/>
          <w:color w:val="auto"/>
        </w:rPr>
      </w:pPr>
    </w:p>
    <w:p>
      <w:pPr>
        <w:jc w:val="both"/>
        <w:ind w:right="240"/>
        <w:spacing w:after="0" w:line="268" w:lineRule="auto"/>
        <w:rPr>
          <w:sz w:val="20"/>
          <w:szCs w:val="20"/>
          <w:color w:val="auto"/>
        </w:rPr>
      </w:pPr>
      <w:r>
        <w:rPr>
          <w:rFonts w:ascii="Arial" w:cs="Arial" w:eastAsia="Arial" w:hAnsi="Arial"/>
          <w:sz w:val="17"/>
          <w:szCs w:val="17"/>
          <w:color w:val="auto"/>
        </w:rPr>
        <w:t>At January 31, 2015, the Company had cash and cash equivalents of $4.6 million. Total debt at January 31, 2015 consisted of $19.4 million outstanding under the Company’s credit facility and approximately $34.1 million outstanding under its term loan and equipment financing notes. At January 31, 2015, the Company had $77.9 million of excess availability under its credit facility.</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Inventory was $115.2 million at January 31, 2015, compared with $105.6 million at the end of fiscal 2013. The $9.6 million increase from the fourth quarter last year is primarily due to timing of inventory receipts and the higher mix of branded product due to having more DXL stores open. Clearance inventory represented 8.4% of total inventory in the fourth quarter of 2014, compared with 10.3% of total inventory in the fourth quarter of 2013.</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Retail Store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store count, with respective square footage by store concept:</w:t>
      </w:r>
    </w:p>
    <w:p>
      <w:pPr>
        <w:spacing w:after="0" w:line="205" w:lineRule="exact"/>
        <w:rPr>
          <w:sz w:val="20"/>
          <w:szCs w:val="20"/>
          <w:color w:val="auto"/>
        </w:rPr>
      </w:pPr>
    </w:p>
    <w:p>
      <w:pPr>
        <w:ind w:left="1220"/>
        <w:spacing w:after="0"/>
        <w:tabs>
          <w:tab w:leader="none" w:pos="3740" w:val="left"/>
          <w:tab w:leader="none" w:pos="5860" w:val="left"/>
          <w:tab w:leader="none" w:pos="7960" w:val="left"/>
        </w:tabs>
        <w:rPr>
          <w:sz w:val="20"/>
          <w:szCs w:val="20"/>
          <w:color w:val="auto"/>
        </w:rPr>
      </w:pPr>
      <w:r>
        <w:rPr>
          <w:rFonts w:ascii="Arial" w:cs="Arial" w:eastAsia="Arial" w:hAnsi="Arial"/>
          <w:sz w:val="17"/>
          <w:szCs w:val="17"/>
          <w:u w:val="single" w:color="auto"/>
          <w:color w:val="auto"/>
        </w:rPr>
        <w:t>Year End 2012</w:t>
      </w:r>
      <w:r>
        <w:rPr>
          <w:sz w:val="20"/>
          <w:szCs w:val="20"/>
          <w:color w:val="auto"/>
        </w:rPr>
        <w:tab/>
      </w:r>
      <w:r>
        <w:rPr>
          <w:rFonts w:ascii="Arial" w:cs="Arial" w:eastAsia="Arial" w:hAnsi="Arial"/>
          <w:sz w:val="17"/>
          <w:szCs w:val="17"/>
          <w:u w:val="single" w:color="auto"/>
          <w:color w:val="auto"/>
        </w:rPr>
        <w:t>Year End 2013</w:t>
      </w:r>
      <w:r>
        <w:rPr>
          <w:sz w:val="20"/>
          <w:szCs w:val="20"/>
          <w:color w:val="auto"/>
        </w:rPr>
        <w:tab/>
      </w:r>
      <w:r>
        <w:rPr>
          <w:rFonts w:ascii="Arial" w:cs="Arial" w:eastAsia="Arial" w:hAnsi="Arial"/>
          <w:sz w:val="17"/>
          <w:szCs w:val="17"/>
          <w:u w:val="single" w:color="auto"/>
          <w:color w:val="auto"/>
        </w:rPr>
        <w:t>Year End 2014</w:t>
      </w:r>
      <w:r>
        <w:rPr>
          <w:sz w:val="20"/>
          <w:szCs w:val="20"/>
          <w:color w:val="auto"/>
        </w:rPr>
        <w:tab/>
      </w:r>
      <w:r>
        <w:rPr>
          <w:rFonts w:ascii="Arial" w:cs="Arial" w:eastAsia="Arial" w:hAnsi="Arial"/>
          <w:sz w:val="15"/>
          <w:szCs w:val="15"/>
          <w:u w:val="single" w:color="auto"/>
          <w:color w:val="auto"/>
        </w:rPr>
        <w:t>Year End 2015E</w:t>
      </w:r>
    </w:p>
    <w:p>
      <w:pPr>
        <w:sectPr>
          <w:pgSz w:w="11900" w:h="16838" w:orient="portrait"/>
          <w:cols w:equalWidth="0" w:num="1">
            <w:col w:w="11420"/>
          </w:cols>
          <w:pgMar w:left="240" w:top="644" w:right="239" w:bottom="1440" w:gutter="0" w:footer="0" w:header="0"/>
        </w:sectPr>
      </w:pPr>
    </w:p>
    <w:bookmarkStart w:id="6" w:name="page7"/>
    <w:bookmarkEnd w:id="6"/>
    <w:tbl>
      <w:tblPr>
        <w:tblLayout w:type="fixed"/>
        <w:tblInd w:w="120" w:type="dxa"/>
        <w:tblCellMar>
          <w:top w:w="0" w:type="dxa"/>
          <w:left w:w="0" w:type="dxa"/>
          <w:bottom w:w="0" w:type="dxa"/>
          <w:right w:w="0" w:type="dxa"/>
        </w:tblCellMar>
      </w:tblPr>
      <w:tr>
        <w:trPr>
          <w:trHeight w:val="201"/>
        </w:trPr>
        <w:tc>
          <w:tcPr>
            <w:tcW w:w="2580" w:type="dxa"/>
            <w:vAlign w:val="bottom"/>
            <w:shd w:val="clear" w:color="auto" w:fill="4F81BD"/>
          </w:tcPr>
          <w:p>
            <w:pPr>
              <w:spacing w:after="0"/>
              <w:rPr>
                <w:sz w:val="17"/>
                <w:szCs w:val="17"/>
                <w:color w:val="auto"/>
              </w:rPr>
            </w:pPr>
          </w:p>
        </w:tc>
        <w:tc>
          <w:tcPr>
            <w:tcW w:w="1120" w:type="dxa"/>
            <w:vAlign w:val="bottom"/>
            <w:shd w:val="clear" w:color="auto" w:fill="4F81BD"/>
          </w:tcPr>
          <w:p>
            <w:pPr>
              <w:jc w:val="right"/>
              <w:ind w:right="114"/>
              <w:spacing w:after="0"/>
              <w:rPr>
                <w:sz w:val="20"/>
                <w:szCs w:val="20"/>
                <w:color w:val="auto"/>
              </w:rPr>
            </w:pPr>
            <w:r>
              <w:rPr>
                <w:rFonts w:ascii="Arial" w:cs="Arial" w:eastAsia="Arial" w:hAnsi="Arial"/>
                <w:sz w:val="17"/>
                <w:szCs w:val="17"/>
                <w:b w:val="1"/>
                <w:bCs w:val="1"/>
                <w:color w:val="FFFFFF"/>
              </w:rPr>
              <w:t># of Stores</w:t>
            </w:r>
          </w:p>
        </w:tc>
        <w:tc>
          <w:tcPr>
            <w:tcW w:w="1280" w:type="dxa"/>
            <w:vAlign w:val="bottom"/>
            <w:shd w:val="clear" w:color="auto" w:fill="4F81BD"/>
          </w:tcPr>
          <w:p>
            <w:pPr>
              <w:jc w:val="right"/>
              <w:ind w:right="134"/>
              <w:spacing w:after="0"/>
              <w:rPr>
                <w:sz w:val="20"/>
                <w:szCs w:val="20"/>
                <w:color w:val="auto"/>
              </w:rPr>
            </w:pPr>
            <w:r>
              <w:rPr>
                <w:rFonts w:ascii="Arial" w:cs="Arial" w:eastAsia="Arial" w:hAnsi="Arial"/>
                <w:sz w:val="17"/>
                <w:szCs w:val="17"/>
                <w:b w:val="1"/>
                <w:bCs w:val="1"/>
                <w:color w:val="FFFFFF"/>
                <w:w w:val="98"/>
              </w:rPr>
              <w:t>Sq Ft. (000’s)</w:t>
            </w:r>
          </w:p>
        </w:tc>
        <w:tc>
          <w:tcPr>
            <w:tcW w:w="1060" w:type="dxa"/>
            <w:vAlign w:val="bottom"/>
            <w:shd w:val="clear" w:color="auto" w:fill="4F81BD"/>
          </w:tcPr>
          <w:p>
            <w:pPr>
              <w:jc w:val="right"/>
              <w:ind w:right="134"/>
              <w:spacing w:after="0"/>
              <w:rPr>
                <w:sz w:val="20"/>
                <w:szCs w:val="20"/>
                <w:color w:val="auto"/>
              </w:rPr>
            </w:pPr>
            <w:r>
              <w:rPr>
                <w:rFonts w:ascii="Arial" w:cs="Arial" w:eastAsia="Arial" w:hAnsi="Arial"/>
                <w:sz w:val="17"/>
                <w:szCs w:val="17"/>
                <w:b w:val="1"/>
                <w:bCs w:val="1"/>
                <w:color w:val="FFFFFF"/>
                <w:w w:val="93"/>
              </w:rPr>
              <w:t># of Stores</w:t>
            </w:r>
          </w:p>
        </w:tc>
        <w:tc>
          <w:tcPr>
            <w:tcW w:w="1260" w:type="dxa"/>
            <w:vAlign w:val="bottom"/>
            <w:shd w:val="clear" w:color="auto" w:fill="4F81BD"/>
          </w:tcPr>
          <w:p>
            <w:pPr>
              <w:jc w:val="right"/>
              <w:ind w:right="114"/>
              <w:spacing w:after="0"/>
              <w:rPr>
                <w:sz w:val="20"/>
                <w:szCs w:val="20"/>
                <w:color w:val="auto"/>
              </w:rPr>
            </w:pPr>
            <w:r>
              <w:rPr>
                <w:rFonts w:ascii="Arial" w:cs="Arial" w:eastAsia="Arial" w:hAnsi="Arial"/>
                <w:sz w:val="17"/>
                <w:szCs w:val="17"/>
                <w:b w:val="1"/>
                <w:bCs w:val="1"/>
                <w:color w:val="FFFFFF"/>
                <w:w w:val="98"/>
              </w:rPr>
              <w:t>Sq Ft. (000’s)</w:t>
            </w:r>
          </w:p>
        </w:tc>
        <w:tc>
          <w:tcPr>
            <w:tcW w:w="640" w:type="dxa"/>
            <w:vAlign w:val="bottom"/>
            <w:shd w:val="clear" w:color="auto" w:fill="4F81BD"/>
          </w:tcPr>
          <w:p>
            <w:pPr>
              <w:jc w:val="right"/>
              <w:ind w:right="154"/>
              <w:spacing w:after="0"/>
              <w:rPr>
                <w:sz w:val="20"/>
                <w:szCs w:val="20"/>
                <w:color w:val="auto"/>
              </w:rPr>
            </w:pPr>
            <w:r>
              <w:rPr>
                <w:rFonts w:ascii="Arial" w:cs="Arial" w:eastAsia="Arial" w:hAnsi="Arial"/>
                <w:sz w:val="17"/>
                <w:szCs w:val="17"/>
                <w:b w:val="1"/>
                <w:bCs w:val="1"/>
                <w:color w:val="FFFFFF"/>
              </w:rPr>
              <w:t># of</w:t>
            </w:r>
          </w:p>
        </w:tc>
        <w:tc>
          <w:tcPr>
            <w:tcW w:w="660" w:type="dxa"/>
            <w:vAlign w:val="bottom"/>
            <w:shd w:val="clear" w:color="auto" w:fill="4F81BD"/>
          </w:tcPr>
          <w:p>
            <w:pPr>
              <w:ind w:left="40"/>
              <w:spacing w:after="0"/>
              <w:rPr>
                <w:sz w:val="20"/>
                <w:szCs w:val="20"/>
                <w:color w:val="auto"/>
              </w:rPr>
            </w:pPr>
            <w:r>
              <w:rPr>
                <w:rFonts w:ascii="Arial" w:cs="Arial" w:eastAsia="Arial" w:hAnsi="Arial"/>
                <w:sz w:val="17"/>
                <w:szCs w:val="17"/>
                <w:b w:val="1"/>
                <w:bCs w:val="1"/>
                <w:color w:val="FFFFFF"/>
              </w:rPr>
              <w:t>Sq Ft.</w:t>
            </w:r>
          </w:p>
        </w:tc>
        <w:tc>
          <w:tcPr>
            <w:tcW w:w="680" w:type="dxa"/>
            <w:vAlign w:val="bottom"/>
            <w:shd w:val="clear" w:color="auto" w:fill="4F81BD"/>
          </w:tcPr>
          <w:p>
            <w:pPr>
              <w:jc w:val="right"/>
              <w:ind w:right="194"/>
              <w:spacing w:after="0"/>
              <w:rPr>
                <w:sz w:val="20"/>
                <w:szCs w:val="20"/>
                <w:color w:val="auto"/>
              </w:rPr>
            </w:pPr>
            <w:r>
              <w:rPr>
                <w:rFonts w:ascii="Arial" w:cs="Arial" w:eastAsia="Arial" w:hAnsi="Arial"/>
                <w:sz w:val="17"/>
                <w:szCs w:val="17"/>
                <w:b w:val="1"/>
                <w:bCs w:val="1"/>
                <w:color w:val="FFFFFF"/>
              </w:rPr>
              <w:t># of</w:t>
            </w:r>
          </w:p>
        </w:tc>
        <w:tc>
          <w:tcPr>
            <w:tcW w:w="1240" w:type="dxa"/>
            <w:vAlign w:val="bottom"/>
            <w:shd w:val="clear" w:color="auto" w:fill="4F81BD"/>
          </w:tcPr>
          <w:p>
            <w:pPr>
              <w:jc w:val="right"/>
              <w:ind w:right="94"/>
              <w:spacing w:after="0"/>
              <w:rPr>
                <w:sz w:val="20"/>
                <w:szCs w:val="20"/>
                <w:color w:val="auto"/>
              </w:rPr>
            </w:pPr>
            <w:r>
              <w:rPr>
                <w:rFonts w:ascii="Arial" w:cs="Arial" w:eastAsia="Arial" w:hAnsi="Arial"/>
                <w:sz w:val="17"/>
                <w:szCs w:val="17"/>
                <w:b w:val="1"/>
                <w:bCs w:val="1"/>
                <w:color w:val="FFFFFF"/>
                <w:w w:val="98"/>
              </w:rPr>
              <w:t>Sq Ft. (000’s)</w:t>
            </w:r>
          </w:p>
        </w:tc>
        <w:tc>
          <w:tcPr>
            <w:tcW w:w="0" w:type="dxa"/>
            <w:vAlign w:val="bottom"/>
          </w:tcPr>
          <w:p>
            <w:pPr>
              <w:spacing w:after="0"/>
              <w:rPr>
                <w:sz w:val="1"/>
                <w:szCs w:val="1"/>
                <w:color w:val="auto"/>
              </w:rPr>
            </w:pPr>
          </w:p>
        </w:tc>
      </w:tr>
      <w:tr>
        <w:trPr>
          <w:trHeight w:val="225"/>
        </w:trPr>
        <w:tc>
          <w:tcPr>
            <w:tcW w:w="2580" w:type="dxa"/>
            <w:vAlign w:val="bottom"/>
            <w:vMerge w:val="restart"/>
            <w:shd w:val="clear" w:color="auto" w:fill="4F81BD"/>
          </w:tcPr>
          <w:p>
            <w:pPr>
              <w:ind w:left="20"/>
              <w:spacing w:after="0"/>
              <w:rPr>
                <w:sz w:val="20"/>
                <w:szCs w:val="20"/>
                <w:color w:val="auto"/>
              </w:rPr>
            </w:pPr>
            <w:r>
              <w:rPr>
                <w:rFonts w:ascii="Arial" w:cs="Arial" w:eastAsia="Arial" w:hAnsi="Arial"/>
                <w:sz w:val="17"/>
                <w:szCs w:val="17"/>
                <w:b w:val="1"/>
                <w:bCs w:val="1"/>
                <w:color w:val="FFFFFF"/>
              </w:rPr>
              <w:t>Destination XL</w:t>
            </w:r>
          </w:p>
        </w:tc>
        <w:tc>
          <w:tcPr>
            <w:tcW w:w="1120" w:type="dxa"/>
            <w:vAlign w:val="bottom"/>
            <w:shd w:val="clear" w:color="auto" w:fill="4F81BD"/>
          </w:tcPr>
          <w:p>
            <w:pPr>
              <w:spacing w:after="0"/>
              <w:rPr>
                <w:sz w:val="19"/>
                <w:szCs w:val="19"/>
                <w:color w:val="auto"/>
              </w:rPr>
            </w:pPr>
          </w:p>
        </w:tc>
        <w:tc>
          <w:tcPr>
            <w:tcW w:w="1280" w:type="dxa"/>
            <w:vAlign w:val="bottom"/>
            <w:shd w:val="clear" w:color="auto" w:fill="4F81BD"/>
          </w:tcPr>
          <w:p>
            <w:pPr>
              <w:spacing w:after="0"/>
              <w:rPr>
                <w:sz w:val="19"/>
                <w:szCs w:val="19"/>
                <w:color w:val="auto"/>
              </w:rPr>
            </w:pPr>
          </w:p>
        </w:tc>
        <w:tc>
          <w:tcPr>
            <w:tcW w:w="1060" w:type="dxa"/>
            <w:vAlign w:val="bottom"/>
            <w:shd w:val="clear" w:color="auto" w:fill="4F81BD"/>
          </w:tcPr>
          <w:p>
            <w:pPr>
              <w:spacing w:after="0"/>
              <w:rPr>
                <w:sz w:val="19"/>
                <w:szCs w:val="19"/>
                <w:color w:val="auto"/>
              </w:rPr>
            </w:pPr>
          </w:p>
        </w:tc>
        <w:tc>
          <w:tcPr>
            <w:tcW w:w="1260" w:type="dxa"/>
            <w:vAlign w:val="bottom"/>
            <w:shd w:val="clear" w:color="auto" w:fill="4F81BD"/>
          </w:tcPr>
          <w:p>
            <w:pPr>
              <w:spacing w:after="0"/>
              <w:rPr>
                <w:sz w:val="19"/>
                <w:szCs w:val="19"/>
                <w:color w:val="auto"/>
              </w:rPr>
            </w:pPr>
          </w:p>
        </w:tc>
        <w:tc>
          <w:tcPr>
            <w:tcW w:w="640" w:type="dxa"/>
            <w:vAlign w:val="bottom"/>
            <w:shd w:val="clear" w:color="auto" w:fill="4F81BD"/>
          </w:tcPr>
          <w:p>
            <w:pPr>
              <w:jc w:val="right"/>
              <w:ind w:right="54"/>
              <w:spacing w:after="0"/>
              <w:rPr>
                <w:sz w:val="20"/>
                <w:szCs w:val="20"/>
                <w:color w:val="auto"/>
              </w:rPr>
            </w:pPr>
            <w:r>
              <w:rPr>
                <w:rFonts w:ascii="Arial" w:cs="Arial" w:eastAsia="Arial" w:hAnsi="Arial"/>
                <w:sz w:val="17"/>
                <w:szCs w:val="17"/>
                <w:b w:val="1"/>
                <w:bCs w:val="1"/>
                <w:color w:val="FFFFFF"/>
                <w:w w:val="90"/>
              </w:rPr>
              <w:t>Stores</w:t>
            </w:r>
          </w:p>
        </w:tc>
        <w:tc>
          <w:tcPr>
            <w:tcW w:w="660" w:type="dxa"/>
            <w:vAlign w:val="bottom"/>
            <w:shd w:val="clear" w:color="auto" w:fill="4F81BD"/>
          </w:tcPr>
          <w:p>
            <w:pPr>
              <w:ind w:left="40"/>
              <w:spacing w:after="0"/>
              <w:rPr>
                <w:sz w:val="20"/>
                <w:szCs w:val="20"/>
                <w:color w:val="auto"/>
              </w:rPr>
            </w:pPr>
            <w:r>
              <w:rPr>
                <w:rFonts w:ascii="Arial" w:cs="Arial" w:eastAsia="Arial" w:hAnsi="Arial"/>
                <w:sz w:val="17"/>
                <w:szCs w:val="17"/>
                <w:b w:val="1"/>
                <w:bCs w:val="1"/>
                <w:color w:val="FFFFFF"/>
              </w:rPr>
              <w:t>(000’s)</w:t>
            </w:r>
          </w:p>
        </w:tc>
        <w:tc>
          <w:tcPr>
            <w:tcW w:w="680" w:type="dxa"/>
            <w:vAlign w:val="bottom"/>
            <w:shd w:val="clear" w:color="auto" w:fill="4F81BD"/>
          </w:tcPr>
          <w:p>
            <w:pPr>
              <w:jc w:val="right"/>
              <w:ind w:right="94"/>
              <w:spacing w:after="0"/>
              <w:rPr>
                <w:sz w:val="20"/>
                <w:szCs w:val="20"/>
                <w:color w:val="auto"/>
              </w:rPr>
            </w:pPr>
            <w:r>
              <w:rPr>
                <w:rFonts w:ascii="Arial" w:cs="Arial" w:eastAsia="Arial" w:hAnsi="Arial"/>
                <w:sz w:val="17"/>
                <w:szCs w:val="17"/>
                <w:b w:val="1"/>
                <w:bCs w:val="1"/>
                <w:color w:val="FFFFFF"/>
                <w:w w:val="90"/>
              </w:rPr>
              <w:t>Stores</w:t>
            </w:r>
          </w:p>
        </w:tc>
        <w:tc>
          <w:tcPr>
            <w:tcW w:w="1240" w:type="dxa"/>
            <w:vAlign w:val="bottom"/>
            <w:shd w:val="clear" w:color="auto" w:fill="4F81B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80" w:type="dxa"/>
            <w:vAlign w:val="bottom"/>
            <w:vMerge w:val="continue"/>
            <w:shd w:val="clear" w:color="auto" w:fill="4F81BD"/>
          </w:tcPr>
          <w:p>
            <w:pPr>
              <w:spacing w:after="0"/>
              <w:rPr>
                <w:sz w:val="19"/>
                <w:szCs w:val="19"/>
                <w:color w:val="auto"/>
              </w:rPr>
            </w:pPr>
          </w:p>
        </w:tc>
        <w:tc>
          <w:tcPr>
            <w:tcW w:w="1120" w:type="dxa"/>
            <w:vAlign w:val="bottom"/>
            <w:shd w:val="clear" w:color="auto" w:fill="A7BFDE"/>
          </w:tcPr>
          <w:p>
            <w:pPr>
              <w:jc w:val="right"/>
              <w:spacing w:after="0"/>
              <w:rPr>
                <w:sz w:val="20"/>
                <w:szCs w:val="20"/>
                <w:color w:val="auto"/>
              </w:rPr>
            </w:pPr>
            <w:r>
              <w:rPr>
                <w:rFonts w:ascii="Arial" w:cs="Arial" w:eastAsia="Arial" w:hAnsi="Arial"/>
                <w:sz w:val="17"/>
                <w:szCs w:val="17"/>
                <w:color w:val="auto"/>
              </w:rPr>
              <w:t>48</w:t>
            </w:r>
          </w:p>
        </w:tc>
        <w:tc>
          <w:tcPr>
            <w:tcW w:w="1280" w:type="dxa"/>
            <w:vAlign w:val="bottom"/>
            <w:shd w:val="clear" w:color="auto" w:fill="A7BFDE"/>
          </w:tcPr>
          <w:p>
            <w:pPr>
              <w:jc w:val="right"/>
              <w:spacing w:after="0"/>
              <w:rPr>
                <w:sz w:val="20"/>
                <w:szCs w:val="20"/>
                <w:color w:val="auto"/>
              </w:rPr>
            </w:pPr>
            <w:r>
              <w:rPr>
                <w:rFonts w:ascii="Arial" w:cs="Arial" w:eastAsia="Arial" w:hAnsi="Arial"/>
                <w:sz w:val="17"/>
                <w:szCs w:val="17"/>
                <w:color w:val="auto"/>
              </w:rPr>
              <w:t>475</w:t>
            </w:r>
          </w:p>
        </w:tc>
        <w:tc>
          <w:tcPr>
            <w:tcW w:w="10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99</w:t>
            </w:r>
          </w:p>
        </w:tc>
        <w:tc>
          <w:tcPr>
            <w:tcW w:w="12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915</w:t>
            </w:r>
          </w:p>
        </w:tc>
        <w:tc>
          <w:tcPr>
            <w:tcW w:w="64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138</w:t>
            </w:r>
          </w:p>
        </w:tc>
        <w:tc>
          <w:tcPr>
            <w:tcW w:w="6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1,179</w:t>
            </w:r>
          </w:p>
        </w:tc>
        <w:tc>
          <w:tcPr>
            <w:tcW w:w="680" w:type="dxa"/>
            <w:vAlign w:val="bottom"/>
            <w:shd w:val="clear" w:color="auto" w:fill="A7BFDE"/>
          </w:tcPr>
          <w:p>
            <w:pPr>
              <w:jc w:val="right"/>
              <w:ind w:right="14"/>
              <w:spacing w:after="0"/>
              <w:rPr>
                <w:sz w:val="20"/>
                <w:szCs w:val="20"/>
                <w:color w:val="auto"/>
              </w:rPr>
            </w:pPr>
            <w:r>
              <w:rPr>
                <w:rFonts w:ascii="Arial" w:cs="Arial" w:eastAsia="Arial" w:hAnsi="Arial"/>
                <w:sz w:val="17"/>
                <w:szCs w:val="17"/>
                <w:color w:val="auto"/>
              </w:rPr>
              <w:t>178</w:t>
            </w:r>
          </w:p>
        </w:tc>
        <w:tc>
          <w:tcPr>
            <w:tcW w:w="124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1,460</w:t>
            </w:r>
          </w:p>
        </w:tc>
        <w:tc>
          <w:tcPr>
            <w:tcW w:w="0" w:type="dxa"/>
            <w:vAlign w:val="bottom"/>
          </w:tcPr>
          <w:p>
            <w:pPr>
              <w:spacing w:after="0"/>
              <w:rPr>
                <w:sz w:val="1"/>
                <w:szCs w:val="1"/>
                <w:color w:val="auto"/>
              </w:rPr>
            </w:pPr>
          </w:p>
        </w:tc>
      </w:tr>
      <w:tr>
        <w:trPr>
          <w:trHeight w:val="168"/>
        </w:trPr>
        <w:tc>
          <w:tcPr>
            <w:tcW w:w="2580" w:type="dxa"/>
            <w:vAlign w:val="bottom"/>
            <w:vMerge w:val="restart"/>
            <w:shd w:val="clear" w:color="auto" w:fill="4F81BD"/>
          </w:tcPr>
          <w:p>
            <w:pPr>
              <w:ind w:left="20"/>
              <w:spacing w:after="0"/>
              <w:rPr>
                <w:sz w:val="20"/>
                <w:szCs w:val="20"/>
                <w:color w:val="auto"/>
              </w:rPr>
            </w:pPr>
            <w:r>
              <w:rPr>
                <w:rFonts w:ascii="Arial" w:cs="Arial" w:eastAsia="Arial" w:hAnsi="Arial"/>
                <w:sz w:val="17"/>
                <w:szCs w:val="17"/>
                <w:b w:val="1"/>
                <w:bCs w:val="1"/>
                <w:color w:val="FFFFFF"/>
              </w:rPr>
              <w:t>Casual Male XL Retail</w:t>
            </w:r>
          </w:p>
        </w:tc>
        <w:tc>
          <w:tcPr>
            <w:tcW w:w="1120" w:type="dxa"/>
            <w:vAlign w:val="bottom"/>
            <w:shd w:val="clear" w:color="auto" w:fill="A7BFDE"/>
          </w:tcPr>
          <w:p>
            <w:pPr>
              <w:spacing w:after="0"/>
              <w:rPr>
                <w:sz w:val="14"/>
                <w:szCs w:val="14"/>
                <w:color w:val="auto"/>
              </w:rPr>
            </w:pPr>
          </w:p>
        </w:tc>
        <w:tc>
          <w:tcPr>
            <w:tcW w:w="1280" w:type="dxa"/>
            <w:vAlign w:val="bottom"/>
            <w:shd w:val="clear" w:color="auto" w:fill="A7BFDE"/>
          </w:tcPr>
          <w:p>
            <w:pPr>
              <w:spacing w:after="0"/>
              <w:rPr>
                <w:sz w:val="14"/>
                <w:szCs w:val="14"/>
                <w:color w:val="auto"/>
              </w:rPr>
            </w:pPr>
          </w:p>
        </w:tc>
        <w:tc>
          <w:tcPr>
            <w:tcW w:w="1060" w:type="dxa"/>
            <w:vAlign w:val="bottom"/>
            <w:shd w:val="clear" w:color="auto" w:fill="A7BFDE"/>
          </w:tcPr>
          <w:p>
            <w:pPr>
              <w:spacing w:after="0"/>
              <w:rPr>
                <w:sz w:val="14"/>
                <w:szCs w:val="14"/>
                <w:color w:val="auto"/>
              </w:rPr>
            </w:pPr>
          </w:p>
        </w:tc>
        <w:tc>
          <w:tcPr>
            <w:tcW w:w="1260" w:type="dxa"/>
            <w:vAlign w:val="bottom"/>
            <w:shd w:val="clear" w:color="auto" w:fill="A7BFDE"/>
          </w:tcPr>
          <w:p>
            <w:pPr>
              <w:spacing w:after="0"/>
              <w:rPr>
                <w:sz w:val="14"/>
                <w:szCs w:val="14"/>
                <w:color w:val="auto"/>
              </w:rPr>
            </w:pPr>
          </w:p>
        </w:tc>
        <w:tc>
          <w:tcPr>
            <w:tcW w:w="640" w:type="dxa"/>
            <w:vAlign w:val="bottom"/>
            <w:shd w:val="clear" w:color="auto" w:fill="A7BFDE"/>
          </w:tcPr>
          <w:p>
            <w:pPr>
              <w:spacing w:after="0"/>
              <w:rPr>
                <w:sz w:val="14"/>
                <w:szCs w:val="14"/>
                <w:color w:val="auto"/>
              </w:rPr>
            </w:pPr>
          </w:p>
        </w:tc>
        <w:tc>
          <w:tcPr>
            <w:tcW w:w="660" w:type="dxa"/>
            <w:vAlign w:val="bottom"/>
            <w:shd w:val="clear" w:color="auto" w:fill="A7BFDE"/>
          </w:tcPr>
          <w:p>
            <w:pPr>
              <w:spacing w:after="0"/>
              <w:rPr>
                <w:sz w:val="14"/>
                <w:szCs w:val="14"/>
                <w:color w:val="auto"/>
              </w:rPr>
            </w:pPr>
          </w:p>
        </w:tc>
        <w:tc>
          <w:tcPr>
            <w:tcW w:w="680" w:type="dxa"/>
            <w:vAlign w:val="bottom"/>
            <w:shd w:val="clear" w:color="auto" w:fill="A7BFDE"/>
          </w:tcPr>
          <w:p>
            <w:pPr>
              <w:spacing w:after="0"/>
              <w:rPr>
                <w:sz w:val="14"/>
                <w:szCs w:val="14"/>
                <w:color w:val="auto"/>
              </w:rPr>
            </w:pPr>
          </w:p>
        </w:tc>
        <w:tc>
          <w:tcPr>
            <w:tcW w:w="1240" w:type="dxa"/>
            <w:vAlign w:val="bottom"/>
            <w:shd w:val="clear" w:color="auto" w:fill="A7BFD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580" w:type="dxa"/>
            <w:vAlign w:val="bottom"/>
            <w:vMerge w:val="continue"/>
            <w:shd w:val="clear" w:color="auto" w:fill="4F81BD"/>
          </w:tcPr>
          <w:p>
            <w:pPr>
              <w:spacing w:after="0"/>
              <w:rPr>
                <w:sz w:val="19"/>
                <w:szCs w:val="19"/>
                <w:color w:val="auto"/>
              </w:rPr>
            </w:pPr>
          </w:p>
        </w:tc>
        <w:tc>
          <w:tcPr>
            <w:tcW w:w="1120" w:type="dxa"/>
            <w:vAlign w:val="bottom"/>
            <w:shd w:val="clear" w:color="auto" w:fill="D3DFEE"/>
          </w:tcPr>
          <w:p>
            <w:pPr>
              <w:jc w:val="right"/>
              <w:spacing w:after="0"/>
              <w:rPr>
                <w:sz w:val="20"/>
                <w:szCs w:val="20"/>
                <w:color w:val="auto"/>
              </w:rPr>
            </w:pPr>
            <w:r>
              <w:rPr>
                <w:rFonts w:ascii="Arial" w:cs="Arial" w:eastAsia="Arial" w:hAnsi="Arial"/>
                <w:sz w:val="17"/>
                <w:szCs w:val="17"/>
                <w:color w:val="auto"/>
              </w:rPr>
              <w:t>297</w:t>
            </w:r>
          </w:p>
        </w:tc>
        <w:tc>
          <w:tcPr>
            <w:tcW w:w="1280" w:type="dxa"/>
            <w:vAlign w:val="bottom"/>
            <w:shd w:val="clear" w:color="auto" w:fill="D3DFEE"/>
          </w:tcPr>
          <w:p>
            <w:pPr>
              <w:jc w:val="right"/>
              <w:spacing w:after="0"/>
              <w:rPr>
                <w:sz w:val="20"/>
                <w:szCs w:val="20"/>
                <w:color w:val="auto"/>
              </w:rPr>
            </w:pPr>
            <w:r>
              <w:rPr>
                <w:rFonts w:ascii="Arial" w:cs="Arial" w:eastAsia="Arial" w:hAnsi="Arial"/>
                <w:sz w:val="17"/>
                <w:szCs w:val="17"/>
                <w:color w:val="auto"/>
              </w:rPr>
              <w:t>1,067</w:t>
            </w:r>
          </w:p>
        </w:tc>
        <w:tc>
          <w:tcPr>
            <w:tcW w:w="1060" w:type="dxa"/>
            <w:vAlign w:val="bottom"/>
            <w:shd w:val="clear" w:color="auto" w:fill="D3DFEE"/>
          </w:tcPr>
          <w:p>
            <w:pPr>
              <w:jc w:val="right"/>
              <w:spacing w:after="0"/>
              <w:rPr>
                <w:sz w:val="20"/>
                <w:szCs w:val="20"/>
                <w:color w:val="auto"/>
              </w:rPr>
            </w:pPr>
            <w:r>
              <w:rPr>
                <w:rFonts w:ascii="Arial" w:cs="Arial" w:eastAsia="Arial" w:hAnsi="Arial"/>
                <w:sz w:val="17"/>
                <w:szCs w:val="17"/>
                <w:color w:val="auto"/>
              </w:rPr>
              <w:t>198</w:t>
            </w:r>
          </w:p>
        </w:tc>
        <w:tc>
          <w:tcPr>
            <w:tcW w:w="1260" w:type="dxa"/>
            <w:vAlign w:val="bottom"/>
            <w:shd w:val="clear" w:color="auto" w:fill="D3DFEE"/>
          </w:tcPr>
          <w:p>
            <w:pPr>
              <w:jc w:val="right"/>
              <w:spacing w:after="0"/>
              <w:rPr>
                <w:sz w:val="20"/>
                <w:szCs w:val="20"/>
                <w:color w:val="auto"/>
              </w:rPr>
            </w:pPr>
            <w:r>
              <w:rPr>
                <w:rFonts w:ascii="Arial" w:cs="Arial" w:eastAsia="Arial" w:hAnsi="Arial"/>
                <w:sz w:val="17"/>
                <w:szCs w:val="17"/>
                <w:color w:val="auto"/>
              </w:rPr>
              <w:t>713</w:t>
            </w:r>
          </w:p>
        </w:tc>
        <w:tc>
          <w:tcPr>
            <w:tcW w:w="640" w:type="dxa"/>
            <w:vAlign w:val="bottom"/>
            <w:shd w:val="clear" w:color="auto" w:fill="D3DFEE"/>
          </w:tcPr>
          <w:p>
            <w:pPr>
              <w:jc w:val="right"/>
              <w:spacing w:after="0"/>
              <w:rPr>
                <w:sz w:val="20"/>
                <w:szCs w:val="20"/>
                <w:color w:val="auto"/>
              </w:rPr>
            </w:pPr>
            <w:r>
              <w:rPr>
                <w:rFonts w:ascii="Arial" w:cs="Arial" w:eastAsia="Arial" w:hAnsi="Arial"/>
                <w:sz w:val="17"/>
                <w:szCs w:val="17"/>
                <w:color w:val="auto"/>
              </w:rPr>
              <w:t>157</w:t>
            </w:r>
          </w:p>
        </w:tc>
        <w:tc>
          <w:tcPr>
            <w:tcW w:w="660" w:type="dxa"/>
            <w:vAlign w:val="bottom"/>
            <w:shd w:val="clear" w:color="auto" w:fill="D3DFEE"/>
          </w:tcPr>
          <w:p>
            <w:pPr>
              <w:jc w:val="right"/>
              <w:spacing w:after="0"/>
              <w:rPr>
                <w:sz w:val="20"/>
                <w:szCs w:val="20"/>
                <w:color w:val="auto"/>
              </w:rPr>
            </w:pPr>
            <w:r>
              <w:rPr>
                <w:rFonts w:ascii="Arial" w:cs="Arial" w:eastAsia="Arial" w:hAnsi="Arial"/>
                <w:sz w:val="17"/>
                <w:szCs w:val="17"/>
                <w:color w:val="auto"/>
              </w:rPr>
              <w:t>557</w:t>
            </w:r>
          </w:p>
        </w:tc>
        <w:tc>
          <w:tcPr>
            <w:tcW w:w="680" w:type="dxa"/>
            <w:vAlign w:val="bottom"/>
            <w:shd w:val="clear" w:color="auto" w:fill="D3DFEE"/>
          </w:tcPr>
          <w:p>
            <w:pPr>
              <w:jc w:val="right"/>
              <w:ind w:right="14"/>
              <w:spacing w:after="0"/>
              <w:rPr>
                <w:sz w:val="20"/>
                <w:szCs w:val="20"/>
                <w:color w:val="auto"/>
              </w:rPr>
            </w:pPr>
            <w:r>
              <w:rPr>
                <w:rFonts w:ascii="Arial" w:cs="Arial" w:eastAsia="Arial" w:hAnsi="Arial"/>
                <w:sz w:val="17"/>
                <w:szCs w:val="17"/>
                <w:color w:val="auto"/>
              </w:rPr>
              <w:t>124</w:t>
            </w:r>
          </w:p>
        </w:tc>
        <w:tc>
          <w:tcPr>
            <w:tcW w:w="1240" w:type="dxa"/>
            <w:vAlign w:val="bottom"/>
            <w:shd w:val="clear" w:color="auto" w:fill="D3DFEE"/>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168"/>
        </w:trPr>
        <w:tc>
          <w:tcPr>
            <w:tcW w:w="2580" w:type="dxa"/>
            <w:vAlign w:val="bottom"/>
            <w:vMerge w:val="restart"/>
            <w:shd w:val="clear" w:color="auto" w:fill="4F81BD"/>
          </w:tcPr>
          <w:p>
            <w:pPr>
              <w:ind w:left="20"/>
              <w:spacing w:after="0"/>
              <w:rPr>
                <w:sz w:val="20"/>
                <w:szCs w:val="20"/>
                <w:color w:val="auto"/>
              </w:rPr>
            </w:pPr>
            <w:r>
              <w:rPr>
                <w:rFonts w:ascii="Arial" w:cs="Arial" w:eastAsia="Arial" w:hAnsi="Arial"/>
                <w:sz w:val="17"/>
                <w:szCs w:val="17"/>
                <w:b w:val="1"/>
                <w:bCs w:val="1"/>
                <w:color w:val="FFFFFF"/>
              </w:rPr>
              <w:t>Casual Male/DXL Outlets</w:t>
            </w:r>
          </w:p>
        </w:tc>
        <w:tc>
          <w:tcPr>
            <w:tcW w:w="1120" w:type="dxa"/>
            <w:vAlign w:val="bottom"/>
            <w:shd w:val="clear" w:color="auto" w:fill="D3DFEE"/>
          </w:tcPr>
          <w:p>
            <w:pPr>
              <w:spacing w:after="0"/>
              <w:rPr>
                <w:sz w:val="14"/>
                <w:szCs w:val="14"/>
                <w:color w:val="auto"/>
              </w:rPr>
            </w:pPr>
          </w:p>
        </w:tc>
        <w:tc>
          <w:tcPr>
            <w:tcW w:w="1280" w:type="dxa"/>
            <w:vAlign w:val="bottom"/>
            <w:shd w:val="clear" w:color="auto" w:fill="D3DFEE"/>
          </w:tcPr>
          <w:p>
            <w:pPr>
              <w:spacing w:after="0"/>
              <w:rPr>
                <w:sz w:val="14"/>
                <w:szCs w:val="14"/>
                <w:color w:val="auto"/>
              </w:rPr>
            </w:pPr>
          </w:p>
        </w:tc>
        <w:tc>
          <w:tcPr>
            <w:tcW w:w="1060" w:type="dxa"/>
            <w:vAlign w:val="bottom"/>
            <w:shd w:val="clear" w:color="auto" w:fill="D3DFEE"/>
          </w:tcPr>
          <w:p>
            <w:pPr>
              <w:spacing w:after="0"/>
              <w:rPr>
                <w:sz w:val="14"/>
                <w:szCs w:val="14"/>
                <w:color w:val="auto"/>
              </w:rPr>
            </w:pPr>
          </w:p>
        </w:tc>
        <w:tc>
          <w:tcPr>
            <w:tcW w:w="1260" w:type="dxa"/>
            <w:vAlign w:val="bottom"/>
            <w:shd w:val="clear" w:color="auto" w:fill="D3DFEE"/>
          </w:tcPr>
          <w:p>
            <w:pPr>
              <w:spacing w:after="0"/>
              <w:rPr>
                <w:sz w:val="14"/>
                <w:szCs w:val="14"/>
                <w:color w:val="auto"/>
              </w:rPr>
            </w:pPr>
          </w:p>
        </w:tc>
        <w:tc>
          <w:tcPr>
            <w:tcW w:w="640" w:type="dxa"/>
            <w:vAlign w:val="bottom"/>
            <w:shd w:val="clear" w:color="auto" w:fill="D3DFEE"/>
          </w:tcPr>
          <w:p>
            <w:pPr>
              <w:spacing w:after="0"/>
              <w:rPr>
                <w:sz w:val="14"/>
                <w:szCs w:val="14"/>
                <w:color w:val="auto"/>
              </w:rPr>
            </w:pPr>
          </w:p>
        </w:tc>
        <w:tc>
          <w:tcPr>
            <w:tcW w:w="660" w:type="dxa"/>
            <w:vAlign w:val="bottom"/>
            <w:shd w:val="clear" w:color="auto" w:fill="D3DFEE"/>
          </w:tcPr>
          <w:p>
            <w:pPr>
              <w:spacing w:after="0"/>
              <w:rPr>
                <w:sz w:val="14"/>
                <w:szCs w:val="14"/>
                <w:color w:val="auto"/>
              </w:rPr>
            </w:pPr>
          </w:p>
        </w:tc>
        <w:tc>
          <w:tcPr>
            <w:tcW w:w="680" w:type="dxa"/>
            <w:vAlign w:val="bottom"/>
            <w:shd w:val="clear" w:color="auto" w:fill="D3DFEE"/>
          </w:tcPr>
          <w:p>
            <w:pPr>
              <w:spacing w:after="0"/>
              <w:rPr>
                <w:sz w:val="14"/>
                <w:szCs w:val="14"/>
                <w:color w:val="auto"/>
              </w:rPr>
            </w:pPr>
          </w:p>
        </w:tc>
        <w:tc>
          <w:tcPr>
            <w:tcW w:w="1240" w:type="dxa"/>
            <w:vAlign w:val="bottom"/>
            <w:shd w:val="clear" w:color="auto" w:fill="D3DFE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580" w:type="dxa"/>
            <w:vAlign w:val="bottom"/>
            <w:vMerge w:val="continue"/>
            <w:shd w:val="clear" w:color="auto" w:fill="4F81BD"/>
          </w:tcPr>
          <w:p>
            <w:pPr>
              <w:spacing w:after="0"/>
              <w:rPr>
                <w:sz w:val="19"/>
                <w:szCs w:val="19"/>
                <w:color w:val="auto"/>
              </w:rPr>
            </w:pPr>
          </w:p>
        </w:tc>
        <w:tc>
          <w:tcPr>
            <w:tcW w:w="1120" w:type="dxa"/>
            <w:vAlign w:val="bottom"/>
            <w:shd w:val="clear" w:color="auto" w:fill="A7BFDE"/>
          </w:tcPr>
          <w:p>
            <w:pPr>
              <w:jc w:val="right"/>
              <w:spacing w:after="0"/>
              <w:rPr>
                <w:sz w:val="20"/>
                <w:szCs w:val="20"/>
                <w:color w:val="auto"/>
              </w:rPr>
            </w:pPr>
            <w:r>
              <w:rPr>
                <w:rFonts w:ascii="Arial" w:cs="Arial" w:eastAsia="Arial" w:hAnsi="Arial"/>
                <w:sz w:val="17"/>
                <w:szCs w:val="17"/>
                <w:color w:val="auto"/>
              </w:rPr>
              <w:t>55</w:t>
            </w:r>
          </w:p>
        </w:tc>
        <w:tc>
          <w:tcPr>
            <w:tcW w:w="128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174</w:t>
            </w:r>
          </w:p>
        </w:tc>
        <w:tc>
          <w:tcPr>
            <w:tcW w:w="10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52</w:t>
            </w:r>
          </w:p>
        </w:tc>
        <w:tc>
          <w:tcPr>
            <w:tcW w:w="12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167</w:t>
            </w:r>
          </w:p>
        </w:tc>
        <w:tc>
          <w:tcPr>
            <w:tcW w:w="640" w:type="dxa"/>
            <w:vAlign w:val="bottom"/>
            <w:shd w:val="clear" w:color="auto" w:fill="A7BFDE"/>
          </w:tcPr>
          <w:p>
            <w:pPr>
              <w:jc w:val="right"/>
              <w:spacing w:after="0"/>
              <w:rPr>
                <w:sz w:val="20"/>
                <w:szCs w:val="20"/>
                <w:color w:val="auto"/>
              </w:rPr>
            </w:pPr>
            <w:r>
              <w:rPr>
                <w:rFonts w:ascii="Arial" w:cs="Arial" w:eastAsia="Arial" w:hAnsi="Arial"/>
                <w:sz w:val="17"/>
                <w:szCs w:val="17"/>
                <w:color w:val="auto"/>
              </w:rPr>
              <w:t>50</w:t>
            </w:r>
          </w:p>
        </w:tc>
        <w:tc>
          <w:tcPr>
            <w:tcW w:w="6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165</w:t>
            </w:r>
          </w:p>
        </w:tc>
        <w:tc>
          <w:tcPr>
            <w:tcW w:w="680" w:type="dxa"/>
            <w:vAlign w:val="bottom"/>
            <w:shd w:val="clear" w:color="auto" w:fill="A7BFDE"/>
          </w:tcPr>
          <w:p>
            <w:pPr>
              <w:jc w:val="right"/>
              <w:ind w:right="14"/>
              <w:spacing w:after="0"/>
              <w:rPr>
                <w:sz w:val="20"/>
                <w:szCs w:val="20"/>
                <w:color w:val="auto"/>
              </w:rPr>
            </w:pPr>
            <w:r>
              <w:rPr>
                <w:rFonts w:ascii="Arial" w:cs="Arial" w:eastAsia="Arial" w:hAnsi="Arial"/>
                <w:sz w:val="17"/>
                <w:szCs w:val="17"/>
                <w:color w:val="auto"/>
              </w:rPr>
              <w:t>45</w:t>
            </w:r>
          </w:p>
        </w:tc>
        <w:tc>
          <w:tcPr>
            <w:tcW w:w="124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168"/>
        </w:trPr>
        <w:tc>
          <w:tcPr>
            <w:tcW w:w="2580" w:type="dxa"/>
            <w:vAlign w:val="bottom"/>
            <w:vMerge w:val="restart"/>
            <w:shd w:val="clear" w:color="auto" w:fill="4F81BD"/>
          </w:tcPr>
          <w:p>
            <w:pPr>
              <w:ind w:left="20"/>
              <w:spacing w:after="0"/>
              <w:rPr>
                <w:sz w:val="20"/>
                <w:szCs w:val="20"/>
                <w:color w:val="auto"/>
              </w:rPr>
            </w:pPr>
            <w:r>
              <w:rPr>
                <w:rFonts w:ascii="Arial" w:cs="Arial" w:eastAsia="Arial" w:hAnsi="Arial"/>
                <w:sz w:val="17"/>
                <w:szCs w:val="17"/>
                <w:b w:val="1"/>
                <w:bCs w:val="1"/>
                <w:color w:val="FFFFFF"/>
              </w:rPr>
              <w:t>Rochester Clothing</w:t>
            </w:r>
          </w:p>
        </w:tc>
        <w:tc>
          <w:tcPr>
            <w:tcW w:w="1120" w:type="dxa"/>
            <w:vAlign w:val="bottom"/>
            <w:shd w:val="clear" w:color="auto" w:fill="A7BFDE"/>
          </w:tcPr>
          <w:p>
            <w:pPr>
              <w:spacing w:after="0"/>
              <w:rPr>
                <w:sz w:val="14"/>
                <w:szCs w:val="14"/>
                <w:color w:val="auto"/>
              </w:rPr>
            </w:pPr>
          </w:p>
        </w:tc>
        <w:tc>
          <w:tcPr>
            <w:tcW w:w="1280" w:type="dxa"/>
            <w:vAlign w:val="bottom"/>
            <w:shd w:val="clear" w:color="auto" w:fill="A7BFDE"/>
          </w:tcPr>
          <w:p>
            <w:pPr>
              <w:spacing w:after="0"/>
              <w:rPr>
                <w:sz w:val="14"/>
                <w:szCs w:val="14"/>
                <w:color w:val="auto"/>
              </w:rPr>
            </w:pPr>
          </w:p>
        </w:tc>
        <w:tc>
          <w:tcPr>
            <w:tcW w:w="1060" w:type="dxa"/>
            <w:vAlign w:val="bottom"/>
            <w:shd w:val="clear" w:color="auto" w:fill="A7BFDE"/>
          </w:tcPr>
          <w:p>
            <w:pPr>
              <w:spacing w:after="0"/>
              <w:rPr>
                <w:sz w:val="14"/>
                <w:szCs w:val="14"/>
                <w:color w:val="auto"/>
              </w:rPr>
            </w:pPr>
          </w:p>
        </w:tc>
        <w:tc>
          <w:tcPr>
            <w:tcW w:w="1260" w:type="dxa"/>
            <w:vAlign w:val="bottom"/>
            <w:shd w:val="clear" w:color="auto" w:fill="A7BFDE"/>
          </w:tcPr>
          <w:p>
            <w:pPr>
              <w:spacing w:after="0"/>
              <w:rPr>
                <w:sz w:val="14"/>
                <w:szCs w:val="14"/>
                <w:color w:val="auto"/>
              </w:rPr>
            </w:pPr>
          </w:p>
        </w:tc>
        <w:tc>
          <w:tcPr>
            <w:tcW w:w="640" w:type="dxa"/>
            <w:vAlign w:val="bottom"/>
            <w:shd w:val="clear" w:color="auto" w:fill="A7BFDE"/>
          </w:tcPr>
          <w:p>
            <w:pPr>
              <w:spacing w:after="0"/>
              <w:rPr>
                <w:sz w:val="14"/>
                <w:szCs w:val="14"/>
                <w:color w:val="auto"/>
              </w:rPr>
            </w:pPr>
          </w:p>
        </w:tc>
        <w:tc>
          <w:tcPr>
            <w:tcW w:w="660" w:type="dxa"/>
            <w:vAlign w:val="bottom"/>
            <w:shd w:val="clear" w:color="auto" w:fill="A7BFDE"/>
          </w:tcPr>
          <w:p>
            <w:pPr>
              <w:spacing w:after="0"/>
              <w:rPr>
                <w:sz w:val="14"/>
                <w:szCs w:val="14"/>
                <w:color w:val="auto"/>
              </w:rPr>
            </w:pPr>
          </w:p>
        </w:tc>
        <w:tc>
          <w:tcPr>
            <w:tcW w:w="680" w:type="dxa"/>
            <w:vAlign w:val="bottom"/>
            <w:shd w:val="clear" w:color="auto" w:fill="A7BFDE"/>
          </w:tcPr>
          <w:p>
            <w:pPr>
              <w:spacing w:after="0"/>
              <w:rPr>
                <w:sz w:val="14"/>
                <w:szCs w:val="14"/>
                <w:color w:val="auto"/>
              </w:rPr>
            </w:pPr>
          </w:p>
        </w:tc>
        <w:tc>
          <w:tcPr>
            <w:tcW w:w="1240" w:type="dxa"/>
            <w:vAlign w:val="bottom"/>
            <w:shd w:val="clear" w:color="auto" w:fill="A7BFD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580" w:type="dxa"/>
            <w:vAlign w:val="bottom"/>
            <w:vMerge w:val="continue"/>
            <w:shd w:val="clear" w:color="auto" w:fill="4F81BD"/>
          </w:tcPr>
          <w:p>
            <w:pPr>
              <w:spacing w:after="0"/>
              <w:rPr>
                <w:sz w:val="19"/>
                <w:szCs w:val="19"/>
                <w:color w:val="auto"/>
              </w:rPr>
            </w:pPr>
          </w:p>
        </w:tc>
        <w:tc>
          <w:tcPr>
            <w:tcW w:w="1120" w:type="dxa"/>
            <w:vAlign w:val="bottom"/>
            <w:shd w:val="clear" w:color="auto" w:fill="D3DFEE"/>
          </w:tcPr>
          <w:p>
            <w:pPr>
              <w:jc w:val="right"/>
              <w:spacing w:after="0"/>
              <w:rPr>
                <w:sz w:val="20"/>
                <w:szCs w:val="20"/>
                <w:color w:val="auto"/>
              </w:rPr>
            </w:pPr>
            <w:r>
              <w:rPr>
                <w:rFonts w:ascii="Arial" w:cs="Arial" w:eastAsia="Arial" w:hAnsi="Arial"/>
                <w:sz w:val="17"/>
                <w:szCs w:val="17"/>
                <w:color w:val="auto"/>
              </w:rPr>
              <w:t>12</w:t>
            </w:r>
          </w:p>
        </w:tc>
        <w:tc>
          <w:tcPr>
            <w:tcW w:w="1280" w:type="dxa"/>
            <w:vAlign w:val="bottom"/>
            <w:shd w:val="clear" w:color="auto" w:fill="D3DFEE"/>
          </w:tcPr>
          <w:p>
            <w:pPr>
              <w:jc w:val="right"/>
              <w:spacing w:after="0"/>
              <w:rPr>
                <w:sz w:val="20"/>
                <w:szCs w:val="20"/>
                <w:color w:val="auto"/>
              </w:rPr>
            </w:pPr>
            <w:r>
              <w:rPr>
                <w:rFonts w:ascii="Arial" w:cs="Arial" w:eastAsia="Arial" w:hAnsi="Arial"/>
                <w:sz w:val="17"/>
                <w:szCs w:val="17"/>
                <w:color w:val="auto"/>
              </w:rPr>
              <w:t>108</w:t>
            </w:r>
          </w:p>
        </w:tc>
        <w:tc>
          <w:tcPr>
            <w:tcW w:w="1060" w:type="dxa"/>
            <w:vAlign w:val="bottom"/>
            <w:shd w:val="clear" w:color="auto" w:fill="D3DFEE"/>
          </w:tcPr>
          <w:p>
            <w:pPr>
              <w:jc w:val="right"/>
              <w:spacing w:after="0"/>
              <w:rPr>
                <w:sz w:val="20"/>
                <w:szCs w:val="20"/>
                <w:color w:val="auto"/>
              </w:rPr>
            </w:pPr>
            <w:r>
              <w:rPr>
                <w:rFonts w:ascii="Arial" w:cs="Arial" w:eastAsia="Arial" w:hAnsi="Arial"/>
                <w:sz w:val="17"/>
                <w:szCs w:val="17"/>
                <w:color w:val="auto"/>
              </w:rPr>
              <w:t>10</w:t>
            </w:r>
          </w:p>
        </w:tc>
        <w:tc>
          <w:tcPr>
            <w:tcW w:w="1260" w:type="dxa"/>
            <w:vAlign w:val="bottom"/>
            <w:shd w:val="clear" w:color="auto" w:fill="D3DFEE"/>
          </w:tcPr>
          <w:p>
            <w:pPr>
              <w:jc w:val="right"/>
              <w:spacing w:after="0"/>
              <w:rPr>
                <w:sz w:val="20"/>
                <w:szCs w:val="20"/>
                <w:color w:val="auto"/>
              </w:rPr>
            </w:pPr>
            <w:r>
              <w:rPr>
                <w:rFonts w:ascii="Arial" w:cs="Arial" w:eastAsia="Arial" w:hAnsi="Arial"/>
                <w:sz w:val="17"/>
                <w:szCs w:val="17"/>
                <w:color w:val="auto"/>
              </w:rPr>
              <w:t>88</w:t>
            </w:r>
          </w:p>
        </w:tc>
        <w:tc>
          <w:tcPr>
            <w:tcW w:w="640" w:type="dxa"/>
            <w:vAlign w:val="bottom"/>
            <w:shd w:val="clear" w:color="auto" w:fill="D3DFEE"/>
          </w:tcPr>
          <w:p>
            <w:pPr>
              <w:jc w:val="right"/>
              <w:spacing w:after="0"/>
              <w:rPr>
                <w:sz w:val="20"/>
                <w:szCs w:val="20"/>
                <w:color w:val="auto"/>
              </w:rPr>
            </w:pPr>
            <w:r>
              <w:rPr>
                <w:rFonts w:ascii="Arial" w:cs="Arial" w:eastAsia="Arial" w:hAnsi="Arial"/>
                <w:sz w:val="17"/>
                <w:szCs w:val="17"/>
                <w:color w:val="auto"/>
              </w:rPr>
              <w:t>8</w:t>
            </w:r>
          </w:p>
        </w:tc>
        <w:tc>
          <w:tcPr>
            <w:tcW w:w="660" w:type="dxa"/>
            <w:vAlign w:val="bottom"/>
            <w:shd w:val="clear" w:color="auto" w:fill="D3DFEE"/>
          </w:tcPr>
          <w:p>
            <w:pPr>
              <w:jc w:val="right"/>
              <w:spacing w:after="0"/>
              <w:rPr>
                <w:sz w:val="20"/>
                <w:szCs w:val="20"/>
                <w:color w:val="auto"/>
              </w:rPr>
            </w:pPr>
            <w:r>
              <w:rPr>
                <w:rFonts w:ascii="Arial" w:cs="Arial" w:eastAsia="Arial" w:hAnsi="Arial"/>
                <w:sz w:val="17"/>
                <w:szCs w:val="17"/>
                <w:color w:val="auto"/>
              </w:rPr>
              <w:t>74</w:t>
            </w:r>
          </w:p>
        </w:tc>
        <w:tc>
          <w:tcPr>
            <w:tcW w:w="680" w:type="dxa"/>
            <w:vAlign w:val="bottom"/>
            <w:shd w:val="clear" w:color="auto" w:fill="D3DFEE"/>
          </w:tcPr>
          <w:p>
            <w:pPr>
              <w:jc w:val="right"/>
              <w:ind w:right="14"/>
              <w:spacing w:after="0"/>
              <w:rPr>
                <w:sz w:val="20"/>
                <w:szCs w:val="20"/>
                <w:color w:val="auto"/>
              </w:rPr>
            </w:pPr>
            <w:r>
              <w:rPr>
                <w:rFonts w:ascii="Arial" w:cs="Arial" w:eastAsia="Arial" w:hAnsi="Arial"/>
                <w:sz w:val="17"/>
                <w:szCs w:val="17"/>
                <w:color w:val="auto"/>
              </w:rPr>
              <w:t>5</w:t>
            </w:r>
          </w:p>
        </w:tc>
        <w:tc>
          <w:tcPr>
            <w:tcW w:w="1240" w:type="dxa"/>
            <w:vAlign w:val="bottom"/>
            <w:shd w:val="clear" w:color="auto" w:fill="D3DFEE"/>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68"/>
        </w:trPr>
        <w:tc>
          <w:tcPr>
            <w:tcW w:w="2580" w:type="dxa"/>
            <w:vAlign w:val="bottom"/>
            <w:vMerge w:val="restart"/>
            <w:shd w:val="clear" w:color="auto" w:fill="4F81BD"/>
          </w:tcPr>
          <w:p>
            <w:pPr>
              <w:ind w:left="20"/>
              <w:spacing w:after="0"/>
              <w:rPr>
                <w:sz w:val="20"/>
                <w:szCs w:val="20"/>
                <w:color w:val="auto"/>
              </w:rPr>
            </w:pPr>
            <w:r>
              <w:rPr>
                <w:rFonts w:ascii="Arial" w:cs="Arial" w:eastAsia="Arial" w:hAnsi="Arial"/>
                <w:sz w:val="17"/>
                <w:szCs w:val="17"/>
                <w:b w:val="1"/>
                <w:bCs w:val="1"/>
                <w:color w:val="FFFFFF"/>
              </w:rPr>
              <w:t>Total</w:t>
            </w:r>
          </w:p>
        </w:tc>
        <w:tc>
          <w:tcPr>
            <w:tcW w:w="1120" w:type="dxa"/>
            <w:vAlign w:val="bottom"/>
            <w:shd w:val="clear" w:color="auto" w:fill="D3DFEE"/>
          </w:tcPr>
          <w:p>
            <w:pPr>
              <w:spacing w:after="0"/>
              <w:rPr>
                <w:sz w:val="14"/>
                <w:szCs w:val="14"/>
                <w:color w:val="auto"/>
              </w:rPr>
            </w:pPr>
          </w:p>
        </w:tc>
        <w:tc>
          <w:tcPr>
            <w:tcW w:w="1280" w:type="dxa"/>
            <w:vAlign w:val="bottom"/>
            <w:shd w:val="clear" w:color="auto" w:fill="D3DFEE"/>
          </w:tcPr>
          <w:p>
            <w:pPr>
              <w:spacing w:after="0"/>
              <w:rPr>
                <w:sz w:val="14"/>
                <w:szCs w:val="14"/>
                <w:color w:val="auto"/>
              </w:rPr>
            </w:pPr>
          </w:p>
        </w:tc>
        <w:tc>
          <w:tcPr>
            <w:tcW w:w="1060" w:type="dxa"/>
            <w:vAlign w:val="bottom"/>
            <w:shd w:val="clear" w:color="auto" w:fill="D3DFEE"/>
          </w:tcPr>
          <w:p>
            <w:pPr>
              <w:spacing w:after="0"/>
              <w:rPr>
                <w:sz w:val="14"/>
                <w:szCs w:val="14"/>
                <w:color w:val="auto"/>
              </w:rPr>
            </w:pPr>
          </w:p>
        </w:tc>
        <w:tc>
          <w:tcPr>
            <w:tcW w:w="1260" w:type="dxa"/>
            <w:vAlign w:val="bottom"/>
            <w:shd w:val="clear" w:color="auto" w:fill="D3DFEE"/>
          </w:tcPr>
          <w:p>
            <w:pPr>
              <w:spacing w:after="0"/>
              <w:rPr>
                <w:sz w:val="14"/>
                <w:szCs w:val="14"/>
                <w:color w:val="auto"/>
              </w:rPr>
            </w:pPr>
          </w:p>
        </w:tc>
        <w:tc>
          <w:tcPr>
            <w:tcW w:w="640" w:type="dxa"/>
            <w:vAlign w:val="bottom"/>
            <w:shd w:val="clear" w:color="auto" w:fill="D3DFEE"/>
          </w:tcPr>
          <w:p>
            <w:pPr>
              <w:spacing w:after="0"/>
              <w:rPr>
                <w:sz w:val="14"/>
                <w:szCs w:val="14"/>
                <w:color w:val="auto"/>
              </w:rPr>
            </w:pPr>
          </w:p>
        </w:tc>
        <w:tc>
          <w:tcPr>
            <w:tcW w:w="660" w:type="dxa"/>
            <w:vAlign w:val="bottom"/>
            <w:shd w:val="clear" w:color="auto" w:fill="D3DFEE"/>
          </w:tcPr>
          <w:p>
            <w:pPr>
              <w:spacing w:after="0"/>
              <w:rPr>
                <w:sz w:val="14"/>
                <w:szCs w:val="14"/>
                <w:color w:val="auto"/>
              </w:rPr>
            </w:pPr>
          </w:p>
        </w:tc>
        <w:tc>
          <w:tcPr>
            <w:tcW w:w="680" w:type="dxa"/>
            <w:vAlign w:val="bottom"/>
            <w:shd w:val="clear" w:color="auto" w:fill="D3DFEE"/>
          </w:tcPr>
          <w:p>
            <w:pPr>
              <w:spacing w:after="0"/>
              <w:rPr>
                <w:sz w:val="14"/>
                <w:szCs w:val="14"/>
                <w:color w:val="auto"/>
              </w:rPr>
            </w:pPr>
          </w:p>
        </w:tc>
        <w:tc>
          <w:tcPr>
            <w:tcW w:w="1240" w:type="dxa"/>
            <w:vAlign w:val="bottom"/>
            <w:shd w:val="clear" w:color="auto" w:fill="D3DFE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580" w:type="dxa"/>
            <w:vAlign w:val="bottom"/>
            <w:vMerge w:val="continue"/>
            <w:shd w:val="clear" w:color="auto" w:fill="4F81BD"/>
          </w:tcPr>
          <w:p>
            <w:pPr>
              <w:spacing w:after="0"/>
              <w:rPr>
                <w:sz w:val="19"/>
                <w:szCs w:val="19"/>
                <w:color w:val="auto"/>
              </w:rPr>
            </w:pPr>
          </w:p>
        </w:tc>
        <w:tc>
          <w:tcPr>
            <w:tcW w:w="1120" w:type="dxa"/>
            <w:vAlign w:val="bottom"/>
            <w:shd w:val="clear" w:color="auto" w:fill="A7BFDE"/>
          </w:tcPr>
          <w:p>
            <w:pPr>
              <w:jc w:val="right"/>
              <w:spacing w:after="0"/>
              <w:rPr>
                <w:sz w:val="20"/>
                <w:szCs w:val="20"/>
                <w:color w:val="auto"/>
              </w:rPr>
            </w:pPr>
            <w:r>
              <w:rPr>
                <w:rFonts w:ascii="Arial" w:cs="Arial" w:eastAsia="Arial" w:hAnsi="Arial"/>
                <w:sz w:val="17"/>
                <w:szCs w:val="17"/>
                <w:color w:val="auto"/>
              </w:rPr>
              <w:t>412</w:t>
            </w:r>
          </w:p>
        </w:tc>
        <w:tc>
          <w:tcPr>
            <w:tcW w:w="128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1,824</w:t>
            </w:r>
          </w:p>
        </w:tc>
        <w:tc>
          <w:tcPr>
            <w:tcW w:w="10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359</w:t>
            </w:r>
          </w:p>
        </w:tc>
        <w:tc>
          <w:tcPr>
            <w:tcW w:w="12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1,883</w:t>
            </w:r>
          </w:p>
        </w:tc>
        <w:tc>
          <w:tcPr>
            <w:tcW w:w="640" w:type="dxa"/>
            <w:vAlign w:val="bottom"/>
            <w:shd w:val="clear" w:color="auto" w:fill="A7BFDE"/>
          </w:tcPr>
          <w:p>
            <w:pPr>
              <w:jc w:val="right"/>
              <w:spacing w:after="0"/>
              <w:rPr>
                <w:sz w:val="20"/>
                <w:szCs w:val="20"/>
                <w:color w:val="auto"/>
              </w:rPr>
            </w:pPr>
            <w:r>
              <w:rPr>
                <w:rFonts w:ascii="Arial" w:cs="Arial" w:eastAsia="Arial" w:hAnsi="Arial"/>
                <w:sz w:val="17"/>
                <w:szCs w:val="17"/>
                <w:color w:val="auto"/>
              </w:rPr>
              <w:t>353</w:t>
            </w:r>
          </w:p>
        </w:tc>
        <w:tc>
          <w:tcPr>
            <w:tcW w:w="660" w:type="dxa"/>
            <w:vAlign w:val="bottom"/>
            <w:shd w:val="clear" w:color="auto" w:fill="A7BFDE"/>
          </w:tcPr>
          <w:p>
            <w:pPr>
              <w:jc w:val="right"/>
              <w:spacing w:after="0"/>
              <w:rPr>
                <w:sz w:val="20"/>
                <w:szCs w:val="20"/>
                <w:color w:val="auto"/>
              </w:rPr>
            </w:pPr>
            <w:r>
              <w:rPr>
                <w:rFonts w:ascii="Arial" w:cs="Arial" w:eastAsia="Arial" w:hAnsi="Arial"/>
                <w:sz w:val="17"/>
                <w:szCs w:val="17"/>
                <w:color w:val="auto"/>
              </w:rPr>
              <w:t>1,975</w:t>
            </w:r>
          </w:p>
        </w:tc>
        <w:tc>
          <w:tcPr>
            <w:tcW w:w="680" w:type="dxa"/>
            <w:vAlign w:val="bottom"/>
            <w:shd w:val="clear" w:color="auto" w:fill="A7BFDE"/>
          </w:tcPr>
          <w:p>
            <w:pPr>
              <w:jc w:val="right"/>
              <w:ind w:right="14"/>
              <w:spacing w:after="0"/>
              <w:rPr>
                <w:sz w:val="20"/>
                <w:szCs w:val="20"/>
                <w:color w:val="auto"/>
              </w:rPr>
            </w:pPr>
            <w:r>
              <w:rPr>
                <w:rFonts w:ascii="Arial" w:cs="Arial" w:eastAsia="Arial" w:hAnsi="Arial"/>
                <w:sz w:val="17"/>
                <w:szCs w:val="17"/>
                <w:color w:val="auto"/>
              </w:rPr>
              <w:t>352</w:t>
            </w:r>
          </w:p>
        </w:tc>
        <w:tc>
          <w:tcPr>
            <w:tcW w:w="1240" w:type="dxa"/>
            <w:vAlign w:val="bottom"/>
            <w:shd w:val="clear" w:color="auto" w:fill="A7BFDE"/>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168"/>
        </w:trPr>
        <w:tc>
          <w:tcPr>
            <w:tcW w:w="2580" w:type="dxa"/>
            <w:vAlign w:val="bottom"/>
            <w:shd w:val="clear" w:color="auto" w:fill="4F81BD"/>
          </w:tcPr>
          <w:p>
            <w:pPr>
              <w:spacing w:after="0"/>
              <w:rPr>
                <w:sz w:val="14"/>
                <w:szCs w:val="14"/>
                <w:color w:val="auto"/>
              </w:rPr>
            </w:pPr>
          </w:p>
        </w:tc>
        <w:tc>
          <w:tcPr>
            <w:tcW w:w="1120" w:type="dxa"/>
            <w:vAlign w:val="bottom"/>
            <w:shd w:val="clear" w:color="auto" w:fill="A7BFDE"/>
          </w:tcPr>
          <w:p>
            <w:pPr>
              <w:spacing w:after="0"/>
              <w:rPr>
                <w:sz w:val="14"/>
                <w:szCs w:val="14"/>
                <w:color w:val="auto"/>
              </w:rPr>
            </w:pPr>
          </w:p>
        </w:tc>
        <w:tc>
          <w:tcPr>
            <w:tcW w:w="1280" w:type="dxa"/>
            <w:vAlign w:val="bottom"/>
            <w:shd w:val="clear" w:color="auto" w:fill="A7BFDE"/>
          </w:tcPr>
          <w:p>
            <w:pPr>
              <w:spacing w:after="0"/>
              <w:rPr>
                <w:sz w:val="14"/>
                <w:szCs w:val="14"/>
                <w:color w:val="auto"/>
              </w:rPr>
            </w:pPr>
          </w:p>
        </w:tc>
        <w:tc>
          <w:tcPr>
            <w:tcW w:w="1060" w:type="dxa"/>
            <w:vAlign w:val="bottom"/>
            <w:shd w:val="clear" w:color="auto" w:fill="A7BFDE"/>
          </w:tcPr>
          <w:p>
            <w:pPr>
              <w:spacing w:after="0"/>
              <w:rPr>
                <w:sz w:val="14"/>
                <w:szCs w:val="14"/>
                <w:color w:val="auto"/>
              </w:rPr>
            </w:pPr>
          </w:p>
        </w:tc>
        <w:tc>
          <w:tcPr>
            <w:tcW w:w="1260" w:type="dxa"/>
            <w:vAlign w:val="bottom"/>
            <w:shd w:val="clear" w:color="auto" w:fill="A7BFDE"/>
          </w:tcPr>
          <w:p>
            <w:pPr>
              <w:spacing w:after="0"/>
              <w:rPr>
                <w:sz w:val="14"/>
                <w:szCs w:val="14"/>
                <w:color w:val="auto"/>
              </w:rPr>
            </w:pPr>
          </w:p>
        </w:tc>
        <w:tc>
          <w:tcPr>
            <w:tcW w:w="640" w:type="dxa"/>
            <w:vAlign w:val="bottom"/>
            <w:shd w:val="clear" w:color="auto" w:fill="A7BFDE"/>
          </w:tcPr>
          <w:p>
            <w:pPr>
              <w:spacing w:after="0"/>
              <w:rPr>
                <w:sz w:val="14"/>
                <w:szCs w:val="14"/>
                <w:color w:val="auto"/>
              </w:rPr>
            </w:pPr>
          </w:p>
        </w:tc>
        <w:tc>
          <w:tcPr>
            <w:tcW w:w="660" w:type="dxa"/>
            <w:vAlign w:val="bottom"/>
            <w:shd w:val="clear" w:color="auto" w:fill="A7BFDE"/>
          </w:tcPr>
          <w:p>
            <w:pPr>
              <w:spacing w:after="0"/>
              <w:rPr>
                <w:sz w:val="14"/>
                <w:szCs w:val="14"/>
                <w:color w:val="auto"/>
              </w:rPr>
            </w:pPr>
          </w:p>
        </w:tc>
        <w:tc>
          <w:tcPr>
            <w:tcW w:w="680" w:type="dxa"/>
            <w:vAlign w:val="bottom"/>
            <w:shd w:val="clear" w:color="auto" w:fill="A7BFDE"/>
          </w:tcPr>
          <w:p>
            <w:pPr>
              <w:spacing w:after="0"/>
              <w:rPr>
                <w:sz w:val="14"/>
                <w:szCs w:val="14"/>
                <w:color w:val="auto"/>
              </w:rPr>
            </w:pPr>
          </w:p>
        </w:tc>
        <w:tc>
          <w:tcPr>
            <w:tcW w:w="1240" w:type="dxa"/>
            <w:vAlign w:val="bottom"/>
            <w:shd w:val="clear" w:color="auto" w:fill="A7BFDE"/>
          </w:tcPr>
          <w:p>
            <w:pPr>
              <w:spacing w:after="0"/>
              <w:rPr>
                <w:sz w:val="14"/>
                <w:szCs w:val="1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228600</wp:posOffset>
            </wp:positionH>
            <wp:positionV relativeFrom="page">
              <wp:posOffset>351155</wp:posOffset>
            </wp:positionV>
            <wp:extent cx="6686550" cy="1509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0" cy="15093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u w:val="single" w:color="auto"/>
          <w:color w:val="auto"/>
        </w:rPr>
        <w:t>Update on the DXL Rollout</w:t>
      </w:r>
    </w:p>
    <w:p>
      <w:pPr>
        <w:spacing w:after="0" w:line="185"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The Company expects to open 40 DXL stores in fiscal 2015 and another 30 DXL stores in fiscal 2016. By the end of fiscal 2016, the Company will have opened approximately 210 new DXL stores and will have closed or converted most of its Casual Male XL stores. Following fiscal 2016, the pace of new DXL store openings will be approximately 20 per year for the next several years.</w:t>
      </w:r>
    </w:p>
    <w:p>
      <w:pPr>
        <w:spacing w:after="0" w:line="14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Company anticipates that fiscal 2015 will be a transformational year with respect to EBITDA growth, as its DXL stores will account for almost 70% of the Company’s total retail square footage and its operational leverage will continue to increase. Below, the Company is providing detailed guidance for fiscal 2015, which includes sales in the range of $438.0 to $443.0 million and EBITDA in the range of $19.0 to $23.0 million. Although the Company is not yet prepared to provide detailed guidance for fiscal 2016, the current outlook for fiscal 2016 is sales of approximately $470.0 million and EBITDA of approximately $35.0 million. This outlook is based on a much larger sales base leveraged against a modest increase in SG&amp;A, with a slight improvement in gross margin rates.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2015 Outlook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w:t>
      </w:r>
    </w:p>
    <w:p>
      <w:pPr>
        <w:spacing w:after="0" w:line="192" w:lineRule="exact"/>
        <w:rPr>
          <w:sz w:val="20"/>
          <w:szCs w:val="20"/>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Total sales in the range of $438.0 to $443.0 million.</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total comparable sales increase of approximately 5.6%.</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margin of approximately 45.9%.</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SG&amp;A costs of approximately $181.5 million.</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Depreciation and amortization expense of approximately $28.5 million.</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Interest expense of approximately $3.8 million.</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EBITDA in the range of $19.0 to $23.0 million.</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margin loss of between (2.2%) and (1.2%).</w:t>
      </w:r>
    </w:p>
    <w:p>
      <w:pPr>
        <w:spacing w:after="0" w:line="179" w:lineRule="exact"/>
        <w:rPr>
          <w:rFonts w:ascii="Arial" w:cs="Arial" w:eastAsia="Arial" w:hAnsi="Arial"/>
          <w:sz w:val="17"/>
          <w:szCs w:val="17"/>
          <w:color w:val="auto"/>
        </w:rPr>
      </w:pPr>
    </w:p>
    <w:p>
      <w:pPr>
        <w:ind w:left="760" w:hanging="377"/>
        <w:spacing w:after="0" w:line="263"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net loss of $(0.20) to $(0.27) per diluted share, or $(0.12) to $(0.16) per diluted share on a non-GAAP basis. This guidance is presented on a non-GAAP basis for comparative purposes to fiscal 2014 earnings, assuming a normal tax benefit of approximately 40%. The Company expects to continue to provide a full valuation allowance against its deferred tax assets in fiscal 2015 and will not recognize any income tax benefit on its operating loss in fiscal 2015.</w:t>
      </w:r>
    </w:p>
    <w:p>
      <w:pPr>
        <w:spacing w:after="0" w:line="138"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open approximately 40 DXL stores and close approximately 40 Casual Male XL and Rochester Clothing stores.</w:t>
      </w:r>
    </w:p>
    <w:p>
      <w:pPr>
        <w:spacing w:after="0" w:line="179" w:lineRule="exact"/>
        <w:rPr>
          <w:rFonts w:ascii="Arial" w:cs="Arial" w:eastAsia="Arial" w:hAnsi="Arial"/>
          <w:sz w:val="17"/>
          <w:szCs w:val="17"/>
          <w:color w:val="auto"/>
        </w:rPr>
      </w:pPr>
    </w:p>
    <w:p>
      <w:pPr>
        <w:ind w:left="760" w:hanging="377"/>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 expenditures, net of tenant allowances, of approximately $33.0 to $35.0 million.</w:t>
      </w:r>
    </w:p>
    <w:p>
      <w:pPr>
        <w:sectPr>
          <w:pgSz w:w="11900" w:h="16838" w:orient="portrait"/>
          <w:cols w:equalWidth="0" w:num="1">
            <w:col w:w="11400"/>
          </w:cols>
          <w:pgMar w:left="240" w:top="553" w:right="259" w:bottom="1440" w:gutter="0" w:footer="0" w:header="0"/>
        </w:sectPr>
      </w:pPr>
    </w:p>
    <w:bookmarkStart w:id="7" w:name="page8"/>
    <w:bookmarkEnd w:id="7"/>
    <w:p>
      <w:pPr>
        <w:jc w:val="both"/>
        <w:ind w:left="760" w:right="260" w:hanging="377"/>
        <w:spacing w:after="0" w:line="352" w:lineRule="auto"/>
        <w:tabs>
          <w:tab w:leader="none" w:pos="7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Borrowings at the end of fiscal 2015 in the range of $72.0 to $76.0 million consisting of $45.3 to $49.3 million under the credit facility, a term loan of approximately $13.8 million, and equipment financing notes of approximately $12.9 million. Free cash flow in the range of $(18.5) to $(22.5) million.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224"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Company will hold a conference call to review its financial results today, Wednesday, March 25, 2015 at 9:00 a.m. ET. To listen to the live webcast, visit the "</w:t>
      </w:r>
      <w:r>
        <w:rPr>
          <w:rFonts w:ascii="Arial" w:cs="Arial" w:eastAsia="Arial" w:hAnsi="Arial"/>
          <w:sz w:val="16"/>
          <w:szCs w:val="16"/>
          <w:u w:val="single" w:color="auto"/>
          <w:color w:val="auto"/>
        </w:rPr>
        <w:t>Investor Relations</w:t>
      </w:r>
      <w:r>
        <w:rPr>
          <w:rFonts w:ascii="Arial" w:cs="Arial" w:eastAsia="Arial" w:hAnsi="Arial"/>
          <w:sz w:val="16"/>
          <w:szCs w:val="16"/>
          <w:color w:val="auto"/>
        </w:rPr>
        <w:t>" section of the Company's website. The live call also can be accessed by dialing: (888) 503-8175. Please reference conference ID: 5991277. An archived version of the webcast may be accessed by visiting the "</w:t>
      </w:r>
      <w:r>
        <w:rPr>
          <w:rFonts w:ascii="Arial" w:cs="Arial" w:eastAsia="Arial" w:hAnsi="Arial"/>
          <w:sz w:val="16"/>
          <w:szCs w:val="16"/>
          <w:u w:val="single" w:color="auto"/>
          <w:color w:val="auto"/>
        </w:rPr>
        <w:t>Events</w:t>
      </w:r>
      <w:r>
        <w:rPr>
          <w:rFonts w:ascii="Arial" w:cs="Arial" w:eastAsia="Arial" w:hAnsi="Arial"/>
          <w:sz w:val="16"/>
          <w:szCs w:val="16"/>
          <w:color w:val="auto"/>
        </w:rPr>
        <w:t>" section of the Company's website for up to one year.</w:t>
      </w:r>
    </w:p>
    <w:p>
      <w:pPr>
        <w:spacing w:after="0" w:line="117" w:lineRule="exact"/>
        <w:rPr>
          <w:sz w:val="20"/>
          <w:szCs w:val="20"/>
          <w:color w:val="auto"/>
        </w:rPr>
      </w:pPr>
    </w:p>
    <w:p>
      <w:pPr>
        <w:ind w:right="120"/>
        <w:spacing w:after="0" w:line="352"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Measures</w:t>
      </w:r>
    </w:p>
    <w:p>
      <w:pPr>
        <w:spacing w:after="0" w:line="19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this press release refers to free cash flow; EBITDA from continuing operations; adjusted income (loss) from continuing operations and adjusted income (loss) from continuing operations per diluted share, which are non-GAAP measures. The presentation of these non-GAAP measures is not in accordance with GAAP, and should not be considered superior to or as a substitute for net income (loss), earnings (loss) per diluted share, income (loss) from continuing operations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13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Company calculates free cash flow as cash flow from operating activities less capital expenditures and less discretionary store asset acquisitions, if applicable. EBITDA is calculated as earnings before interest, taxes, depreciation and amortization. EBITDA from continuing operations is calculated as EBITDA before discontinued operations. Adjusted income (loss) from continuing operations and adjusted income (loss) from continuing operations have been adjusted for a normal tax rate and to exclude charges for executive severance and asset impairment in fiscal 2013. Reconciliations of these non-GAAP measures to their comparable GAAP measures are provided in the tables below.</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Destination XL Group, Inc.</w:t>
      </w:r>
    </w:p>
    <w:p>
      <w:pPr>
        <w:spacing w:after="0" w:line="19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www.destinationxl.com and www.bigandtall.com.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22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i w:val="1"/>
          <w:iCs w:val="1"/>
          <w:color w:val="auto"/>
        </w:rPr>
        <w:t>Certain statements and information contained in this press release constitute forward-looking statements under the federal securities laws, including statements regarding the Company’s expectations with respect to long-term benefit of its omni-channel approach and its cash flows, operating and gross profit margins, sales per square foot, store counts, pace of store openings, costs, capital expenditures, borrowings, sales, EBITDA, profitability and earnings expectations for fiscal 2015 and fiscal 2016. The discussion of</w:t>
      </w:r>
    </w:p>
    <w:p>
      <w:pPr>
        <w:sectPr>
          <w:pgSz w:w="11900" w:h="16838" w:orient="portrait"/>
          <w:cols w:equalWidth="0" w:num="1">
            <w:col w:w="11380"/>
          </w:cols>
          <w:pgMar w:left="240" w:top="541" w:right="27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6"/>
          <w:szCs w:val="16"/>
          <w:i w:val="1"/>
          <w:iCs w:val="1"/>
          <w:color w:val="auto"/>
        </w:rPr>
        <w:t>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17, 2014,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29" w:lineRule="exact"/>
        <w:rPr>
          <w:sz w:val="20"/>
          <w:szCs w:val="20"/>
          <w:color w:val="auto"/>
        </w:rPr>
      </w:pPr>
    </w:p>
    <w:p>
      <w:pPr>
        <w:ind w:right="220"/>
        <w:spacing w:after="0" w:line="352"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00"/>
          </w:cols>
          <w:pgMar w:left="240" w:top="541"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color w:val="auto"/>
        </w:rPr>
        <w:t>DESTINATION XL GROUP,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STATEMENTS OF OPERATIONS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5"/>
          </w:tcPr>
          <w:p>
            <w:pPr>
              <w:jc w:val="right"/>
              <w:ind w:right="1120"/>
              <w:spacing w:after="0"/>
              <w:rPr>
                <w:sz w:val="20"/>
                <w:szCs w:val="20"/>
                <w:color w:val="auto"/>
              </w:rPr>
            </w:pPr>
            <w:r>
              <w:rPr>
                <w:rFonts w:ascii="Arial" w:cs="Arial" w:eastAsia="Arial" w:hAnsi="Arial"/>
                <w:sz w:val="14"/>
                <w:szCs w:val="14"/>
                <w:color w:val="auto"/>
              </w:rPr>
              <w:t>For the three months ended</w:t>
            </w:r>
          </w:p>
        </w:tc>
        <w:tc>
          <w:tcPr>
            <w:tcW w:w="180" w:type="dxa"/>
            <w:vAlign w:val="bottom"/>
          </w:tcPr>
          <w:p>
            <w:pPr>
              <w:spacing w:after="0"/>
              <w:rPr>
                <w:sz w:val="14"/>
                <w:szCs w:val="14"/>
                <w:color w:val="auto"/>
              </w:rPr>
            </w:pPr>
          </w:p>
        </w:tc>
        <w:tc>
          <w:tcPr>
            <w:tcW w:w="3140" w:type="dxa"/>
            <w:vAlign w:val="bottom"/>
            <w:gridSpan w:val="5"/>
          </w:tcPr>
          <w:p>
            <w:pPr>
              <w:jc w:val="right"/>
              <w:ind w:right="903"/>
              <w:spacing w:after="0"/>
              <w:rPr>
                <w:sz w:val="20"/>
                <w:szCs w:val="20"/>
                <w:color w:val="auto"/>
              </w:rPr>
            </w:pPr>
            <w:r>
              <w:rPr>
                <w:rFonts w:ascii="Arial" w:cs="Arial" w:eastAsia="Arial" w:hAnsi="Arial"/>
                <w:sz w:val="14"/>
                <w:szCs w:val="14"/>
                <w:color w:val="auto"/>
              </w:rPr>
              <w:t>For the fiscal year ended</w:t>
            </w:r>
          </w:p>
        </w:tc>
        <w:tc>
          <w:tcPr>
            <w:tcW w:w="0" w:type="dxa"/>
            <w:vAlign w:val="bottom"/>
          </w:tcPr>
          <w:p>
            <w:pPr>
              <w:spacing w:after="0"/>
              <w:rPr>
                <w:sz w:val="1"/>
                <w:szCs w:val="1"/>
                <w:color w:val="auto"/>
              </w:rPr>
            </w:pPr>
          </w:p>
        </w:tc>
      </w:tr>
      <w:tr>
        <w:trPr>
          <w:trHeight w:val="161"/>
        </w:trPr>
        <w:tc>
          <w:tcPr>
            <w:tcW w:w="36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w w:val="97"/>
              </w:rPr>
              <w:t>January 31, 2015</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w w:val="95"/>
              </w:rPr>
              <w:t>February 1, 2014</w:t>
            </w: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color w:val="auto"/>
                <w:w w:val="94"/>
              </w:rPr>
              <w:t>January 31, 2015</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w w:val="99"/>
              </w:rPr>
              <w:t>February 1, 2014</w:t>
            </w:r>
          </w:p>
        </w:tc>
        <w:tc>
          <w:tcPr>
            <w:tcW w:w="0" w:type="dxa"/>
            <w:vAlign w:val="bottom"/>
          </w:tcPr>
          <w:p>
            <w:pPr>
              <w:spacing w:after="0"/>
              <w:rPr>
                <w:sz w:val="1"/>
                <w:szCs w:val="1"/>
                <w:color w:val="auto"/>
              </w:rPr>
            </w:pPr>
          </w:p>
        </w:tc>
      </w:tr>
      <w:tr>
        <w:trPr>
          <w:trHeight w:val="20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119,559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107,689</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414,020</w:t>
            </w: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386,495</w:t>
            </w:r>
          </w:p>
        </w:tc>
        <w:tc>
          <w:tcPr>
            <w:tcW w:w="0" w:type="dxa"/>
            <w:vAlign w:val="bottom"/>
          </w:tcPr>
          <w:p>
            <w:pPr>
              <w:spacing w:after="0"/>
              <w:rPr>
                <w:sz w:val="1"/>
                <w:szCs w:val="1"/>
                <w:color w:val="auto"/>
              </w:rPr>
            </w:pPr>
          </w:p>
        </w:tc>
      </w:tr>
      <w:tr>
        <w:trPr>
          <w:trHeight w:val="204"/>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9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62,293</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59,429</w:t>
            </w:r>
          </w:p>
        </w:tc>
        <w:tc>
          <w:tcPr>
            <w:tcW w:w="1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224,006</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210,139</w:t>
            </w:r>
          </w:p>
        </w:tc>
        <w:tc>
          <w:tcPr>
            <w:tcW w:w="0" w:type="dxa"/>
            <w:vAlign w:val="bottom"/>
          </w:tcPr>
          <w:p>
            <w:pPr>
              <w:spacing w:after="0"/>
              <w:rPr>
                <w:sz w:val="1"/>
                <w:szCs w:val="1"/>
                <w:color w:val="auto"/>
              </w:rPr>
            </w:pPr>
          </w:p>
        </w:tc>
      </w:tr>
      <w:tr>
        <w:trPr>
          <w:trHeight w:val="202"/>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57,266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190,014</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176,356</w:t>
            </w:r>
          </w:p>
        </w:tc>
        <w:tc>
          <w:tcPr>
            <w:tcW w:w="0" w:type="dxa"/>
            <w:vAlign w:val="bottom"/>
          </w:tcPr>
          <w:p>
            <w:pPr>
              <w:spacing w:after="0"/>
              <w:rPr>
                <w:sz w:val="1"/>
                <w:szCs w:val="1"/>
                <w:color w:val="auto"/>
              </w:rPr>
            </w:pPr>
          </w:p>
        </w:tc>
      </w:tr>
      <w:tr>
        <w:trPr>
          <w:trHeight w:val="207"/>
        </w:trPr>
        <w:tc>
          <w:tcPr>
            <w:tcW w:w="3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8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48,212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47,485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174,814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169,062</w:t>
            </w: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7,291</w:t>
            </w: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24,002</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20,841</w:t>
            </w:r>
          </w:p>
        </w:tc>
        <w:tc>
          <w:tcPr>
            <w:tcW w:w="0" w:type="dxa"/>
            <w:vAlign w:val="bottom"/>
          </w:tcPr>
          <w:p>
            <w:pPr>
              <w:spacing w:after="0"/>
              <w:rPr>
                <w:sz w:val="1"/>
                <w:szCs w:val="1"/>
                <w:color w:val="auto"/>
              </w:rPr>
            </w:pPr>
          </w:p>
        </w:tc>
      </w:tr>
      <w:tr>
        <w:trPr>
          <w:trHeight w:val="197"/>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9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55,045</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54,775</w:t>
            </w:r>
          </w:p>
        </w:tc>
        <w:tc>
          <w:tcPr>
            <w:tcW w:w="1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198,816</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189,903</w:t>
            </w:r>
          </w:p>
        </w:tc>
        <w:tc>
          <w:tcPr>
            <w:tcW w:w="0" w:type="dxa"/>
            <w:vAlign w:val="bottom"/>
          </w:tcPr>
          <w:p>
            <w:pPr>
              <w:spacing w:after="0"/>
              <w:rPr>
                <w:sz w:val="1"/>
                <w:szCs w:val="1"/>
                <w:color w:val="auto"/>
              </w:rPr>
            </w:pPr>
          </w:p>
        </w:tc>
      </w:tr>
      <w:tr>
        <w:trPr>
          <w:trHeight w:val="202"/>
        </w:trPr>
        <w:tc>
          <w:tcPr>
            <w:tcW w:w="36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80" w:type="dxa"/>
            <w:vAlign w:val="bottom"/>
          </w:tcPr>
          <w:p>
            <w:pPr>
              <w:spacing w:after="0"/>
              <w:rPr>
                <w:sz w:val="20"/>
                <w:szCs w:val="20"/>
                <w:color w:val="auto"/>
              </w:rPr>
            </w:pPr>
            <w:r>
              <w:rPr>
                <w:rFonts w:ascii="Arial" w:cs="Arial" w:eastAsia="Arial" w:hAnsi="Arial"/>
                <w:sz w:val="16"/>
                <w:szCs w:val="16"/>
                <w:color w:val="auto"/>
              </w:rPr>
              <w:t>Operating income (loss)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(6,516)</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(8,802)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(13,547</w:t>
            </w: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80" w:type="dxa"/>
            <w:vAlign w:val="bottom"/>
          </w:tcPr>
          <w:p>
            <w:pPr>
              <w:spacing w:after="0"/>
              <w:rPr>
                <w:sz w:val="20"/>
                <w:szCs w:val="20"/>
                <w:color w:val="auto"/>
              </w:rPr>
            </w:pPr>
            <w:r>
              <w:rPr>
                <w:rFonts w:ascii="Arial" w:cs="Arial" w:eastAsia="Arial" w:hAnsi="Arial"/>
                <w:sz w:val="16"/>
                <w:szCs w:val="16"/>
                <w:color w:val="auto"/>
              </w:rPr>
              <w:t>Interest expense, net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(764)</w:t>
            </w:r>
          </w:p>
        </w:tc>
        <w:tc>
          <w:tcPr>
            <w:tcW w:w="1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(347)</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(2,132)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02"/>
        </w:trPr>
        <w:tc>
          <w:tcPr>
            <w:tcW w:w="36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8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80" w:type="dxa"/>
            <w:vAlign w:val="bottom"/>
          </w:tcPr>
          <w:p>
            <w:pPr>
              <w:spacing w:after="0"/>
              <w:rPr>
                <w:sz w:val="20"/>
                <w:szCs w:val="20"/>
                <w:color w:val="auto"/>
              </w:rPr>
            </w:pPr>
            <w:r>
              <w:rPr>
                <w:rFonts w:ascii="Arial" w:cs="Arial" w:eastAsia="Arial" w:hAnsi="Arial"/>
                <w:sz w:val="16"/>
                <w:szCs w:val="16"/>
                <w:color w:val="auto"/>
              </w:rPr>
              <w:t>before provision for income taxes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1,457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(6,863)</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(10,934)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(14,593</w:t>
            </w: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48,769</w:t>
            </w:r>
          </w:p>
        </w:tc>
        <w:tc>
          <w:tcPr>
            <w:tcW w:w="1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45,661</w:t>
            </w:r>
          </w:p>
        </w:tc>
        <w:tc>
          <w:tcPr>
            <w:tcW w:w="0" w:type="dxa"/>
            <w:vAlign w:val="bottom"/>
          </w:tcPr>
          <w:p>
            <w:pPr>
              <w:spacing w:after="0"/>
              <w:rPr>
                <w:sz w:val="1"/>
                <w:szCs w:val="1"/>
                <w:color w:val="auto"/>
              </w:rPr>
            </w:pPr>
          </w:p>
        </w:tc>
      </w:tr>
      <w:tr>
        <w:trPr>
          <w:trHeight w:val="202"/>
        </w:trPr>
        <w:tc>
          <w:tcPr>
            <w:tcW w:w="36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8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1,387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(55,632)</w:t>
            </w:r>
          </w:p>
        </w:tc>
        <w:tc>
          <w:tcPr>
            <w:tcW w:w="1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(11,177)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(60,254</w:t>
            </w: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discontinued operations</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1,554</w:t>
            </w:r>
          </w:p>
        </w:tc>
        <w:tc>
          <w:tcPr>
            <w:tcW w:w="24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(55,147)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(12,295)</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(59,786</w:t>
            </w:r>
          </w:p>
        </w:tc>
        <w:tc>
          <w:tcPr>
            <w:tcW w:w="0" w:type="dxa"/>
            <w:vAlign w:val="bottom"/>
          </w:tcPr>
          <w:p>
            <w:pPr>
              <w:spacing w:after="0"/>
              <w:rPr>
                <w:sz w:val="1"/>
                <w:szCs w:val="1"/>
                <w:color w:val="auto"/>
              </w:rPr>
            </w:pPr>
          </w:p>
        </w:tc>
      </w:tr>
      <w:tr>
        <w:trPr>
          <w:trHeight w:val="188"/>
        </w:trPr>
        <w:tc>
          <w:tcPr>
            <w:tcW w:w="368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 per share -basic and diluted</w:t>
            </w:r>
          </w:p>
        </w:tc>
        <w:tc>
          <w:tcPr>
            <w:tcW w:w="1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0"/>
        </w:trPr>
        <w:tc>
          <w:tcPr>
            <w:tcW w:w="3920" w:type="dxa"/>
            <w:vAlign w:val="bottom"/>
          </w:tcPr>
          <w:p>
            <w:pPr>
              <w:ind w:left="120"/>
              <w:spacing w:after="0"/>
              <w:rPr>
                <w:sz w:val="20"/>
                <w:szCs w:val="20"/>
                <w:color w:val="auto"/>
              </w:rPr>
            </w:pPr>
            <w:r>
              <w:rPr>
                <w:rFonts w:ascii="Arial" w:cs="Arial" w:eastAsia="Arial" w:hAnsi="Arial"/>
                <w:sz w:val="17"/>
                <w:szCs w:val="17"/>
                <w:color w:val="auto"/>
              </w:rPr>
              <w:t>Income (loss) from continuing operations</w:t>
            </w:r>
          </w:p>
        </w:tc>
        <w:tc>
          <w:tcPr>
            <w:tcW w:w="14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0.03</w:t>
            </w:r>
          </w:p>
        </w:tc>
        <w:tc>
          <w:tcPr>
            <w:tcW w:w="74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(1.15)</w:t>
            </w:r>
          </w:p>
        </w:tc>
        <w:tc>
          <w:tcPr>
            <w:tcW w:w="6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(0.23)</w:t>
            </w:r>
          </w:p>
        </w:tc>
        <w:tc>
          <w:tcPr>
            <w:tcW w:w="76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20"/>
        </w:trPr>
        <w:tc>
          <w:tcPr>
            <w:tcW w:w="39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Income (loss) from discontinued operations</w:t>
            </w:r>
          </w:p>
        </w:tc>
        <w:tc>
          <w:tcPr>
            <w:tcW w:w="144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4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0.01</w:t>
            </w:r>
          </w:p>
        </w:tc>
        <w:tc>
          <w:tcPr>
            <w:tcW w:w="680" w:type="dxa"/>
            <w:vAlign w:val="bottom"/>
            <w:shd w:val="clear" w:color="auto" w:fill="CFF0FC"/>
          </w:tcPr>
          <w:p>
            <w:pPr>
              <w:jc w:val="right"/>
              <w:ind w:right="46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760" w:type="dxa"/>
            <w:vAlign w:val="bottom"/>
            <w:shd w:val="clear" w:color="auto" w:fill="CFF0FC"/>
          </w:tcPr>
          <w:p>
            <w:pPr>
              <w:jc w:val="right"/>
              <w:ind w:right="5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r>
      <w:tr>
        <w:trPr>
          <w:trHeight w:val="220"/>
        </w:trPr>
        <w:tc>
          <w:tcPr>
            <w:tcW w:w="3920" w:type="dxa"/>
            <w:vAlign w:val="bottom"/>
          </w:tcPr>
          <w:p>
            <w:pPr>
              <w:ind w:left="120"/>
              <w:spacing w:after="0"/>
              <w:rPr>
                <w:sz w:val="20"/>
                <w:szCs w:val="20"/>
                <w:color w:val="auto"/>
              </w:rPr>
            </w:pPr>
            <w:r>
              <w:rPr>
                <w:rFonts w:ascii="Arial" w:cs="Arial" w:eastAsia="Arial" w:hAnsi="Arial"/>
                <w:sz w:val="17"/>
                <w:szCs w:val="17"/>
                <w:color w:val="auto"/>
              </w:rPr>
              <w:t>Net income (loss) per share</w:t>
            </w:r>
          </w:p>
        </w:tc>
        <w:tc>
          <w:tcPr>
            <w:tcW w:w="14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0.03</w:t>
            </w:r>
          </w:p>
        </w:tc>
        <w:tc>
          <w:tcPr>
            <w:tcW w:w="74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(1.14)</w:t>
            </w:r>
          </w:p>
        </w:tc>
        <w:tc>
          <w:tcPr>
            <w:tcW w:w="6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(0.25)</w:t>
            </w:r>
          </w:p>
        </w:tc>
        <w:tc>
          <w:tcPr>
            <w:tcW w:w="76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20"/>
        </w:trPr>
        <w:tc>
          <w:tcPr>
            <w:tcW w:w="39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313295" cy="139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295" cy="1397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Weighted-average number of common shares outstanding: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00" w:type="dxa"/>
            <w:vAlign w:val="bottom"/>
          </w:tcPr>
          <w:p>
            <w:pPr>
              <w:ind w:left="240"/>
              <w:spacing w:after="0"/>
              <w:rPr>
                <w:sz w:val="20"/>
                <w:szCs w:val="20"/>
                <w:color w:val="auto"/>
              </w:rPr>
            </w:pPr>
            <w:r>
              <w:rPr>
                <w:rFonts w:ascii="Arial" w:cs="Arial" w:eastAsia="Arial" w:hAnsi="Arial"/>
                <w:sz w:val="17"/>
                <w:szCs w:val="17"/>
                <w:color w:val="auto"/>
              </w:rPr>
              <w:t>Basic</w:t>
            </w:r>
          </w:p>
        </w:tc>
        <w:tc>
          <w:tcPr>
            <w:tcW w:w="3620" w:type="dxa"/>
            <w:vAlign w:val="bottom"/>
          </w:tcPr>
          <w:p>
            <w:pPr>
              <w:jc w:val="right"/>
              <w:ind w:right="582"/>
              <w:spacing w:after="0"/>
              <w:rPr>
                <w:sz w:val="20"/>
                <w:szCs w:val="20"/>
                <w:color w:val="auto"/>
              </w:rPr>
            </w:pPr>
            <w:r>
              <w:rPr>
                <w:rFonts w:ascii="Arial" w:cs="Arial" w:eastAsia="Arial" w:hAnsi="Arial"/>
                <w:sz w:val="16"/>
                <w:szCs w:val="16"/>
                <w:color w:val="auto"/>
              </w:rPr>
              <w:t>48,789</w:t>
            </w:r>
          </w:p>
        </w:tc>
        <w:tc>
          <w:tcPr>
            <w:tcW w:w="1700" w:type="dxa"/>
            <w:vAlign w:val="bottom"/>
          </w:tcPr>
          <w:p>
            <w:pPr>
              <w:jc w:val="right"/>
              <w:ind w:right="542"/>
              <w:spacing w:after="0"/>
              <w:rPr>
                <w:sz w:val="20"/>
                <w:szCs w:val="20"/>
                <w:color w:val="auto"/>
              </w:rPr>
            </w:pPr>
            <w:r>
              <w:rPr>
                <w:rFonts w:ascii="Arial" w:cs="Arial" w:eastAsia="Arial" w:hAnsi="Arial"/>
                <w:sz w:val="16"/>
                <w:szCs w:val="16"/>
                <w:color w:val="auto"/>
              </w:rPr>
              <w:t>48,568</w:t>
            </w:r>
          </w:p>
        </w:tc>
        <w:tc>
          <w:tcPr>
            <w:tcW w:w="1760" w:type="dxa"/>
            <w:vAlign w:val="bottom"/>
          </w:tcPr>
          <w:p>
            <w:pPr>
              <w:jc w:val="right"/>
              <w:ind w:right="622"/>
              <w:spacing w:after="0"/>
              <w:rPr>
                <w:sz w:val="20"/>
                <w:szCs w:val="20"/>
                <w:color w:val="auto"/>
              </w:rPr>
            </w:pPr>
            <w:r>
              <w:rPr>
                <w:rFonts w:ascii="Arial" w:cs="Arial" w:eastAsia="Arial" w:hAnsi="Arial"/>
                <w:sz w:val="16"/>
                <w:szCs w:val="16"/>
                <w:color w:val="auto"/>
              </w:rPr>
              <w:t>48,740</w:t>
            </w:r>
          </w:p>
        </w:tc>
        <w:tc>
          <w:tcPr>
            <w:tcW w:w="1140" w:type="dxa"/>
            <w:vAlign w:val="bottom"/>
          </w:tcPr>
          <w:p>
            <w:pPr>
              <w:jc w:val="right"/>
              <w:spacing w:after="0"/>
              <w:rPr>
                <w:sz w:val="20"/>
                <w:szCs w:val="20"/>
                <w:color w:val="auto"/>
              </w:rPr>
            </w:pPr>
            <w:r>
              <w:rPr>
                <w:rFonts w:ascii="Arial" w:cs="Arial" w:eastAsia="Arial" w:hAnsi="Arial"/>
                <w:sz w:val="16"/>
                <w:szCs w:val="16"/>
                <w:color w:val="auto"/>
              </w:rPr>
              <w:t>48,473</w:t>
            </w:r>
          </w:p>
        </w:tc>
      </w:tr>
      <w:tr>
        <w:trPr>
          <w:trHeight w:val="220"/>
        </w:trPr>
        <w:tc>
          <w:tcPr>
            <w:tcW w:w="3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Diluted</w:t>
            </w:r>
          </w:p>
        </w:tc>
        <w:tc>
          <w:tcPr>
            <w:tcW w:w="3620" w:type="dxa"/>
            <w:vAlign w:val="bottom"/>
            <w:shd w:val="clear" w:color="auto" w:fill="CFF0FC"/>
          </w:tcPr>
          <w:p>
            <w:pPr>
              <w:jc w:val="right"/>
              <w:ind w:right="582"/>
              <w:spacing w:after="0"/>
              <w:rPr>
                <w:sz w:val="20"/>
                <w:szCs w:val="20"/>
                <w:color w:val="auto"/>
              </w:rPr>
            </w:pPr>
            <w:r>
              <w:rPr>
                <w:rFonts w:ascii="Arial" w:cs="Arial" w:eastAsia="Arial" w:hAnsi="Arial"/>
                <w:sz w:val="16"/>
                <w:szCs w:val="16"/>
                <w:color w:val="auto"/>
              </w:rPr>
              <w:t>49,415</w:t>
            </w:r>
          </w:p>
        </w:tc>
        <w:tc>
          <w:tcPr>
            <w:tcW w:w="170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48,568</w:t>
            </w:r>
          </w:p>
        </w:tc>
        <w:tc>
          <w:tcPr>
            <w:tcW w:w="1760" w:type="dxa"/>
            <w:vAlign w:val="bottom"/>
            <w:shd w:val="clear" w:color="auto" w:fill="CFF0FC"/>
          </w:tcPr>
          <w:p>
            <w:pPr>
              <w:jc w:val="right"/>
              <w:ind w:right="622"/>
              <w:spacing w:after="0"/>
              <w:rPr>
                <w:sz w:val="20"/>
                <w:szCs w:val="20"/>
                <w:color w:val="auto"/>
              </w:rPr>
            </w:pPr>
            <w:r>
              <w:rPr>
                <w:rFonts w:ascii="Arial" w:cs="Arial" w:eastAsia="Arial" w:hAnsi="Arial"/>
                <w:sz w:val="16"/>
                <w:szCs w:val="16"/>
                <w:color w:val="auto"/>
              </w:rPr>
              <w:t>48,740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48,473</w:t>
            </w:r>
          </w:p>
        </w:tc>
      </w:tr>
    </w:tbl>
    <w:p>
      <w:pPr>
        <w:sectPr>
          <w:pgSz w:w="11900" w:h="16838" w:orient="portrait"/>
          <w:cols w:equalWidth="0" w:num="1">
            <w:col w:w="11520"/>
          </w:cols>
          <w:pgMar w:left="240" w:top="558" w:right="1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7"/>
          <w:szCs w:val="17"/>
          <w:color w:val="auto"/>
        </w:rPr>
        <w:t>DESTINATION XL GROUP, INC.</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CONSOLIDATED BALANCE SHEETS</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January 31, 2015 and February 1, 2014</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January 31,</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4"/>
                <w:szCs w:val="14"/>
                <w:color w:val="auto"/>
              </w:rPr>
              <w:t>February 1,</w:t>
            </w:r>
          </w:p>
        </w:tc>
      </w:tr>
      <w:tr>
        <w:trPr>
          <w:trHeight w:val="161"/>
        </w:trPr>
        <w:tc>
          <w:tcPr>
            <w:tcW w:w="7020" w:type="dxa"/>
            <w:vAlign w:val="bottom"/>
          </w:tcPr>
          <w:p>
            <w:pPr>
              <w:spacing w:after="0"/>
              <w:rPr>
                <w:sz w:val="13"/>
                <w:szCs w:val="13"/>
                <w:color w:val="auto"/>
              </w:rPr>
            </w:pPr>
          </w:p>
        </w:tc>
        <w:tc>
          <w:tcPr>
            <w:tcW w:w="13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color w:val="auto"/>
              </w:rPr>
              <w:t>2015</w:t>
            </w:r>
          </w:p>
        </w:tc>
        <w:tc>
          <w:tcPr>
            <w:tcW w:w="6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3"/>
                <w:szCs w:val="13"/>
                <w:color w:val="auto"/>
              </w:rPr>
            </w:pPr>
          </w:p>
        </w:tc>
      </w:tr>
      <w:tr>
        <w:trPr>
          <w:trHeight w:val="368"/>
        </w:trPr>
        <w:tc>
          <w:tcPr>
            <w:tcW w:w="7020" w:type="dxa"/>
            <w:vAlign w:val="bottom"/>
          </w:tcPr>
          <w:p>
            <w:pPr>
              <w:spacing w:after="0"/>
              <w:rPr>
                <w:sz w:val="20"/>
                <w:szCs w:val="20"/>
                <w:color w:val="auto"/>
              </w:rPr>
            </w:pPr>
            <w:r>
              <w:rPr>
                <w:rFonts w:ascii="Arial" w:cs="Arial" w:eastAsia="Arial" w:hAnsi="Arial"/>
                <w:sz w:val="17"/>
                <w:szCs w:val="17"/>
                <w:color w:val="auto"/>
              </w:rPr>
              <w:t>ASSETS</w:t>
            </w: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0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70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360" w:type="dxa"/>
            <w:vAlign w:val="bottom"/>
          </w:tcPr>
          <w:p>
            <w:pPr>
              <w:jc w:val="right"/>
              <w:ind w:right="120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4,586</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4,544</w:t>
            </w:r>
          </w:p>
        </w:tc>
        <w:tc>
          <w:tcPr>
            <w:tcW w:w="120" w:type="dxa"/>
            <w:vAlign w:val="bottom"/>
          </w:tcPr>
          <w:p>
            <w:pPr>
              <w:spacing w:after="0"/>
              <w:rPr>
                <w:sz w:val="19"/>
                <w:szCs w:val="19"/>
                <w:color w:val="auto"/>
              </w:rPr>
            </w:pPr>
          </w:p>
        </w:tc>
      </w:tr>
      <w:tr>
        <w:trPr>
          <w:trHeight w:val="220"/>
        </w:trPr>
        <w:tc>
          <w:tcPr>
            <w:tcW w:w="7020" w:type="dxa"/>
            <w:vAlign w:val="bottom"/>
            <w:shd w:val="clear" w:color="auto" w:fill="CFF0FC"/>
          </w:tcPr>
          <w:p>
            <w:pPr>
              <w:spacing w:after="0"/>
              <w:rPr>
                <w:sz w:val="20"/>
                <w:szCs w:val="20"/>
                <w:color w:val="auto"/>
              </w:rPr>
            </w:pPr>
            <w:r>
              <w:rPr>
                <w:rFonts w:ascii="Arial" w:cs="Arial" w:eastAsia="Arial" w:hAnsi="Arial"/>
                <w:sz w:val="17"/>
                <w:szCs w:val="17"/>
                <w:color w:val="auto"/>
              </w:rPr>
              <w:t>Inventories</w:t>
            </w: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115,220</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105,556</w:t>
            </w:r>
          </w:p>
        </w:tc>
        <w:tc>
          <w:tcPr>
            <w:tcW w:w="120" w:type="dxa"/>
            <w:vAlign w:val="bottom"/>
            <w:shd w:val="clear" w:color="auto" w:fill="CFF0FC"/>
          </w:tcPr>
          <w:p>
            <w:pPr>
              <w:spacing w:after="0"/>
              <w:rPr>
                <w:sz w:val="19"/>
                <w:szCs w:val="19"/>
                <w:color w:val="auto"/>
              </w:rPr>
            </w:pPr>
          </w:p>
        </w:tc>
      </w:tr>
      <w:tr>
        <w:trPr>
          <w:trHeight w:val="220"/>
        </w:trPr>
        <w:tc>
          <w:tcPr>
            <w:tcW w:w="7020" w:type="dxa"/>
            <w:vAlign w:val="bottom"/>
          </w:tcPr>
          <w:p>
            <w:pPr>
              <w:spacing w:after="0"/>
              <w:rPr>
                <w:sz w:val="20"/>
                <w:szCs w:val="20"/>
                <w:color w:val="auto"/>
              </w:rPr>
            </w:pPr>
            <w:r>
              <w:rPr>
                <w:rFonts w:ascii="Arial" w:cs="Arial" w:eastAsia="Arial" w:hAnsi="Arial"/>
                <w:sz w:val="17"/>
                <w:szCs w:val="17"/>
                <w:color w:val="auto"/>
              </w:rPr>
              <w:t>Other current assets</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12,809</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16,341</w:t>
            </w:r>
          </w:p>
        </w:tc>
        <w:tc>
          <w:tcPr>
            <w:tcW w:w="120" w:type="dxa"/>
            <w:vAlign w:val="bottom"/>
          </w:tcPr>
          <w:p>
            <w:pPr>
              <w:spacing w:after="0"/>
              <w:rPr>
                <w:sz w:val="19"/>
                <w:szCs w:val="19"/>
                <w:color w:val="auto"/>
              </w:rPr>
            </w:pPr>
          </w:p>
        </w:tc>
      </w:tr>
      <w:tr>
        <w:trPr>
          <w:trHeight w:val="220"/>
        </w:trPr>
        <w:tc>
          <w:tcPr>
            <w:tcW w:w="70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120,328</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102,939</w:t>
            </w:r>
          </w:p>
        </w:tc>
        <w:tc>
          <w:tcPr>
            <w:tcW w:w="120" w:type="dxa"/>
            <w:vAlign w:val="bottom"/>
            <w:shd w:val="clear" w:color="auto" w:fill="CFF0FC"/>
          </w:tcPr>
          <w:p>
            <w:pPr>
              <w:spacing w:after="0"/>
              <w:rPr>
                <w:sz w:val="19"/>
                <w:szCs w:val="19"/>
                <w:color w:val="auto"/>
              </w:rPr>
            </w:pPr>
          </w:p>
        </w:tc>
      </w:tr>
      <w:tr>
        <w:trPr>
          <w:trHeight w:val="220"/>
        </w:trPr>
        <w:tc>
          <w:tcPr>
            <w:tcW w:w="7020" w:type="dxa"/>
            <w:vAlign w:val="bottom"/>
          </w:tcPr>
          <w:p>
            <w:pPr>
              <w:spacing w:after="0"/>
              <w:rPr>
                <w:sz w:val="20"/>
                <w:szCs w:val="20"/>
                <w:color w:val="auto"/>
              </w:rPr>
            </w:pPr>
            <w:r>
              <w:rPr>
                <w:rFonts w:ascii="Arial" w:cs="Arial" w:eastAsia="Arial" w:hAnsi="Arial"/>
                <w:sz w:val="17"/>
                <w:szCs w:val="17"/>
                <w:color w:val="auto"/>
              </w:rPr>
              <w:t>Intangible assets</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3,308</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4,393</w:t>
            </w:r>
          </w:p>
        </w:tc>
        <w:tc>
          <w:tcPr>
            <w:tcW w:w="120" w:type="dxa"/>
            <w:vAlign w:val="bottom"/>
          </w:tcPr>
          <w:p>
            <w:pPr>
              <w:spacing w:after="0"/>
              <w:rPr>
                <w:sz w:val="19"/>
                <w:szCs w:val="19"/>
                <w:color w:val="auto"/>
              </w:rPr>
            </w:pPr>
          </w:p>
        </w:tc>
      </w:tr>
      <w:tr>
        <w:trPr>
          <w:trHeight w:val="220"/>
        </w:trPr>
        <w:tc>
          <w:tcPr>
            <w:tcW w:w="702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13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4,849</w:t>
            </w: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3,608</w:t>
            </w:r>
          </w:p>
        </w:tc>
        <w:tc>
          <w:tcPr>
            <w:tcW w:w="120" w:type="dxa"/>
            <w:vAlign w:val="bottom"/>
            <w:shd w:val="clear" w:color="auto" w:fill="CFF0FC"/>
          </w:tcPr>
          <w:p>
            <w:pPr>
              <w:spacing w:after="0"/>
              <w:rPr>
                <w:sz w:val="19"/>
                <w:szCs w:val="19"/>
                <w:color w:val="auto"/>
              </w:rPr>
            </w:pPr>
          </w:p>
        </w:tc>
      </w:tr>
      <w:tr>
        <w:trPr>
          <w:trHeight w:val="253"/>
        </w:trPr>
        <w:tc>
          <w:tcPr>
            <w:tcW w:w="7020" w:type="dxa"/>
            <w:vAlign w:val="bottom"/>
          </w:tcPr>
          <w:p>
            <w:pPr>
              <w:ind w:left="240"/>
              <w:spacing w:after="0"/>
              <w:rPr>
                <w:sz w:val="20"/>
                <w:szCs w:val="20"/>
                <w:color w:val="auto"/>
              </w:rPr>
            </w:pPr>
            <w:r>
              <w:rPr>
                <w:rFonts w:ascii="Arial" w:cs="Arial" w:eastAsia="Arial" w:hAnsi="Arial"/>
                <w:sz w:val="17"/>
                <w:szCs w:val="17"/>
                <w:color w:val="auto"/>
              </w:rPr>
              <w:t>Total assets</w:t>
            </w:r>
          </w:p>
        </w:tc>
        <w:tc>
          <w:tcPr>
            <w:tcW w:w="1360" w:type="dxa"/>
            <w:vAlign w:val="bottom"/>
          </w:tcPr>
          <w:p>
            <w:pPr>
              <w:jc w:val="right"/>
              <w:ind w:right="120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4"/>
              </w:rPr>
              <w:t>261,100</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237,381</w:t>
            </w:r>
          </w:p>
        </w:tc>
        <w:tc>
          <w:tcPr>
            <w:tcW w:w="120" w:type="dxa"/>
            <w:vAlign w:val="bottom"/>
          </w:tcPr>
          <w:p>
            <w:pPr>
              <w:spacing w:after="0"/>
              <w:rPr>
                <w:sz w:val="21"/>
                <w:szCs w:val="21"/>
                <w:color w:val="auto"/>
              </w:rPr>
            </w:pPr>
          </w:p>
        </w:tc>
      </w:tr>
      <w:tr>
        <w:trPr>
          <w:trHeight w:val="198"/>
        </w:trPr>
        <w:tc>
          <w:tcPr>
            <w:tcW w:w="702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0"/>
        </w:trPr>
        <w:tc>
          <w:tcPr>
            <w:tcW w:w="7020" w:type="dxa"/>
            <w:vAlign w:val="bottom"/>
          </w:tcPr>
          <w:p>
            <w:pPr>
              <w:spacing w:after="0"/>
              <w:rPr>
                <w:sz w:val="20"/>
                <w:szCs w:val="20"/>
                <w:color w:val="auto"/>
              </w:rPr>
            </w:pPr>
            <w:r>
              <w:rPr>
                <w:rFonts w:ascii="Arial" w:cs="Arial" w:eastAsia="Arial" w:hAnsi="Arial"/>
                <w:sz w:val="17"/>
                <w:szCs w:val="17"/>
                <w:color w:val="auto"/>
              </w:rPr>
              <w:t>LIABILITIES AND STOCKHOLDERS' EQUITY</w:t>
            </w: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70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7020" w:type="dxa"/>
            <w:vAlign w:val="bottom"/>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1360" w:type="dxa"/>
            <w:vAlign w:val="bottom"/>
          </w:tcPr>
          <w:p>
            <w:pPr>
              <w:jc w:val="right"/>
              <w:ind w:right="120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99,049</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89,090</w:t>
            </w:r>
          </w:p>
        </w:tc>
        <w:tc>
          <w:tcPr>
            <w:tcW w:w="120" w:type="dxa"/>
            <w:vAlign w:val="bottom"/>
          </w:tcPr>
          <w:p>
            <w:pPr>
              <w:spacing w:after="0"/>
              <w:rPr>
                <w:sz w:val="19"/>
                <w:szCs w:val="19"/>
                <w:color w:val="auto"/>
              </w:rPr>
            </w:pPr>
          </w:p>
        </w:tc>
      </w:tr>
      <w:tr>
        <w:trPr>
          <w:trHeight w:val="220"/>
        </w:trPr>
        <w:tc>
          <w:tcPr>
            <w:tcW w:w="702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34,140</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16,706</w:t>
            </w:r>
          </w:p>
        </w:tc>
        <w:tc>
          <w:tcPr>
            <w:tcW w:w="120" w:type="dxa"/>
            <w:vAlign w:val="bottom"/>
            <w:shd w:val="clear" w:color="auto" w:fill="CFF0FC"/>
          </w:tcPr>
          <w:p>
            <w:pPr>
              <w:spacing w:after="0"/>
              <w:rPr>
                <w:sz w:val="19"/>
                <w:szCs w:val="19"/>
                <w:color w:val="auto"/>
              </w:rPr>
            </w:pPr>
          </w:p>
        </w:tc>
      </w:tr>
      <w:tr>
        <w:trPr>
          <w:trHeight w:val="220"/>
        </w:trPr>
        <w:tc>
          <w:tcPr>
            <w:tcW w:w="7020" w:type="dxa"/>
            <w:vAlign w:val="bottom"/>
          </w:tcPr>
          <w:p>
            <w:pPr>
              <w:spacing w:after="0"/>
              <w:rPr>
                <w:sz w:val="20"/>
                <w:szCs w:val="20"/>
                <w:color w:val="auto"/>
              </w:rPr>
            </w:pPr>
            <w:r>
              <w:rPr>
                <w:rFonts w:ascii="Arial" w:cs="Arial" w:eastAsia="Arial" w:hAnsi="Arial"/>
                <w:sz w:val="17"/>
                <w:szCs w:val="17"/>
                <w:color w:val="auto"/>
              </w:rPr>
              <w:t>Borrowings under credit facility</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19,402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9,029</w:t>
            </w:r>
          </w:p>
        </w:tc>
        <w:tc>
          <w:tcPr>
            <w:tcW w:w="120" w:type="dxa"/>
            <w:vAlign w:val="bottom"/>
          </w:tcPr>
          <w:p>
            <w:pPr>
              <w:spacing w:after="0"/>
              <w:rPr>
                <w:sz w:val="19"/>
                <w:szCs w:val="19"/>
                <w:color w:val="auto"/>
              </w:rPr>
            </w:pPr>
          </w:p>
        </w:tc>
      </w:tr>
      <w:tr>
        <w:trPr>
          <w:trHeight w:val="220"/>
        </w:trPr>
        <w:tc>
          <w:tcPr>
            <w:tcW w:w="7020" w:type="dxa"/>
            <w:vAlign w:val="bottom"/>
            <w:shd w:val="clear" w:color="auto" w:fill="CFF0FC"/>
          </w:tcPr>
          <w:p>
            <w:pPr>
              <w:spacing w:after="0"/>
              <w:rPr>
                <w:sz w:val="20"/>
                <w:szCs w:val="20"/>
                <w:color w:val="auto"/>
              </w:rPr>
            </w:pPr>
            <w:r>
              <w:rPr>
                <w:rFonts w:ascii="Arial" w:cs="Arial" w:eastAsia="Arial" w:hAnsi="Arial"/>
                <w:sz w:val="17"/>
                <w:szCs w:val="17"/>
                <w:color w:val="auto"/>
              </w:rPr>
              <w:t>Deferred gain on sale-leaseback</w:t>
            </w: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16,119</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17,585</w:t>
            </w:r>
          </w:p>
        </w:tc>
        <w:tc>
          <w:tcPr>
            <w:tcW w:w="120" w:type="dxa"/>
            <w:vAlign w:val="bottom"/>
            <w:shd w:val="clear" w:color="auto" w:fill="CFF0FC"/>
          </w:tcPr>
          <w:p>
            <w:pPr>
              <w:spacing w:after="0"/>
              <w:rPr>
                <w:sz w:val="19"/>
                <w:szCs w:val="19"/>
                <w:color w:val="auto"/>
              </w:rPr>
            </w:pPr>
          </w:p>
        </w:tc>
      </w:tr>
      <w:tr>
        <w:trPr>
          <w:trHeight w:val="220"/>
        </w:trPr>
        <w:tc>
          <w:tcPr>
            <w:tcW w:w="70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Stockholders' equity</w:t>
            </w: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92,390</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104,971</w:t>
            </w:r>
          </w:p>
        </w:tc>
        <w:tc>
          <w:tcPr>
            <w:tcW w:w="120" w:type="dxa"/>
            <w:vAlign w:val="bottom"/>
            <w:tcBorders>
              <w:bottom w:val="single" w:sz="8" w:color="CFF0FC"/>
            </w:tcBorders>
          </w:tcPr>
          <w:p>
            <w:pPr>
              <w:spacing w:after="0"/>
              <w:rPr>
                <w:sz w:val="19"/>
                <w:szCs w:val="19"/>
                <w:color w:val="auto"/>
              </w:rPr>
            </w:pPr>
          </w:p>
        </w:tc>
      </w:tr>
      <w:tr>
        <w:trPr>
          <w:trHeight w:val="213"/>
        </w:trPr>
        <w:tc>
          <w:tcPr>
            <w:tcW w:w="7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liabilities and stockholders' equity</w:t>
            </w:r>
          </w:p>
        </w:tc>
        <w:tc>
          <w:tcPr>
            <w:tcW w:w="1360" w:type="dxa"/>
            <w:vAlign w:val="bottom"/>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261,100</w:t>
            </w: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237,381</w:t>
            </w:r>
          </w:p>
        </w:tc>
        <w:tc>
          <w:tcPr>
            <w:tcW w:w="120" w:type="dxa"/>
            <w:vAlign w:val="bottom"/>
            <w:shd w:val="clear" w:color="auto" w:fill="CFF0FC"/>
          </w:tcPr>
          <w:p>
            <w:pPr>
              <w:spacing w:after="0"/>
              <w:rPr>
                <w:sz w:val="18"/>
                <w:szCs w:val="18"/>
                <w:color w:val="auto"/>
              </w:rPr>
            </w:pP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11" w:name="page12"/>
    <w:bookmarkEnd w:id="11"/>
    <w:p>
      <w:pPr>
        <w:jc w:val="center"/>
        <w:ind w:left="560"/>
        <w:spacing w:after="0"/>
        <w:rPr>
          <w:sz w:val="20"/>
          <w:szCs w:val="20"/>
          <w:color w:val="auto"/>
        </w:rPr>
      </w:pPr>
      <w:r>
        <w:rPr>
          <w:rFonts w:ascii="Arial" w:cs="Arial" w:eastAsia="Arial" w:hAnsi="Arial"/>
          <w:sz w:val="14"/>
          <w:szCs w:val="14"/>
          <w:b w:val="1"/>
          <w:bCs w:val="1"/>
          <w:color w:val="auto"/>
        </w:rPr>
        <w:t>GAAP TO NON-GAAP RECONCILIATION OF NET INCOME (LOSS)</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(certain columns may not foot due to rounding)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11"/>
          </w:tcPr>
          <w:p>
            <w:pPr>
              <w:jc w:val="center"/>
              <w:ind w:left="50"/>
              <w:spacing w:after="0"/>
              <w:rPr>
                <w:sz w:val="20"/>
                <w:szCs w:val="20"/>
                <w:color w:val="auto"/>
              </w:rPr>
            </w:pPr>
            <w:r>
              <w:rPr>
                <w:rFonts w:ascii="Arial" w:cs="Arial" w:eastAsia="Arial" w:hAnsi="Arial"/>
                <w:sz w:val="14"/>
                <w:szCs w:val="14"/>
                <w:color w:val="auto"/>
                <w:w w:val="88"/>
              </w:rPr>
              <w:t>For the three months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11"/>
          </w:tcPr>
          <w:p>
            <w:pPr>
              <w:ind w:left="60"/>
              <w:spacing w:after="0"/>
              <w:rPr>
                <w:sz w:val="20"/>
                <w:szCs w:val="20"/>
                <w:color w:val="auto"/>
              </w:rPr>
            </w:pPr>
            <w:r>
              <w:rPr>
                <w:rFonts w:ascii="Arial" w:cs="Arial" w:eastAsia="Arial" w:hAnsi="Arial"/>
                <w:sz w:val="14"/>
                <w:szCs w:val="14"/>
                <w:color w:val="auto"/>
                <w:w w:val="87"/>
              </w:rPr>
              <w:t>For the fiscal year ended: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8"/>
          </w:tcPr>
          <w:p>
            <w:pPr>
              <w:ind w:left="100"/>
              <w:spacing w:after="0"/>
              <w:rPr>
                <w:sz w:val="20"/>
                <w:szCs w:val="20"/>
                <w:color w:val="auto"/>
              </w:rPr>
            </w:pPr>
            <w:r>
              <w:rPr>
                <w:rFonts w:ascii="Arial" w:cs="Arial" w:eastAsia="Arial" w:hAnsi="Arial"/>
                <w:sz w:val="14"/>
                <w:szCs w:val="14"/>
                <w:color w:val="auto"/>
              </w:rPr>
              <w:t>January 31, 2015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Borders>
              <w:right w:val="single" w:sz="8" w:color="auto"/>
            </w:tcBorders>
            <w:gridSpan w:val="10"/>
          </w:tcPr>
          <w:p>
            <w:pPr>
              <w:jc w:val="right"/>
              <w:ind w:right="480"/>
              <w:spacing w:after="0"/>
              <w:rPr>
                <w:sz w:val="20"/>
                <w:szCs w:val="20"/>
                <w:color w:val="auto"/>
              </w:rPr>
            </w:pPr>
            <w:r>
              <w:rPr>
                <w:rFonts w:ascii="Arial" w:cs="Arial" w:eastAsia="Arial" w:hAnsi="Arial"/>
                <w:sz w:val="14"/>
                <w:szCs w:val="14"/>
                <w:color w:val="auto"/>
              </w:rPr>
              <w:t>February 1, 2014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11"/>
          </w:tcPr>
          <w:p>
            <w:pPr>
              <w:jc w:val="right"/>
              <w:ind w:right="440"/>
              <w:spacing w:after="0"/>
              <w:rPr>
                <w:sz w:val="20"/>
                <w:szCs w:val="20"/>
                <w:color w:val="auto"/>
              </w:rPr>
            </w:pPr>
            <w:r>
              <w:rPr>
                <w:rFonts w:ascii="Arial" w:cs="Arial" w:eastAsia="Arial" w:hAnsi="Arial"/>
                <w:sz w:val="14"/>
                <w:szCs w:val="14"/>
                <w:color w:val="auto"/>
                <w:w w:val="88"/>
              </w:rPr>
              <w:t>January 31, 2015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6"/>
          </w:tcPr>
          <w:p>
            <w:pPr>
              <w:jc w:val="right"/>
              <w:spacing w:after="0"/>
              <w:rPr>
                <w:sz w:val="20"/>
                <w:szCs w:val="20"/>
                <w:color w:val="auto"/>
              </w:rPr>
            </w:pPr>
            <w:r>
              <w:rPr>
                <w:rFonts w:ascii="Arial" w:cs="Arial" w:eastAsia="Arial" w:hAnsi="Arial"/>
                <w:sz w:val="14"/>
                <w:szCs w:val="14"/>
                <w:color w:val="auto"/>
              </w:rPr>
              <w:t>February 1, 201</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50"/>
              <w:spacing w:after="0" w:line="130" w:lineRule="exact"/>
              <w:rPr>
                <w:sz w:val="20"/>
                <w:szCs w:val="20"/>
                <w:color w:val="auto"/>
              </w:rPr>
            </w:pPr>
            <w:r>
              <w:rPr>
                <w:rFonts w:ascii="Arial" w:cs="Arial" w:eastAsia="Arial" w:hAnsi="Arial"/>
                <w:sz w:val="14"/>
                <w:szCs w:val="14"/>
                <w:color w:val="auto"/>
                <w:w w:val="89"/>
              </w:rPr>
              <w:t>Per diluted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51"/>
              <w:spacing w:after="0" w:line="130" w:lineRule="exact"/>
              <w:rPr>
                <w:sz w:val="20"/>
                <w:szCs w:val="20"/>
                <w:color w:val="auto"/>
              </w:rPr>
            </w:pPr>
            <w:r>
              <w:rPr>
                <w:rFonts w:ascii="Arial" w:cs="Arial" w:eastAsia="Arial" w:hAnsi="Arial"/>
                <w:sz w:val="14"/>
                <w:szCs w:val="14"/>
                <w:color w:val="auto"/>
              </w:rPr>
              <w:t>Per diluted</w:t>
            </w: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right"/>
              <w:ind w:right="100"/>
              <w:spacing w:after="0" w:line="130" w:lineRule="exact"/>
              <w:rPr>
                <w:sz w:val="20"/>
                <w:szCs w:val="20"/>
                <w:color w:val="auto"/>
              </w:rPr>
            </w:pPr>
            <w:r>
              <w:rPr>
                <w:rFonts w:ascii="Arial" w:cs="Arial" w:eastAsia="Arial" w:hAnsi="Arial"/>
                <w:sz w:val="14"/>
                <w:szCs w:val="14"/>
                <w:color w:val="auto"/>
                <w:w w:val="89"/>
              </w:rPr>
              <w:t>Per diluted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jc w:val="right"/>
              <w:ind w:right="20"/>
              <w:spacing w:after="0" w:line="130" w:lineRule="exact"/>
              <w:rPr>
                <w:sz w:val="20"/>
                <w:szCs w:val="20"/>
                <w:color w:val="auto"/>
              </w:rPr>
            </w:pPr>
            <w:r>
              <w:rPr>
                <w:rFonts w:ascii="Arial" w:cs="Arial" w:eastAsia="Arial" w:hAnsi="Arial"/>
                <w:sz w:val="14"/>
                <w:szCs w:val="14"/>
                <w:color w:val="auto"/>
              </w:rPr>
              <w:t>Per dil</w:t>
            </w:r>
          </w:p>
        </w:tc>
        <w:tc>
          <w:tcPr>
            <w:tcW w:w="0" w:type="dxa"/>
            <w:vAlign w:val="bottom"/>
          </w:tcPr>
          <w:p>
            <w:pPr>
              <w:spacing w:after="0"/>
              <w:rPr>
                <w:sz w:val="1"/>
                <w:szCs w:val="1"/>
                <w:color w:val="auto"/>
              </w:rPr>
            </w:pPr>
          </w:p>
        </w:tc>
      </w:tr>
      <w:tr>
        <w:trPr>
          <w:trHeight w:val="161"/>
        </w:trPr>
        <w:tc>
          <w:tcPr>
            <w:tcW w:w="49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share</w:t>
            </w: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share</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shar</w:t>
            </w:r>
          </w:p>
        </w:tc>
        <w:tc>
          <w:tcPr>
            <w:tcW w:w="0" w:type="dxa"/>
            <w:vAlign w:val="bottom"/>
          </w:tcPr>
          <w:p>
            <w:pPr>
              <w:spacing w:after="0"/>
              <w:rPr>
                <w:sz w:val="1"/>
                <w:szCs w:val="1"/>
                <w:color w:val="auto"/>
              </w:rPr>
            </w:pPr>
          </w:p>
        </w:tc>
      </w:tr>
      <w:tr>
        <w:trPr>
          <w:trHeight w:val="135"/>
        </w:trPr>
        <w:tc>
          <w:tcPr>
            <w:tcW w:w="4960" w:type="dxa"/>
            <w:vAlign w:val="bottom"/>
            <w:gridSpan w:val="4"/>
            <w:vMerge w:val="continue"/>
          </w:tcPr>
          <w:p>
            <w:pPr>
              <w:spacing w:after="0"/>
              <w:rPr>
                <w:sz w:val="11"/>
                <w:szCs w:val="11"/>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360" w:type="dxa"/>
            <w:vAlign w:val="bottom"/>
            <w:gridSpan w:val="3"/>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4"/>
                <w:szCs w:val="14"/>
                <w:i w:val="1"/>
                <w:i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0.03</w:t>
            </w:r>
          </w:p>
        </w:tc>
        <w:tc>
          <w:tcPr>
            <w:tcW w:w="100" w:type="dxa"/>
            <w:vAlign w:val="bottom"/>
          </w:tcPr>
          <w:p>
            <w:pPr>
              <w:spacing w:after="0"/>
              <w:rPr>
                <w:sz w:val="11"/>
                <w:szCs w:val="11"/>
                <w:color w:val="auto"/>
              </w:rPr>
            </w:pPr>
          </w:p>
        </w:tc>
        <w:tc>
          <w:tcPr>
            <w:tcW w:w="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1"/>
                <w:szCs w:val="11"/>
                <w:color w:val="auto"/>
              </w:rPr>
            </w:pPr>
          </w:p>
        </w:tc>
        <w:tc>
          <w:tcPr>
            <w:tcW w:w="660" w:type="dxa"/>
            <w:vAlign w:val="bottom"/>
            <w:gridSpan w:val="6"/>
            <w:vMerge w:val="restart"/>
          </w:tcPr>
          <w:p>
            <w:pPr>
              <w:jc w:val="right"/>
              <w:ind w:right="20"/>
              <w:spacing w:after="0"/>
              <w:rPr>
                <w:sz w:val="20"/>
                <w:szCs w:val="20"/>
                <w:color w:val="auto"/>
              </w:rPr>
            </w:pPr>
            <w:r>
              <w:rPr>
                <w:rFonts w:ascii="Arial" w:cs="Arial" w:eastAsia="Arial" w:hAnsi="Arial"/>
                <w:sz w:val="14"/>
                <w:szCs w:val="14"/>
                <w:color w:val="auto"/>
              </w:rPr>
              <w:t>(55.6)</w:t>
            </w:r>
          </w:p>
        </w:tc>
        <w:tc>
          <w:tcPr>
            <w:tcW w:w="240" w:type="dxa"/>
            <w:vAlign w:val="bottom"/>
            <w:gridSpan w:val="2"/>
            <w:vMerge w:val="restart"/>
          </w:tcPr>
          <w:p>
            <w:pPr>
              <w:jc w:val="right"/>
              <w:ind w:right="51"/>
              <w:spacing w:after="0"/>
              <w:rPr>
                <w:sz w:val="20"/>
                <w:szCs w:val="20"/>
                <w:color w:val="auto"/>
              </w:rPr>
            </w:pPr>
            <w:r>
              <w:rPr>
                <w:rFonts w:ascii="Arial" w:cs="Arial" w:eastAsia="Arial" w:hAnsi="Arial"/>
                <w:sz w:val="14"/>
                <w:szCs w:val="14"/>
                <w:i w:val="1"/>
                <w:iCs w:val="1"/>
                <w:color w:val="auto"/>
              </w:rPr>
              <w:t>$</w:t>
            </w:r>
          </w:p>
        </w:tc>
        <w:tc>
          <w:tcPr>
            <w:tcW w:w="700" w:type="dxa"/>
            <w:vAlign w:val="bottom"/>
            <w:tcBorders>
              <w:right w:val="single" w:sz="8" w:color="auto"/>
            </w:tcBorders>
            <w:gridSpan w:val="2"/>
            <w:vMerge w:val="restart"/>
          </w:tcPr>
          <w:p>
            <w:pPr>
              <w:jc w:val="right"/>
              <w:ind w:right="40"/>
              <w:spacing w:after="0"/>
              <w:rPr>
                <w:sz w:val="20"/>
                <w:szCs w:val="20"/>
                <w:color w:val="auto"/>
              </w:rPr>
            </w:pPr>
            <w:r>
              <w:rPr>
                <w:rFonts w:ascii="Arial" w:cs="Arial" w:eastAsia="Arial" w:hAnsi="Arial"/>
                <w:sz w:val="14"/>
                <w:szCs w:val="14"/>
                <w:i w:val="1"/>
                <w:iCs w:val="1"/>
                <w:color w:val="auto"/>
              </w:rPr>
              <w:t>(1.15)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color w:val="auto"/>
                <w:w w:val="71"/>
              </w:rPr>
              <w:t>$</w:t>
            </w:r>
          </w:p>
        </w:tc>
        <w:tc>
          <w:tcPr>
            <w:tcW w:w="580" w:type="dxa"/>
            <w:vAlign w:val="bottom"/>
            <w:gridSpan w:val="5"/>
            <w:vMerge w:val="restart"/>
          </w:tcPr>
          <w:p>
            <w:pPr>
              <w:jc w:val="right"/>
              <w:ind w:right="20"/>
              <w:spacing w:after="0"/>
              <w:rPr>
                <w:sz w:val="20"/>
                <w:szCs w:val="20"/>
                <w:color w:val="auto"/>
              </w:rPr>
            </w:pPr>
            <w:r>
              <w:rPr>
                <w:rFonts w:ascii="Arial" w:cs="Arial" w:eastAsia="Arial" w:hAnsi="Arial"/>
                <w:sz w:val="14"/>
                <w:szCs w:val="14"/>
                <w:color w:val="auto"/>
              </w:rPr>
              <w:t>(11.2)</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i w:val="1"/>
                <w:iCs w:val="1"/>
                <w:color w:val="auto"/>
              </w:rPr>
              <w:t>$</w:t>
            </w:r>
          </w:p>
        </w:tc>
        <w:tc>
          <w:tcPr>
            <w:tcW w:w="760" w:type="dxa"/>
            <w:vAlign w:val="bottom"/>
            <w:gridSpan w:val="5"/>
            <w:vMerge w:val="restart"/>
          </w:tcPr>
          <w:p>
            <w:pPr>
              <w:jc w:val="right"/>
              <w:spacing w:after="0"/>
              <w:rPr>
                <w:sz w:val="20"/>
                <w:szCs w:val="20"/>
                <w:color w:val="auto"/>
              </w:rPr>
            </w:pPr>
            <w:r>
              <w:rPr>
                <w:rFonts w:ascii="Arial" w:cs="Arial" w:eastAsia="Arial" w:hAnsi="Arial"/>
                <w:sz w:val="14"/>
                <w:szCs w:val="14"/>
                <w:i w:val="1"/>
                <w:iCs w:val="1"/>
                <w:color w:val="auto"/>
              </w:rPr>
              <w:t>(0.23)</w:t>
            </w:r>
          </w:p>
        </w:tc>
        <w:tc>
          <w:tcPr>
            <w:tcW w:w="1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(60.3)</w:t>
            </w:r>
          </w:p>
        </w:tc>
        <w:tc>
          <w:tcPr>
            <w:tcW w:w="4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4"/>
                <w:szCs w:val="14"/>
                <w:i w:val="1"/>
                <w:i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w w:val="95"/>
              </w:rPr>
              <w:t>Income (loss) from continuing</w:t>
            </w:r>
          </w:p>
        </w:tc>
        <w:tc>
          <w:tcPr>
            <w:tcW w:w="30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operations, on a GAAP basis</w:t>
            </w:r>
          </w:p>
        </w:tc>
        <w:tc>
          <w:tcPr>
            <w:tcW w:w="140" w:type="dxa"/>
            <w:vAlign w:val="bottom"/>
            <w:vMerge w:val="continue"/>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6"/>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7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580" w:type="dxa"/>
            <w:vAlign w:val="bottom"/>
            <w:gridSpan w:val="5"/>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Add back:</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Executive severance accrual of $2.3 million, less tax benefit of $0.9 million</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gridSpan w:val="5"/>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8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51"/>
              <w:spacing w:after="0" w:line="155" w:lineRule="exact"/>
              <w:rPr>
                <w:sz w:val="20"/>
                <w:szCs w:val="20"/>
                <w:color w:val="auto"/>
              </w:rPr>
            </w:pPr>
            <w:r>
              <w:rPr>
                <w:rFonts w:ascii="Arial" w:cs="Arial" w:eastAsia="Arial" w:hAnsi="Arial"/>
                <w:sz w:val="14"/>
                <w:szCs w:val="14"/>
                <w:i w:val="1"/>
                <w:iCs w:val="1"/>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i w:val="1"/>
                <w:iCs w:val="1"/>
                <w:color w:val="auto"/>
              </w:rPr>
              <w:t>0.03</w:t>
            </w:r>
          </w:p>
        </w:tc>
        <w:tc>
          <w:tcPr>
            <w:tcW w:w="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line="155" w:lineRule="exact"/>
              <w:rPr>
                <w:sz w:val="20"/>
                <w:szCs w:val="20"/>
                <w:color w:val="auto"/>
              </w:rPr>
            </w:pPr>
            <w:r>
              <w:rPr>
                <w:rFonts w:ascii="Arial" w:cs="Arial" w:eastAsia="Arial" w:hAnsi="Arial"/>
                <w:sz w:val="14"/>
                <w:szCs w:val="14"/>
                <w:i w:val="1"/>
                <w:iCs w:val="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gridSpan w:val="4"/>
          </w:tcPr>
          <w:p>
            <w:pPr>
              <w:spacing w:after="0" w:line="155" w:lineRule="exact"/>
              <w:rPr>
                <w:sz w:val="20"/>
                <w:szCs w:val="20"/>
                <w:color w:val="auto"/>
              </w:rPr>
            </w:pPr>
            <w:r>
              <w:rPr>
                <w:rFonts w:ascii="Arial" w:cs="Arial" w:eastAsia="Arial" w:hAnsi="Arial"/>
                <w:sz w:val="14"/>
                <w:szCs w:val="14"/>
                <w:color w:val="auto"/>
              </w:rPr>
              <w:t>Asset impairment of $1.5 million, less tax benefit of $0.6 million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3"/>
                <w:szCs w:val="13"/>
                <w:color w:val="auto"/>
              </w:rPr>
            </w:pPr>
          </w:p>
        </w:tc>
        <w:tc>
          <w:tcPr>
            <w:tcW w:w="240" w:type="dxa"/>
            <w:vAlign w:val="bottom"/>
            <w:gridSpan w:val="2"/>
          </w:tcPr>
          <w:p>
            <w:pPr>
              <w:jc w:val="right"/>
              <w:ind w:right="51"/>
              <w:spacing w:after="0" w:line="155" w:lineRule="exact"/>
              <w:rPr>
                <w:sz w:val="20"/>
                <w:szCs w:val="20"/>
                <w:color w:val="auto"/>
              </w:rPr>
            </w:pPr>
            <w:r>
              <w:rPr>
                <w:rFonts w:ascii="Arial" w:cs="Arial" w:eastAsia="Arial" w:hAnsi="Arial"/>
                <w:sz w:val="14"/>
                <w:szCs w:val="14"/>
                <w:i w:val="1"/>
                <w:iCs w:val="1"/>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0.02</w:t>
            </w: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0.9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line="155" w:lineRule="exact"/>
              <w:rPr>
                <w:sz w:val="20"/>
                <w:szCs w:val="20"/>
                <w:color w:val="auto"/>
              </w:rPr>
            </w:pPr>
            <w:r>
              <w:rPr>
                <w:rFonts w:ascii="Arial" w:cs="Arial" w:eastAsia="Arial" w:hAnsi="Arial"/>
                <w:sz w:val="14"/>
                <w:szCs w:val="14"/>
                <w:i w:val="1"/>
                <w:iCs w:val="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6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Charge to establish full valuation allowance for fiscal 2013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i w:val="1"/>
                <w:iCs w:val="1"/>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gridSpan w:val="5"/>
            <w:shd w:val="clear" w:color="auto" w:fill="CFF0FC"/>
          </w:tcPr>
          <w:p>
            <w:pPr>
              <w:jc w:val="right"/>
              <w:spacing w:after="0"/>
              <w:rPr>
                <w:sz w:val="20"/>
                <w:szCs w:val="20"/>
                <w:color w:val="auto"/>
              </w:rPr>
            </w:pPr>
            <w:r>
              <w:rPr>
                <w:rFonts w:ascii="Arial" w:cs="Arial" w:eastAsia="Arial" w:hAnsi="Arial"/>
                <w:sz w:val="14"/>
                <w:szCs w:val="14"/>
                <w:color w:val="auto"/>
              </w:rPr>
              <w:t>51.3</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1"/>
              <w:spacing w:after="0"/>
              <w:rPr>
                <w:sz w:val="20"/>
                <w:szCs w:val="20"/>
                <w:color w:val="auto"/>
              </w:rPr>
            </w:pPr>
            <w:r>
              <w:rPr>
                <w:rFonts w:ascii="Arial" w:cs="Arial" w:eastAsia="Arial" w:hAnsi="Arial"/>
                <w:sz w:val="14"/>
                <w:szCs w:val="14"/>
                <w:i w:val="1"/>
                <w:i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1.05</w:t>
            </w:r>
          </w:p>
        </w:tc>
        <w:tc>
          <w:tcPr>
            <w:tcW w:w="8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i w:val="1"/>
                <w:iCs w:val="1"/>
                <w:color w:val="auto"/>
                <w:w w:val="99"/>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51.3</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60" w:type="dxa"/>
            <w:vAlign w:val="bottom"/>
            <w:gridSpan w:val="4"/>
          </w:tcPr>
          <w:p>
            <w:pPr>
              <w:spacing w:after="0" w:line="155" w:lineRule="exact"/>
              <w:rPr>
                <w:sz w:val="20"/>
                <w:szCs w:val="20"/>
                <w:color w:val="auto"/>
              </w:rPr>
            </w:pPr>
            <w:r>
              <w:rPr>
                <w:rFonts w:ascii="Arial" w:cs="Arial" w:eastAsia="Arial" w:hAnsi="Arial"/>
                <w:sz w:val="14"/>
                <w:szCs w:val="14"/>
                <w:color w:val="auto"/>
              </w:rPr>
              <w:t>Actual income tax provision for fiscal 2014</w:t>
            </w:r>
          </w:p>
        </w:tc>
        <w:tc>
          <w:tcPr>
            <w:tcW w:w="140" w:type="dxa"/>
            <w:vAlign w:val="bottom"/>
          </w:tcPr>
          <w:p>
            <w:pPr>
              <w:spacing w:after="0"/>
              <w:rPr>
                <w:sz w:val="13"/>
                <w:szCs w:val="13"/>
                <w:color w:val="auto"/>
              </w:rPr>
            </w:pPr>
          </w:p>
        </w:tc>
        <w:tc>
          <w:tcPr>
            <w:tcW w:w="3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gridSpan w:val="4"/>
          </w:tcPr>
          <w:p>
            <w:pPr>
              <w:jc w:val="right"/>
              <w:ind w:right="60"/>
              <w:spacing w:after="0" w:line="155" w:lineRule="exact"/>
              <w:rPr>
                <w:sz w:val="20"/>
                <w:szCs w:val="20"/>
                <w:color w:val="auto"/>
              </w:rPr>
            </w:pPr>
            <w:r>
              <w:rPr>
                <w:rFonts w:ascii="Arial" w:cs="Arial" w:eastAsia="Arial" w:hAnsi="Arial"/>
                <w:sz w:val="14"/>
                <w:szCs w:val="14"/>
                <w:i w:val="1"/>
                <w:iCs w:val="1"/>
                <w:color w:val="auto"/>
                <w:w w:val="99"/>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Income tax (provision) benefit, assuming normal tax rate of 40% for fiscal 2014</w:t>
            </w:r>
          </w:p>
        </w:tc>
        <w:tc>
          <w:tcPr>
            <w:tcW w:w="140" w:type="dxa"/>
            <w:vAlign w:val="bottom"/>
            <w:shd w:val="clear" w:color="auto" w:fill="CFF0FC"/>
          </w:tcPr>
          <w:p>
            <w:pPr>
              <w:spacing w:after="0"/>
              <w:rPr>
                <w:sz w:val="13"/>
                <w:szCs w:val="13"/>
                <w:color w:val="auto"/>
              </w:rPr>
            </w:pPr>
          </w:p>
        </w:tc>
        <w:tc>
          <w:tcPr>
            <w:tcW w:w="440" w:type="dxa"/>
            <w:vAlign w:val="bottom"/>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(0.6)</w:t>
            </w:r>
          </w:p>
        </w:tc>
        <w:tc>
          <w:tcPr>
            <w:tcW w:w="140" w:type="dxa"/>
            <w:vAlign w:val="bottom"/>
            <w:gridSpan w:val="2"/>
            <w:shd w:val="clear" w:color="auto" w:fill="CFF0FC"/>
          </w:tcPr>
          <w:p>
            <w:pPr>
              <w:ind w:left="40"/>
              <w:spacing w:after="0" w:line="155" w:lineRule="exact"/>
              <w:rPr>
                <w:sz w:val="20"/>
                <w:szCs w:val="20"/>
                <w:color w:val="auto"/>
              </w:rPr>
            </w:pPr>
            <w:r>
              <w:rPr>
                <w:rFonts w:ascii="Arial" w:cs="Arial" w:eastAsia="Arial" w:hAnsi="Arial"/>
                <w:sz w:val="14"/>
                <w:szCs w:val="14"/>
                <w:i w:val="1"/>
                <w:iCs w:val="1"/>
                <w:color w:val="auto"/>
              </w:rPr>
              <w:t>$</w:t>
            </w:r>
          </w:p>
        </w:tc>
        <w:tc>
          <w:tcPr>
            <w:tcW w:w="8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i w:val="1"/>
                <w:iCs w:val="1"/>
                <w:color w:val="auto"/>
              </w:rPr>
              <w:t>(0.01)</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right w:val="single" w:sz="8" w:color="auto"/>
            </w:tcBorders>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4.4</w:t>
            </w:r>
          </w:p>
        </w:tc>
        <w:tc>
          <w:tcPr>
            <w:tcW w:w="6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72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i w:val="1"/>
                <w:iCs w:val="1"/>
                <w:color w:val="auto"/>
              </w:rPr>
              <w:t>0.09</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FF0FC"/>
              <w:right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60" w:type="dxa"/>
            <w:vAlign w:val="bottom"/>
            <w:gridSpan w:val="4"/>
            <w:shd w:val="clear" w:color="auto" w:fill="CFF0FC"/>
          </w:tcPr>
          <w:p>
            <w:pPr>
              <w:spacing w:after="0" w:line="148" w:lineRule="exact"/>
              <w:rPr>
                <w:sz w:val="20"/>
                <w:szCs w:val="20"/>
                <w:color w:val="auto"/>
              </w:rPr>
            </w:pPr>
            <w:r>
              <w:rPr>
                <w:rFonts w:ascii="Arial" w:cs="Arial" w:eastAsia="Arial" w:hAnsi="Arial"/>
                <w:sz w:val="14"/>
                <w:szCs w:val="14"/>
                <w:b w:val="1"/>
                <w:bCs w:val="1"/>
                <w:color w:val="auto"/>
              </w:rPr>
              <w:t>Adjusted income (loss) from continuing operations, non-GAAP basis</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36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4"/>
                <w:szCs w:val="14"/>
                <w:color w:val="auto"/>
              </w:rPr>
              <w:t>0.9</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8" w:lineRule="exact"/>
              <w:rPr>
                <w:sz w:val="20"/>
                <w:szCs w:val="20"/>
                <w:color w:val="auto"/>
              </w:rPr>
            </w:pPr>
            <w:r>
              <w:rPr>
                <w:rFonts w:ascii="Arial" w:cs="Arial" w:eastAsia="Arial" w:hAnsi="Arial"/>
                <w:sz w:val="14"/>
                <w:szCs w:val="14"/>
                <w:i w:val="1"/>
                <w:iCs w:val="1"/>
                <w:color w:val="auto"/>
              </w:rPr>
              <w:t>$</w:t>
            </w:r>
          </w:p>
        </w:tc>
        <w:tc>
          <w:tcPr>
            <w:tcW w:w="74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i w:val="1"/>
                <w:iCs w:val="1"/>
                <w:color w:val="auto"/>
              </w:rPr>
              <w:t>0.02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jc w:val="center"/>
              <w:ind w:right="11"/>
              <w:spacing w:after="0" w:line="148"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FF0FC"/>
          </w:tcPr>
          <w:p>
            <w:pPr>
              <w:spacing w:after="0"/>
              <w:rPr>
                <w:sz w:val="12"/>
                <w:szCs w:val="12"/>
                <w:color w:val="auto"/>
              </w:rPr>
            </w:pPr>
          </w:p>
        </w:tc>
        <w:tc>
          <w:tcPr>
            <w:tcW w:w="580" w:type="dxa"/>
            <w:vAlign w:val="bottom"/>
            <w:gridSpan w:val="5"/>
            <w:shd w:val="clear" w:color="auto" w:fill="CFF0FC"/>
          </w:tcPr>
          <w:p>
            <w:pPr>
              <w:jc w:val="right"/>
              <w:spacing w:after="0" w:line="148" w:lineRule="exact"/>
              <w:rPr>
                <w:sz w:val="20"/>
                <w:szCs w:val="20"/>
                <w:color w:val="auto"/>
              </w:rPr>
            </w:pPr>
            <w:r>
              <w:rPr>
                <w:rFonts w:ascii="Arial" w:cs="Arial" w:eastAsia="Arial" w:hAnsi="Arial"/>
                <w:sz w:val="14"/>
                <w:szCs w:val="14"/>
                <w:color w:val="auto"/>
              </w:rPr>
              <w:t>(2.0)</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1"/>
              <w:spacing w:after="0" w:line="148" w:lineRule="exact"/>
              <w:rPr>
                <w:sz w:val="20"/>
                <w:szCs w:val="20"/>
                <w:color w:val="auto"/>
              </w:rPr>
            </w:pPr>
            <w:r>
              <w:rPr>
                <w:rFonts w:ascii="Arial" w:cs="Arial" w:eastAsia="Arial" w:hAnsi="Arial"/>
                <w:sz w:val="14"/>
                <w:szCs w:val="14"/>
                <w:i w:val="1"/>
                <w:iCs w:val="1"/>
                <w:color w:val="auto"/>
                <w:w w:val="76"/>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i w:val="1"/>
                <w:iCs w:val="1"/>
                <w:color w:val="auto"/>
              </w:rPr>
              <w:t>(0.04)</w:t>
            </w:r>
          </w:p>
        </w:tc>
        <w:tc>
          <w:tcPr>
            <w:tcW w:w="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520" w:type="dxa"/>
            <w:vAlign w:val="bottom"/>
            <w:gridSpan w:val="4"/>
            <w:shd w:val="clear" w:color="auto" w:fill="CFF0FC"/>
          </w:tcPr>
          <w:p>
            <w:pPr>
              <w:jc w:val="right"/>
              <w:spacing w:after="0" w:line="148" w:lineRule="exact"/>
              <w:rPr>
                <w:sz w:val="20"/>
                <w:szCs w:val="20"/>
                <w:color w:val="auto"/>
              </w:rPr>
            </w:pPr>
            <w:r>
              <w:rPr>
                <w:rFonts w:ascii="Arial" w:cs="Arial" w:eastAsia="Arial" w:hAnsi="Arial"/>
                <w:sz w:val="14"/>
                <w:szCs w:val="14"/>
                <w:color w:val="auto"/>
              </w:rPr>
              <w:t>(6.6)</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i w:val="1"/>
                <w:iCs w:val="1"/>
                <w:color w:val="auto"/>
                <w:w w:val="71"/>
              </w:rPr>
              <w:t>$</w:t>
            </w:r>
          </w:p>
        </w:tc>
        <w:tc>
          <w:tcPr>
            <w:tcW w:w="72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4"/>
                <w:szCs w:val="14"/>
                <w:i w:val="1"/>
                <w:iCs w:val="1"/>
                <w:color w:val="auto"/>
              </w:rPr>
              <w:t>(0.13)</w:t>
            </w:r>
          </w:p>
        </w:tc>
        <w:tc>
          <w:tcPr>
            <w:tcW w:w="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gridSpan w:val="2"/>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color w:val="auto"/>
              </w:rPr>
              <w:t>(6.7)</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line="148" w:lineRule="exact"/>
              <w:rPr>
                <w:sz w:val="20"/>
                <w:szCs w:val="20"/>
                <w:color w:val="auto"/>
              </w:rPr>
            </w:pPr>
            <w:r>
              <w:rPr>
                <w:rFonts w:ascii="Arial" w:cs="Arial" w:eastAsia="Arial" w:hAnsi="Arial"/>
                <w:sz w:val="14"/>
                <w:szCs w:val="14"/>
                <w:i w:val="1"/>
                <w:iCs w:val="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960" w:type="dxa"/>
            <w:vAlign w:val="bottom"/>
            <w:gridSpan w:val="4"/>
          </w:tcPr>
          <w:p>
            <w:pPr>
              <w:spacing w:after="0"/>
              <w:rPr>
                <w:sz w:val="20"/>
                <w:szCs w:val="20"/>
                <w:color w:val="auto"/>
              </w:rPr>
            </w:pPr>
            <w:r>
              <w:rPr>
                <w:rFonts w:ascii="Arial" w:cs="Arial" w:eastAsia="Arial" w:hAnsi="Arial"/>
                <w:sz w:val="14"/>
                <w:szCs w:val="14"/>
                <w:b w:val="1"/>
                <w:bCs w:val="1"/>
                <w:color w:val="auto"/>
              </w:rPr>
              <w:t>Income (loss) from discontinued operations, GAAP basis</w:t>
            </w: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9"/>
                <w:szCs w:val="19"/>
                <w:color w:val="auto"/>
              </w:rPr>
            </w:pPr>
          </w:p>
        </w:tc>
        <w:tc>
          <w:tcPr>
            <w:tcW w:w="240" w:type="dxa"/>
            <w:vAlign w:val="bottom"/>
            <w:gridSpan w:val="2"/>
          </w:tcPr>
          <w:p>
            <w:pPr>
              <w:jc w:val="right"/>
              <w:ind w:right="51"/>
              <w:spacing w:after="0"/>
              <w:rPr>
                <w:sz w:val="20"/>
                <w:szCs w:val="20"/>
                <w:color w:val="auto"/>
              </w:rPr>
            </w:pPr>
            <w:r>
              <w:rPr>
                <w:rFonts w:ascii="Arial" w:cs="Arial" w:eastAsia="Arial" w:hAnsi="Arial"/>
                <w:sz w:val="14"/>
                <w:szCs w:val="14"/>
                <w:i w:val="1"/>
                <w:i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0.01</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5"/>
          </w:tcPr>
          <w:p>
            <w:pPr>
              <w:jc w:val="right"/>
              <w:ind w:right="20"/>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i w:val="1"/>
                <w:iCs w:val="1"/>
                <w:color w:val="auto"/>
              </w:rPr>
              <w:t>(0.02)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960" w:type="dxa"/>
            <w:vAlign w:val="bottom"/>
            <w:tcBorders>
              <w:top w:val="single" w:sz="8" w:color="CFF0FC"/>
            </w:tcBorders>
            <w:gridSpan w:val="4"/>
            <w:shd w:val="clear" w:color="auto" w:fill="CFF0FC"/>
          </w:tcPr>
          <w:p>
            <w:pPr>
              <w:spacing w:after="0" w:line="148" w:lineRule="exact"/>
              <w:rPr>
                <w:sz w:val="20"/>
                <w:szCs w:val="20"/>
                <w:color w:val="auto"/>
              </w:rPr>
            </w:pPr>
            <w:r>
              <w:rPr>
                <w:rFonts w:ascii="Arial" w:cs="Arial" w:eastAsia="Arial" w:hAnsi="Arial"/>
                <w:sz w:val="14"/>
                <w:szCs w:val="14"/>
                <w:b w:val="1"/>
                <w:bCs w:val="1"/>
                <w:color w:val="auto"/>
              </w:rPr>
              <w:t>Adjusted net income (loss), non-GAAP basis</w:t>
            </w: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gridSpan w:val="3"/>
            <w:shd w:val="clear" w:color="auto" w:fill="CFF0FC"/>
          </w:tcPr>
          <w:p>
            <w:pPr>
              <w:jc w:val="right"/>
              <w:spacing w:after="0" w:line="148" w:lineRule="exact"/>
              <w:rPr>
                <w:sz w:val="20"/>
                <w:szCs w:val="20"/>
                <w:color w:val="auto"/>
              </w:rPr>
            </w:pPr>
            <w:r>
              <w:rPr>
                <w:rFonts w:ascii="Arial" w:cs="Arial" w:eastAsia="Arial" w:hAnsi="Arial"/>
                <w:sz w:val="14"/>
                <w:szCs w:val="14"/>
                <w:color w:val="auto"/>
              </w:rPr>
              <w:t>1.0</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FF0FC"/>
          </w:tcPr>
          <w:p>
            <w:pPr>
              <w:ind w:left="40"/>
              <w:spacing w:after="0" w:line="148" w:lineRule="exact"/>
              <w:rPr>
                <w:sz w:val="20"/>
                <w:szCs w:val="20"/>
                <w:color w:val="auto"/>
              </w:rPr>
            </w:pPr>
            <w:r>
              <w:rPr>
                <w:rFonts w:ascii="Arial" w:cs="Arial" w:eastAsia="Arial" w:hAnsi="Arial"/>
                <w:sz w:val="14"/>
                <w:szCs w:val="14"/>
                <w:i w:val="1"/>
                <w:iCs w:val="1"/>
                <w:color w:val="auto"/>
              </w:rPr>
              <w:t>$</w:t>
            </w:r>
          </w:p>
        </w:tc>
        <w:tc>
          <w:tcPr>
            <w:tcW w:w="74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i w:val="1"/>
                <w:iCs w:val="1"/>
                <w:color w:val="auto"/>
              </w:rPr>
              <w:t>0.02</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gridSpan w:val="2"/>
            <w:shd w:val="clear" w:color="auto" w:fill="CFF0FC"/>
          </w:tcPr>
          <w:p>
            <w:pPr>
              <w:jc w:val="center"/>
              <w:spacing w:after="0" w:line="148"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gridSpan w:val="5"/>
            <w:shd w:val="clear" w:color="auto" w:fill="CFF0FC"/>
          </w:tcPr>
          <w:p>
            <w:pPr>
              <w:jc w:val="right"/>
              <w:spacing w:after="0" w:line="148" w:lineRule="exact"/>
              <w:rPr>
                <w:sz w:val="20"/>
                <w:szCs w:val="20"/>
                <w:color w:val="auto"/>
              </w:rPr>
            </w:pPr>
            <w:r>
              <w:rPr>
                <w:rFonts w:ascii="Arial" w:cs="Arial" w:eastAsia="Arial" w:hAnsi="Arial"/>
                <w:sz w:val="14"/>
                <w:szCs w:val="14"/>
                <w:color w:val="auto"/>
              </w:rPr>
              <w:t>(1.6)</w:t>
            </w: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gridSpan w:val="2"/>
            <w:shd w:val="clear" w:color="auto" w:fill="CFF0FC"/>
          </w:tcPr>
          <w:p>
            <w:pPr>
              <w:jc w:val="right"/>
              <w:ind w:right="51"/>
              <w:spacing w:after="0" w:line="148" w:lineRule="exact"/>
              <w:rPr>
                <w:sz w:val="20"/>
                <w:szCs w:val="20"/>
                <w:color w:val="auto"/>
              </w:rPr>
            </w:pPr>
            <w:r>
              <w:rPr>
                <w:rFonts w:ascii="Arial" w:cs="Arial" w:eastAsia="Arial" w:hAnsi="Arial"/>
                <w:sz w:val="14"/>
                <w:szCs w:val="14"/>
                <w:i w:val="1"/>
                <w:iCs w:val="1"/>
                <w:color w:val="auto"/>
              </w:rPr>
              <w:t>$</w:t>
            </w:r>
          </w:p>
        </w:tc>
        <w:tc>
          <w:tcPr>
            <w:tcW w:w="62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i w:val="1"/>
                <w:iCs w:val="1"/>
                <w:color w:val="auto"/>
              </w:rPr>
              <w:t>(0.03)</w:t>
            </w:r>
          </w:p>
        </w:tc>
        <w:tc>
          <w:tcPr>
            <w:tcW w:w="8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4"/>
            <w:shd w:val="clear" w:color="auto" w:fill="CFF0FC"/>
          </w:tcPr>
          <w:p>
            <w:pPr>
              <w:jc w:val="right"/>
              <w:spacing w:after="0" w:line="148" w:lineRule="exact"/>
              <w:rPr>
                <w:sz w:val="20"/>
                <w:szCs w:val="20"/>
                <w:color w:val="auto"/>
              </w:rPr>
            </w:pPr>
            <w:r>
              <w:rPr>
                <w:rFonts w:ascii="Arial" w:cs="Arial" w:eastAsia="Arial" w:hAnsi="Arial"/>
                <w:sz w:val="14"/>
                <w:szCs w:val="14"/>
                <w:color w:val="auto"/>
              </w:rPr>
              <w:t>(7.7)</w:t>
            </w: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FF0FC"/>
          </w:tcPr>
          <w:p>
            <w:pPr>
              <w:jc w:val="right"/>
              <w:spacing w:after="0" w:line="148" w:lineRule="exact"/>
              <w:rPr>
                <w:sz w:val="20"/>
                <w:szCs w:val="20"/>
                <w:color w:val="auto"/>
              </w:rPr>
            </w:pPr>
            <w:r>
              <w:rPr>
                <w:rFonts w:ascii="Arial" w:cs="Arial" w:eastAsia="Arial" w:hAnsi="Arial"/>
                <w:sz w:val="14"/>
                <w:szCs w:val="14"/>
                <w:i w:val="1"/>
                <w:iCs w:val="1"/>
                <w:color w:val="auto"/>
              </w:rPr>
              <w:t>$</w:t>
            </w:r>
          </w:p>
        </w:tc>
        <w:tc>
          <w:tcPr>
            <w:tcW w:w="720" w:type="dxa"/>
            <w:vAlign w:val="bottom"/>
            <w:tcBorders>
              <w:top w:val="single" w:sz="8" w:color="auto"/>
              <w:bottom w:val="single" w:sz="8" w:color="auto"/>
            </w:tcBorders>
            <w:gridSpan w:val="3"/>
            <w:shd w:val="clear" w:color="auto" w:fill="CFF0FC"/>
          </w:tcPr>
          <w:p>
            <w:pPr>
              <w:jc w:val="right"/>
              <w:spacing w:after="0" w:line="148" w:lineRule="exact"/>
              <w:rPr>
                <w:sz w:val="20"/>
                <w:szCs w:val="20"/>
                <w:color w:val="auto"/>
              </w:rPr>
            </w:pPr>
            <w:r>
              <w:rPr>
                <w:rFonts w:ascii="Arial" w:cs="Arial" w:eastAsia="Arial" w:hAnsi="Arial"/>
                <w:sz w:val="14"/>
                <w:szCs w:val="14"/>
                <w:i w:val="1"/>
                <w:iCs w:val="1"/>
                <w:color w:val="auto"/>
              </w:rPr>
              <w:t>(0.16)</w:t>
            </w:r>
          </w:p>
        </w:tc>
        <w:tc>
          <w:tcPr>
            <w:tcW w:w="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FF0FC"/>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(6.2)</w:t>
            </w:r>
          </w:p>
        </w:tc>
        <w:tc>
          <w:tcPr>
            <w:tcW w:w="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line="148" w:lineRule="exact"/>
              <w:rPr>
                <w:sz w:val="20"/>
                <w:szCs w:val="20"/>
                <w:color w:val="auto"/>
              </w:rPr>
            </w:pPr>
            <w:r>
              <w:rPr>
                <w:rFonts w:ascii="Arial" w:cs="Arial" w:eastAsia="Arial" w:hAnsi="Arial"/>
                <w:sz w:val="14"/>
                <w:szCs w:val="14"/>
                <w:i w:val="1"/>
                <w:iCs w:val="1"/>
                <w:color w:val="auto"/>
              </w:rPr>
              <w:t>$</w:t>
            </w: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960" w:type="dxa"/>
            <w:vAlign w:val="bottom"/>
            <w:gridSpan w:val="4"/>
            <w:shd w:val="clear" w:color="auto" w:fill="CFF0FC"/>
          </w:tcPr>
          <w:p>
            <w:pPr>
              <w:spacing w:after="0" w:line="137" w:lineRule="exact"/>
              <w:rPr>
                <w:sz w:val="20"/>
                <w:szCs w:val="20"/>
                <w:color w:val="auto"/>
              </w:rPr>
            </w:pPr>
            <w:r>
              <w:rPr>
                <w:rFonts w:ascii="Arial" w:cs="Arial" w:eastAsia="Arial" w:hAnsi="Arial"/>
                <w:sz w:val="14"/>
                <w:szCs w:val="14"/>
                <w:color w:val="auto"/>
              </w:rPr>
              <w:t>Weighted average number of common shares</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60" w:type="dxa"/>
            <w:vAlign w:val="bottom"/>
            <w:gridSpan w:val="4"/>
            <w:shd w:val="clear" w:color="auto" w:fill="CFF0FC"/>
          </w:tcPr>
          <w:p>
            <w:pPr>
              <w:ind w:left="100"/>
              <w:spacing w:after="0"/>
              <w:rPr>
                <w:sz w:val="20"/>
                <w:szCs w:val="20"/>
                <w:color w:val="auto"/>
              </w:rPr>
            </w:pPr>
            <w:r>
              <w:rPr>
                <w:rFonts w:ascii="Arial" w:cs="Arial" w:eastAsia="Arial" w:hAnsi="Arial"/>
                <w:sz w:val="14"/>
                <w:szCs w:val="14"/>
                <w:color w:val="auto"/>
              </w:rPr>
              <w:t>outstanding on a diluted basis</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w:t>
            </w:r>
          </w:p>
        </w:tc>
        <w:tc>
          <w:tcPr>
            <w:tcW w:w="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48.7</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583"/>
        </w:trPr>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20" w:type="dxa"/>
            <w:vAlign w:val="bottom"/>
            <w:gridSpan w:val="21"/>
          </w:tcPr>
          <w:p>
            <w:pPr>
              <w:jc w:val="right"/>
              <w:spacing w:after="0"/>
              <w:rPr>
                <w:sz w:val="20"/>
                <w:szCs w:val="20"/>
                <w:color w:val="auto"/>
              </w:rPr>
            </w:pPr>
            <w:r>
              <w:rPr>
                <w:rFonts w:ascii="Arial" w:cs="Arial" w:eastAsia="Arial" w:hAnsi="Arial"/>
                <w:sz w:val="14"/>
                <w:szCs w:val="14"/>
                <w:b w:val="1"/>
                <w:bCs w:val="1"/>
                <w:color w:val="auto"/>
              </w:rPr>
              <w:t>GAAP TO NON-GAAP FREE CASH FLOW RECONCILIATION</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11"/>
          </w:tcPr>
          <w:p>
            <w:pPr>
              <w:jc w:val="center"/>
              <w:ind w:left="31"/>
              <w:spacing w:after="0"/>
              <w:rPr>
                <w:sz w:val="20"/>
                <w:szCs w:val="20"/>
                <w:color w:val="auto"/>
              </w:rPr>
            </w:pPr>
            <w:r>
              <w:rPr>
                <w:rFonts w:ascii="Arial" w:cs="Arial" w:eastAsia="Arial" w:hAnsi="Arial"/>
                <w:sz w:val="14"/>
                <w:szCs w:val="14"/>
                <w:color w:val="auto"/>
                <w:w w:val="87"/>
              </w:rPr>
              <w:t>Projected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960" w:type="dxa"/>
            <w:vAlign w:val="bottom"/>
            <w:tcBorders>
              <w:bottom w:val="single" w:sz="8" w:color="CFF0FC"/>
            </w:tcBorders>
            <w:gridSpan w:val="4"/>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97"/>
              </w:rPr>
              <w:t>Fiscal 2014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4"/>
              </w:rPr>
              <w:t>Fiscal 2013</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11"/>
          </w:tcPr>
          <w:p>
            <w:pPr>
              <w:jc w:val="center"/>
              <w:ind w:left="31"/>
              <w:spacing w:after="0"/>
              <w:rPr>
                <w:sz w:val="20"/>
                <w:szCs w:val="20"/>
                <w:color w:val="auto"/>
              </w:rPr>
            </w:pPr>
            <w:r>
              <w:rPr>
                <w:rFonts w:ascii="Arial" w:cs="Arial" w:eastAsia="Arial" w:hAnsi="Arial"/>
                <w:sz w:val="14"/>
                <w:szCs w:val="14"/>
                <w:color w:val="auto"/>
                <w:w w:val="89"/>
              </w:rPr>
              <w:t>Fiscal 2015</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60" w:type="dxa"/>
            <w:vAlign w:val="bottom"/>
            <w:gridSpan w:val="4"/>
            <w:shd w:val="clear" w:color="auto" w:fill="CFF0FC"/>
          </w:tcPr>
          <w:p>
            <w:pPr>
              <w:spacing w:after="0" w:line="148" w:lineRule="exact"/>
              <w:rPr>
                <w:sz w:val="20"/>
                <w:szCs w:val="20"/>
                <w:color w:val="auto"/>
              </w:rPr>
            </w:pPr>
            <w:r>
              <w:rPr>
                <w:rFonts w:ascii="Arial" w:cs="Arial" w:eastAsia="Arial" w:hAnsi="Arial"/>
                <w:sz w:val="14"/>
                <w:szCs w:val="14"/>
                <w:b w:val="1"/>
                <w:bCs w:val="1"/>
                <w:color w:val="auto"/>
              </w:rPr>
              <w:t>Cash flow from operating activities (GAAP)</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line="148"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ind w:left="110"/>
              <w:spacing w:after="0" w:line="148" w:lineRule="exact"/>
              <w:rPr>
                <w:sz w:val="20"/>
                <w:szCs w:val="20"/>
                <w:color w:val="auto"/>
              </w:rPr>
            </w:pPr>
            <w:r>
              <w:rPr>
                <w:rFonts w:ascii="Arial" w:cs="Arial" w:eastAsia="Arial" w:hAnsi="Arial"/>
                <w:sz w:val="14"/>
                <w:szCs w:val="14"/>
                <w:color w:val="auto"/>
                <w:w w:val="87"/>
              </w:rPr>
              <w:t>13.8</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1"/>
              <w:spacing w:after="0" w:line="148"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center"/>
              <w:ind w:left="151"/>
              <w:spacing w:after="0" w:line="148" w:lineRule="exact"/>
              <w:rPr>
                <w:sz w:val="20"/>
                <w:szCs w:val="20"/>
                <w:color w:val="auto"/>
              </w:rPr>
            </w:pPr>
            <w:r>
              <w:rPr>
                <w:rFonts w:ascii="Arial" w:cs="Arial" w:eastAsia="Arial" w:hAnsi="Arial"/>
                <w:sz w:val="14"/>
                <w:szCs w:val="14"/>
                <w:color w:val="auto"/>
                <w:w w:val="87"/>
              </w:rPr>
              <w:t>24.9</w:t>
            </w:r>
          </w:p>
        </w:tc>
        <w:tc>
          <w:tcPr>
            <w:tcW w:w="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gridSpan w:val="9"/>
            <w:shd w:val="clear" w:color="auto" w:fill="CFF0FC"/>
          </w:tcPr>
          <w:p>
            <w:pPr>
              <w:jc w:val="center"/>
              <w:ind w:left="151"/>
              <w:spacing w:after="0" w:line="148" w:lineRule="exact"/>
              <w:rPr>
                <w:sz w:val="20"/>
                <w:szCs w:val="20"/>
                <w:color w:val="auto"/>
              </w:rPr>
            </w:pPr>
            <w:r>
              <w:rPr>
                <w:rFonts w:ascii="Arial" w:cs="Arial" w:eastAsia="Arial" w:hAnsi="Arial"/>
                <w:sz w:val="14"/>
                <w:szCs w:val="14"/>
                <w:color w:val="auto"/>
                <w:w w:val="88"/>
              </w:rPr>
              <w:t>$18.5-$19.5</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gridSpan w:val="4"/>
          </w:tcPr>
          <w:p>
            <w:pPr>
              <w:spacing w:after="0" w:line="155" w:lineRule="exact"/>
              <w:rPr>
                <w:sz w:val="20"/>
                <w:szCs w:val="20"/>
                <w:color w:val="auto"/>
              </w:rPr>
            </w:pPr>
            <w:r>
              <w:rPr>
                <w:rFonts w:ascii="Arial" w:cs="Arial" w:eastAsia="Arial" w:hAnsi="Arial"/>
                <w:sz w:val="14"/>
                <w:szCs w:val="14"/>
                <w:color w:val="auto"/>
              </w:rPr>
              <w:t>Less: Capital expenditures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left="90"/>
              <w:spacing w:after="0" w:line="155" w:lineRule="exact"/>
              <w:rPr>
                <w:sz w:val="20"/>
                <w:szCs w:val="20"/>
                <w:color w:val="auto"/>
              </w:rPr>
            </w:pPr>
            <w:r>
              <w:rPr>
                <w:rFonts w:ascii="Arial" w:cs="Arial" w:eastAsia="Arial" w:hAnsi="Arial"/>
                <w:sz w:val="14"/>
                <w:szCs w:val="14"/>
                <w:color w:val="auto"/>
                <w:w w:val="92"/>
              </w:rPr>
              <w:t>(40.9)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center"/>
              <w:ind w:left="171"/>
              <w:spacing w:after="0" w:line="155" w:lineRule="exact"/>
              <w:rPr>
                <w:sz w:val="20"/>
                <w:szCs w:val="20"/>
                <w:color w:val="auto"/>
              </w:rPr>
            </w:pPr>
            <w:r>
              <w:rPr>
                <w:rFonts w:ascii="Arial" w:cs="Arial" w:eastAsia="Arial" w:hAnsi="Arial"/>
                <w:sz w:val="14"/>
                <w:szCs w:val="14"/>
                <w:color w:val="auto"/>
                <w:w w:val="92"/>
              </w:rPr>
              <w:t>(54.1)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9"/>
          </w:tcPr>
          <w:p>
            <w:pPr>
              <w:jc w:val="center"/>
              <w:ind w:left="131"/>
              <w:spacing w:after="0" w:line="155" w:lineRule="exact"/>
              <w:rPr>
                <w:sz w:val="20"/>
                <w:szCs w:val="20"/>
                <w:color w:val="auto"/>
              </w:rPr>
            </w:pPr>
            <w:r>
              <w:rPr>
                <w:rFonts w:ascii="Arial" w:cs="Arial" w:eastAsia="Arial" w:hAnsi="Arial"/>
                <w:sz w:val="14"/>
                <w:szCs w:val="14"/>
                <w:color w:val="auto"/>
                <w:w w:val="92"/>
              </w:rPr>
              <w:t>(38.0)-(41.0)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Less: Store acquisitions, if applicable</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gridSpan w:val="2"/>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gridSpan w:val="4"/>
            <w:shd w:val="clear" w:color="auto" w:fill="CFF0FC"/>
          </w:tcPr>
          <w:p>
            <w:pPr>
              <w:jc w:val="center"/>
              <w:ind w:left="31"/>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w:t>
            </w:r>
          </w:p>
        </w:tc>
        <w:tc>
          <w:tcPr>
            <w:tcW w:w="42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6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Free Cash Flow (non-GAAP)</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left="90"/>
              <w:spacing w:after="0" w:line="148" w:lineRule="exact"/>
              <w:rPr>
                <w:sz w:val="20"/>
                <w:szCs w:val="20"/>
                <w:color w:val="auto"/>
              </w:rPr>
            </w:pPr>
            <w:r>
              <w:rPr>
                <w:rFonts w:ascii="Arial" w:cs="Arial" w:eastAsia="Arial" w:hAnsi="Arial"/>
                <w:sz w:val="14"/>
                <w:szCs w:val="14"/>
                <w:color w:val="auto"/>
                <w:w w:val="92"/>
              </w:rPr>
              <w:t>(27.1)</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jc w:val="right"/>
              <w:ind w:right="31"/>
              <w:spacing w:after="0" w:line="148"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left="171"/>
              <w:spacing w:after="0" w:line="148" w:lineRule="exact"/>
              <w:rPr>
                <w:sz w:val="20"/>
                <w:szCs w:val="20"/>
                <w:color w:val="auto"/>
              </w:rPr>
            </w:pPr>
            <w:r>
              <w:rPr>
                <w:rFonts w:ascii="Arial" w:cs="Arial" w:eastAsia="Arial" w:hAnsi="Arial"/>
                <w:sz w:val="14"/>
                <w:szCs w:val="14"/>
                <w:color w:val="auto"/>
                <w:w w:val="92"/>
              </w:rPr>
              <w:t>(29.2)</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9"/>
          </w:tcPr>
          <w:p>
            <w:pPr>
              <w:jc w:val="center"/>
              <w:ind w:left="131"/>
              <w:spacing w:after="0" w:line="148" w:lineRule="exact"/>
              <w:rPr>
                <w:sz w:val="20"/>
                <w:szCs w:val="20"/>
                <w:color w:val="auto"/>
              </w:rPr>
            </w:pPr>
            <w:r>
              <w:rPr>
                <w:rFonts w:ascii="Arial" w:cs="Arial" w:eastAsia="Arial" w:hAnsi="Arial"/>
                <w:sz w:val="14"/>
                <w:szCs w:val="14"/>
                <w:color w:val="auto"/>
                <w:w w:val="89"/>
              </w:rPr>
              <w:t>$(18.5)-$(22.5)</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8"/>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6"/>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80" w:type="dxa"/>
            <w:vAlign w:val="bottom"/>
            <w:gridSpan w:val="27"/>
          </w:tcPr>
          <w:p>
            <w:pPr>
              <w:jc w:val="right"/>
              <w:spacing w:after="0"/>
              <w:rPr>
                <w:sz w:val="20"/>
                <w:szCs w:val="20"/>
                <w:color w:val="auto"/>
              </w:rPr>
            </w:pPr>
            <w:r>
              <w:rPr>
                <w:rFonts w:ascii="Arial" w:cs="Arial" w:eastAsia="Arial" w:hAnsi="Arial"/>
                <w:sz w:val="14"/>
                <w:szCs w:val="14"/>
                <w:b w:val="1"/>
                <w:bCs w:val="1"/>
                <w:color w:val="auto"/>
              </w:rPr>
              <w:t>GAAP TO NON-GAAP RECONCILIATION OF EBITDA FROM CONTINUING OPERATIONS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980" w:type="dxa"/>
            <w:vAlign w:val="bottom"/>
            <w:gridSpan w:val="19"/>
          </w:tcPr>
          <w:p>
            <w:pPr>
              <w:jc w:val="right"/>
              <w:ind w:right="220"/>
              <w:spacing w:after="0" w:line="159" w:lineRule="exact"/>
              <w:rPr>
                <w:sz w:val="20"/>
                <w:szCs w:val="20"/>
                <w:color w:val="auto"/>
              </w:rPr>
            </w:pPr>
            <w:r>
              <w:rPr>
                <w:rFonts w:ascii="Arial" w:cs="Arial" w:eastAsia="Arial" w:hAnsi="Arial"/>
                <w:sz w:val="14"/>
                <w:szCs w:val="14"/>
                <w:i w:val="1"/>
                <w:iCs w:val="1"/>
                <w:color w:val="auto"/>
              </w:rPr>
              <w:t>(certain columns may not foot due to rounding)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13"/>
          </w:tcPr>
          <w:p>
            <w:pPr>
              <w:jc w:val="right"/>
              <w:spacing w:after="0" w:line="155" w:lineRule="exact"/>
              <w:rPr>
                <w:sz w:val="20"/>
                <w:szCs w:val="20"/>
                <w:color w:val="auto"/>
              </w:rPr>
            </w:pPr>
            <w:r>
              <w:rPr>
                <w:rFonts w:ascii="Arial" w:cs="Arial" w:eastAsia="Arial" w:hAnsi="Arial"/>
                <w:sz w:val="14"/>
                <w:szCs w:val="14"/>
                <w:color w:val="auto"/>
              </w:rPr>
              <w:t>For the three months ended:</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11"/>
          </w:tcPr>
          <w:p>
            <w:pPr>
              <w:ind w:left="40"/>
              <w:spacing w:after="0" w:line="155" w:lineRule="exact"/>
              <w:rPr>
                <w:sz w:val="20"/>
                <w:szCs w:val="20"/>
                <w:color w:val="auto"/>
              </w:rPr>
            </w:pPr>
            <w:r>
              <w:rPr>
                <w:rFonts w:ascii="Arial" w:cs="Arial" w:eastAsia="Arial" w:hAnsi="Arial"/>
                <w:sz w:val="14"/>
                <w:szCs w:val="14"/>
                <w:color w:val="auto"/>
                <w:w w:val="88"/>
              </w:rPr>
              <w:t>For the fiscal year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60" w:type="dxa"/>
            <w:vAlign w:val="bottom"/>
            <w:gridSpan w:val="4"/>
          </w:tcPr>
          <w:p>
            <w:pPr>
              <w:spacing w:after="0" w:line="148" w:lineRule="exact"/>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6"/>
          </w:tcPr>
          <w:p>
            <w:pPr>
              <w:ind w:left="20"/>
              <w:spacing w:after="0" w:line="148" w:lineRule="exact"/>
              <w:rPr>
                <w:sz w:val="20"/>
                <w:szCs w:val="20"/>
                <w:color w:val="auto"/>
              </w:rPr>
            </w:pPr>
            <w:r>
              <w:rPr>
                <w:rFonts w:ascii="Arial" w:cs="Arial" w:eastAsia="Arial" w:hAnsi="Arial"/>
                <w:sz w:val="14"/>
                <w:szCs w:val="14"/>
                <w:color w:val="auto"/>
              </w:rPr>
              <w:t>January 31, 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8"/>
          </w:tcPr>
          <w:p>
            <w:pPr>
              <w:ind w:left="80"/>
              <w:spacing w:after="0" w:line="148" w:lineRule="exact"/>
              <w:rPr>
                <w:sz w:val="20"/>
                <w:szCs w:val="20"/>
                <w:color w:val="auto"/>
              </w:rPr>
            </w:pPr>
            <w:r>
              <w:rPr>
                <w:rFonts w:ascii="Arial" w:cs="Arial" w:eastAsia="Arial" w:hAnsi="Arial"/>
                <w:sz w:val="14"/>
                <w:szCs w:val="14"/>
                <w:color w:val="auto"/>
              </w:rPr>
              <w:t>February 1, 2014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11"/>
          </w:tcPr>
          <w:p>
            <w:pPr>
              <w:jc w:val="right"/>
              <w:ind w:right="360"/>
              <w:spacing w:after="0" w:line="148" w:lineRule="exact"/>
              <w:rPr>
                <w:sz w:val="20"/>
                <w:szCs w:val="20"/>
                <w:color w:val="auto"/>
              </w:rPr>
            </w:pPr>
            <w:r>
              <w:rPr>
                <w:rFonts w:ascii="Arial" w:cs="Arial" w:eastAsia="Arial" w:hAnsi="Arial"/>
                <w:sz w:val="14"/>
                <w:szCs w:val="14"/>
                <w:color w:val="auto"/>
                <w:w w:val="96"/>
              </w:rPr>
              <w:t>January 31, 2015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6"/>
          </w:tcPr>
          <w:p>
            <w:pPr>
              <w:jc w:val="right"/>
              <w:ind w:right="140"/>
              <w:spacing w:after="0" w:line="148" w:lineRule="exact"/>
              <w:rPr>
                <w:sz w:val="20"/>
                <w:szCs w:val="20"/>
                <w:color w:val="auto"/>
              </w:rPr>
            </w:pPr>
            <w:r>
              <w:rPr>
                <w:rFonts w:ascii="Arial" w:cs="Arial" w:eastAsia="Arial" w:hAnsi="Arial"/>
                <w:sz w:val="14"/>
                <w:szCs w:val="14"/>
                <w:color w:val="auto"/>
                <w:w w:val="91"/>
              </w:rPr>
              <w:t>February 1, 2014</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460" w:type="dxa"/>
            <w:vAlign w:val="bottom"/>
            <w:tcBorders>
              <w:bottom w:val="single" w:sz="8" w:color="auto"/>
            </w:tcBorders>
            <w:gridSpan w:val="3"/>
          </w:tcPr>
          <w:p>
            <w:pPr>
              <w:spacing w:after="0" w:line="128" w:lineRule="exact"/>
              <w:rPr>
                <w:sz w:val="20"/>
                <w:szCs w:val="20"/>
                <w:color w:val="auto"/>
              </w:rPr>
            </w:pPr>
            <w:r>
              <w:rPr>
                <w:rFonts w:ascii="Arial" w:cs="Arial" w:eastAsia="Arial" w:hAnsi="Arial"/>
                <w:sz w:val="14"/>
                <w:szCs w:val="14"/>
                <w:color w:val="auto"/>
                <w:w w:val="91"/>
              </w:rPr>
              <w:t>EBITDA from continuing operations (a Non-GAAP measure):</w:t>
            </w: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60" w:type="dxa"/>
            <w:vAlign w:val="bottom"/>
            <w:gridSpan w:val="4"/>
            <w:shd w:val="clear" w:color="auto" w:fill="CFF0FC"/>
          </w:tcPr>
          <w:p>
            <w:pPr>
              <w:spacing w:after="0" w:line="148"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FF0FC"/>
          </w:tcPr>
          <w:p>
            <w:pPr>
              <w:spacing w:after="0"/>
              <w:rPr>
                <w:sz w:val="12"/>
                <w:szCs w:val="12"/>
                <w:color w:val="auto"/>
              </w:rPr>
            </w:pPr>
          </w:p>
        </w:tc>
        <w:tc>
          <w:tcPr>
            <w:tcW w:w="440" w:type="dxa"/>
            <w:vAlign w:val="bottom"/>
            <w:gridSpan w:val="4"/>
            <w:shd w:val="clear" w:color="auto" w:fill="CFF0FC"/>
          </w:tcPr>
          <w:p>
            <w:pPr>
              <w:jc w:val="right"/>
              <w:ind w:right="40"/>
              <w:spacing w:after="0" w:line="148"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center"/>
              <w:spacing w:after="0" w:line="148" w:lineRule="exact"/>
              <w:rPr>
                <w:sz w:val="20"/>
                <w:szCs w:val="20"/>
                <w:color w:val="auto"/>
              </w:rPr>
            </w:pPr>
            <w:r>
              <w:rPr>
                <w:rFonts w:ascii="Arial" w:cs="Arial" w:eastAsia="Arial" w:hAnsi="Arial"/>
                <w:sz w:val="14"/>
                <w:szCs w:val="14"/>
                <w:color w:val="auto"/>
                <w:w w:val="81"/>
              </w:rPr>
              <w:t>1.6</w:t>
            </w:r>
          </w:p>
        </w:tc>
        <w:tc>
          <w:tcPr>
            <w:tcW w:w="60" w:type="dxa"/>
            <w:vAlign w:val="bottom"/>
            <w:shd w:val="clear" w:color="auto" w:fill="CFF0FC"/>
          </w:tcPr>
          <w:p>
            <w:pPr>
              <w:spacing w:after="0"/>
              <w:rPr>
                <w:sz w:val="12"/>
                <w:szCs w:val="12"/>
                <w:color w:val="auto"/>
              </w:rPr>
            </w:pPr>
          </w:p>
        </w:tc>
        <w:tc>
          <w:tcPr>
            <w:tcW w:w="580" w:type="dxa"/>
            <w:vAlign w:val="bottom"/>
            <w:gridSpan w:val="5"/>
            <w:shd w:val="clear" w:color="auto" w:fill="CFF0FC"/>
          </w:tcPr>
          <w:p>
            <w:pPr>
              <w:jc w:val="right"/>
              <w:ind w:right="71"/>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20"/>
              <w:spacing w:after="0" w:line="148" w:lineRule="exact"/>
              <w:rPr>
                <w:sz w:val="20"/>
                <w:szCs w:val="20"/>
                <w:color w:val="auto"/>
              </w:rPr>
            </w:pPr>
            <w:r>
              <w:rPr>
                <w:rFonts w:ascii="Arial" w:cs="Arial" w:eastAsia="Arial" w:hAnsi="Arial"/>
                <w:sz w:val="14"/>
                <w:szCs w:val="14"/>
                <w:color w:val="auto"/>
              </w:rPr>
              <w:t>(55.1)</w:t>
            </w: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4"/>
                <w:szCs w:val="14"/>
                <w:color w:val="auto"/>
              </w:rPr>
              <w:t>(12.3)</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gridSpan w:val="3"/>
            <w:shd w:val="clear" w:color="auto" w:fill="CFF0FC"/>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5"/>
        </w:trPr>
        <w:tc>
          <w:tcPr>
            <w:tcW w:w="4960" w:type="dxa"/>
            <w:vAlign w:val="bottom"/>
            <w:gridSpan w:val="4"/>
          </w:tcPr>
          <w:p>
            <w:pPr>
              <w:spacing w:after="0" w:line="155" w:lineRule="exact"/>
              <w:rPr>
                <w:sz w:val="20"/>
                <w:szCs w:val="20"/>
                <w:color w:val="auto"/>
              </w:rPr>
            </w:pPr>
            <w:r>
              <w:rPr>
                <w:rFonts w:ascii="Arial" w:cs="Arial" w:eastAsia="Arial" w:hAnsi="Arial"/>
                <w:sz w:val="14"/>
                <w:szCs w:val="14"/>
                <w:color w:val="auto"/>
              </w:rPr>
              <w:t>Add back:</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Provision (benefit) from income taxes</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center"/>
              <w:spacing w:after="0" w:line="155" w:lineRule="exact"/>
              <w:rPr>
                <w:sz w:val="20"/>
                <w:szCs w:val="20"/>
                <w:color w:val="auto"/>
              </w:rPr>
            </w:pPr>
            <w:r>
              <w:rPr>
                <w:rFonts w:ascii="Arial" w:cs="Arial" w:eastAsia="Arial" w:hAnsi="Arial"/>
                <w:sz w:val="14"/>
                <w:szCs w:val="14"/>
                <w:color w:val="auto"/>
                <w:w w:val="81"/>
              </w:rPr>
              <w:t>0.1</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48.8</w:t>
            </w: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5"/>
        </w:trPr>
        <w:tc>
          <w:tcPr>
            <w:tcW w:w="4960" w:type="dxa"/>
            <w:vAlign w:val="bottom"/>
            <w:gridSpan w:val="4"/>
          </w:tcPr>
          <w:p>
            <w:pPr>
              <w:spacing w:after="0" w:line="155" w:lineRule="exact"/>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center"/>
              <w:spacing w:after="0" w:line="155" w:lineRule="exact"/>
              <w:rPr>
                <w:sz w:val="20"/>
                <w:szCs w:val="20"/>
                <w:color w:val="auto"/>
              </w:rPr>
            </w:pPr>
            <w:r>
              <w:rPr>
                <w:rFonts w:ascii="Arial" w:cs="Arial" w:eastAsia="Arial" w:hAnsi="Arial"/>
                <w:sz w:val="14"/>
                <w:szCs w:val="14"/>
                <w:color w:val="auto"/>
                <w:w w:val="81"/>
              </w:rPr>
              <w:t>0.8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4960" w:type="dxa"/>
            <w:vAlign w:val="bottom"/>
            <w:tcBorders>
              <w:bottom w:val="single" w:sz="8" w:color="auto"/>
            </w:tcBorders>
            <w:gridSpan w:val="4"/>
            <w:shd w:val="clear" w:color="auto" w:fill="CFF0FC"/>
          </w:tcPr>
          <w:p>
            <w:pPr>
              <w:spacing w:after="0" w:line="155" w:lineRule="exact"/>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gridSpan w:val="2"/>
            <w:shd w:val="clear" w:color="auto" w:fill="CFF0FC"/>
          </w:tcPr>
          <w:p>
            <w:pPr>
              <w:jc w:val="center"/>
              <w:spacing w:after="0" w:line="155" w:lineRule="exact"/>
              <w:rPr>
                <w:sz w:val="20"/>
                <w:szCs w:val="20"/>
                <w:color w:val="auto"/>
              </w:rPr>
            </w:pPr>
            <w:r>
              <w:rPr>
                <w:rFonts w:ascii="Arial" w:cs="Arial" w:eastAsia="Arial" w:hAnsi="Arial"/>
                <w:sz w:val="14"/>
                <w:szCs w:val="14"/>
                <w:color w:val="auto"/>
                <w:w w:val="81"/>
              </w:rPr>
              <w:t>6.8</w:t>
            </w:r>
          </w:p>
        </w:tc>
        <w:tc>
          <w:tcPr>
            <w:tcW w:w="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right w:val="single" w:sz="8" w:color="CFF0FC"/>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7.3</w:t>
            </w:r>
          </w:p>
        </w:tc>
        <w:tc>
          <w:tcPr>
            <w:tcW w:w="4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24.0</w:t>
            </w: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4960" w:type="dxa"/>
            <w:vAlign w:val="bottom"/>
            <w:gridSpan w:val="4"/>
          </w:tcPr>
          <w:p>
            <w:pPr>
              <w:spacing w:after="0" w:line="148" w:lineRule="exact"/>
              <w:rPr>
                <w:sz w:val="20"/>
                <w:szCs w:val="20"/>
                <w:color w:val="auto"/>
              </w:rPr>
            </w:pPr>
            <w:r>
              <w:rPr>
                <w:rFonts w:ascii="Arial" w:cs="Arial" w:eastAsia="Arial" w:hAnsi="Arial"/>
                <w:sz w:val="14"/>
                <w:szCs w:val="14"/>
                <w:color w:val="auto"/>
              </w:rPr>
              <w:t>EBITDA</w:t>
            </w:r>
          </w:p>
        </w:tc>
        <w:tc>
          <w:tcPr>
            <w:tcW w:w="140" w:type="dxa"/>
            <w:vAlign w:val="bottom"/>
          </w:tcPr>
          <w:p>
            <w:pPr>
              <w:spacing w:after="0"/>
              <w:rPr>
                <w:sz w:val="12"/>
                <w:szCs w:val="12"/>
                <w:color w:val="auto"/>
              </w:rPr>
            </w:pPr>
          </w:p>
        </w:tc>
        <w:tc>
          <w:tcPr>
            <w:tcW w:w="440" w:type="dxa"/>
            <w:vAlign w:val="bottom"/>
            <w:gridSpan w:val="4"/>
          </w:tcPr>
          <w:p>
            <w:pPr>
              <w:jc w:val="right"/>
              <w:ind w:right="40"/>
              <w:spacing w:after="0" w:line="14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81"/>
              </w:rPr>
              <w:t>9.3</w:t>
            </w: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right"/>
              <w:ind w:right="71"/>
              <w:spacing w:after="0" w:line="148"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jc w:val="right"/>
              <w:ind w:right="4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4"/>
                <w:szCs w:val="14"/>
                <w:color w:val="auto"/>
              </w:rPr>
              <w:t>14.1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jc w:val="right"/>
              <w:ind w:right="28"/>
              <w:spacing w:after="0" w:line="148" w:lineRule="exact"/>
              <w:rPr>
                <w:sz w:val="20"/>
                <w:szCs w:val="20"/>
                <w:color w:val="auto"/>
              </w:rPr>
            </w:pPr>
            <w:r>
              <w:rPr>
                <w:rFonts w:ascii="Arial" w:cs="Arial" w:eastAsia="Arial" w:hAnsi="Arial"/>
                <w:sz w:val="14"/>
                <w:szCs w:val="14"/>
                <w:color w:val="auto"/>
                <w:w w:val="76"/>
              </w:rPr>
              <w:t>$</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right"/>
              <w:spacing w:after="0" w:line="148"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5"/>
        </w:trPr>
        <w:tc>
          <w:tcPr>
            <w:tcW w:w="496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Income (loss) from discontinued operations</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center"/>
              <w:spacing w:after="0" w:line="155" w:lineRule="exact"/>
              <w:rPr>
                <w:sz w:val="20"/>
                <w:szCs w:val="20"/>
                <w:color w:val="auto"/>
              </w:rPr>
            </w:pPr>
            <w:r>
              <w:rPr>
                <w:rFonts w:ascii="Arial" w:cs="Arial" w:eastAsia="Arial" w:hAnsi="Arial"/>
                <w:sz w:val="14"/>
                <w:szCs w:val="14"/>
                <w:color w:val="auto"/>
                <w:w w:val="81"/>
              </w:rPr>
              <w:t>0.2</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0.5</w:t>
            </w: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8"/>
        </w:trPr>
        <w:tc>
          <w:tcPr>
            <w:tcW w:w="49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EBITDA from continuing operations</w:t>
            </w: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1"/>
              </w:rPr>
              <w:t>9.1</w:t>
            </w:r>
          </w:p>
        </w:tc>
        <w:tc>
          <w:tcPr>
            <w:tcW w:w="60" w:type="dxa"/>
            <w:vAlign w:val="bottom"/>
          </w:tcPr>
          <w:p>
            <w:pPr>
              <w:spacing w:after="0"/>
              <w:rPr>
                <w:sz w:val="14"/>
                <w:szCs w:val="14"/>
                <w:color w:val="auto"/>
              </w:rPr>
            </w:pPr>
          </w:p>
        </w:tc>
        <w:tc>
          <w:tcPr>
            <w:tcW w:w="320" w:type="dxa"/>
            <w:vAlign w:val="bottom"/>
            <w:tcBorders>
              <w:top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jc w:val="right"/>
              <w:ind w:right="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520"/>
      </w:cols>
      <w:pgMar w:left="240" w:top="54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2019-12-06T02:09:53Z</dcterms:created>
  <dcterms:modified xsi:type="dcterms:W3CDTF">2019-12-06T02:09:53Z</dcterms:modified>
</cp:coreProperties>
</file>