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October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9" w:lineRule="exact"/>
        <w:rPr>
          <w:sz w:val="24"/>
          <w:szCs w:val="24"/>
          <w:color w:val="auto"/>
        </w:rPr>
      </w:pPr>
    </w:p>
    <w:tbl>
      <w:tblPr>
        <w:tblLayout w:type="fixed"/>
        <w:tblInd w:w="1240" w:type="dxa"/>
        <w:tblCellMar>
          <w:top w:w="0" w:type="dxa"/>
          <w:left w:w="0" w:type="dxa"/>
          <w:bottom w:w="0" w:type="dxa"/>
          <w:right w:w="0" w:type="dxa"/>
        </w:tblCellMar>
      </w:tblPr>
      <w:tr>
        <w:trPr>
          <w:trHeight w:val="248"/>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84"/>
              <w:spacing w:after="0"/>
              <w:rPr>
                <w:sz w:val="20"/>
                <w:szCs w:val="20"/>
                <w:color w:val="auto"/>
              </w:rPr>
            </w:pPr>
            <w:r>
              <w:rPr>
                <w:rFonts w:ascii="Arial" w:cs="Arial" w:eastAsia="Arial" w:hAnsi="Arial"/>
                <w:sz w:val="18"/>
                <w:szCs w:val="18"/>
                <w:b w:val="1"/>
                <w:bCs w:val="1"/>
                <w:color w:val="auto"/>
              </w:rPr>
              <w:t>01-34219</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04-2623104</w:t>
            </w:r>
          </w:p>
        </w:tc>
      </w:tr>
      <w:tr>
        <w:trPr>
          <w:trHeight w:val="166"/>
        </w:trPr>
        <w:tc>
          <w:tcPr>
            <w:tcW w:w="3260" w:type="dxa"/>
            <w:vAlign w:val="bottom"/>
          </w:tcPr>
          <w:p>
            <w:pPr>
              <w:jc w:val="center"/>
              <w:ind w:right="1044"/>
              <w:spacing w:after="0"/>
              <w:rPr>
                <w:sz w:val="20"/>
                <w:szCs w:val="20"/>
                <w:color w:val="auto"/>
              </w:rPr>
            </w:pPr>
            <w:r>
              <w:rPr>
                <w:rFonts w:ascii="Arial" w:cs="Arial" w:eastAsia="Arial" w:hAnsi="Arial"/>
                <w:sz w:val="13"/>
                <w:szCs w:val="13"/>
                <w:b w:val="1"/>
                <w:bCs w:val="1"/>
                <w:color w:val="auto"/>
                <w:w w:val="89"/>
              </w:rPr>
              <w:t>(State or Other Jurisdiction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88"/>
              </w:rPr>
              <w:t>(Commission File Number)</w:t>
            </w: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3260" w:type="dxa"/>
            <w:vAlign w:val="bottom"/>
          </w:tcPr>
          <w:p>
            <w:pPr>
              <w:jc w:val="center"/>
              <w:ind w:right="1044"/>
              <w:spacing w:after="0"/>
              <w:rPr>
                <w:sz w:val="20"/>
                <w:szCs w:val="20"/>
                <w:color w:val="auto"/>
              </w:rPr>
            </w:pPr>
            <w:r>
              <w:rPr>
                <w:rFonts w:ascii="Arial" w:cs="Arial" w:eastAsia="Arial" w:hAnsi="Arial"/>
                <w:sz w:val="13"/>
                <w:szCs w:val="13"/>
                <w:b w:val="1"/>
                <w:bCs w:val="1"/>
                <w:color w:val="auto"/>
                <w:w w:val="90"/>
              </w:rPr>
              <w:t>of Incorporation)</w:t>
            </w:r>
          </w:p>
        </w:tc>
        <w:tc>
          <w:tcPr>
            <w:tcW w:w="2240" w:type="dxa"/>
            <w:vAlign w:val="bottom"/>
          </w:tcPr>
          <w:p>
            <w:pPr>
              <w:spacing w:after="0"/>
              <w:rPr>
                <w:sz w:val="14"/>
                <w:szCs w:val="14"/>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1"/>
              </w:rPr>
              <w:t>Identification No.)</w:t>
            </w:r>
          </w:p>
        </w:tc>
      </w:tr>
      <w:tr>
        <w:trPr>
          <w:trHeight w:val="488"/>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90"/>
              </w:rPr>
              <w:t>555 Turnpike Street</w:t>
            </w:r>
          </w:p>
        </w:tc>
        <w:tc>
          <w:tcPr>
            <w:tcW w:w="22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43"/>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87"/>
              </w:rPr>
              <w:t>Canton, Massachusetts</w:t>
            </w:r>
          </w:p>
        </w:tc>
        <w:tc>
          <w:tcPr>
            <w:tcW w:w="2240" w:type="dxa"/>
            <w:vAlign w:val="bottom"/>
          </w:tcPr>
          <w:p>
            <w:pPr>
              <w:spacing w:after="0"/>
              <w:rPr>
                <w:sz w:val="21"/>
                <w:szCs w:val="21"/>
                <w:color w:val="auto"/>
              </w:rPr>
            </w:pPr>
          </w:p>
        </w:tc>
        <w:tc>
          <w:tcPr>
            <w:tcW w:w="2700" w:type="dxa"/>
            <w:vAlign w:val="bottom"/>
          </w:tcPr>
          <w:p>
            <w:pPr>
              <w:jc w:val="right"/>
              <w:ind w:right="206"/>
              <w:spacing w:after="0"/>
              <w:rPr>
                <w:sz w:val="20"/>
                <w:szCs w:val="20"/>
                <w:color w:val="auto"/>
              </w:rPr>
            </w:pPr>
            <w:r>
              <w:rPr>
                <w:rFonts w:ascii="Arial" w:cs="Arial" w:eastAsia="Arial" w:hAnsi="Arial"/>
                <w:sz w:val="18"/>
                <w:szCs w:val="18"/>
                <w:b w:val="1"/>
                <w:bCs w:val="1"/>
                <w:color w:val="auto"/>
              </w:rPr>
              <w:t>02021</w:t>
            </w:r>
          </w:p>
        </w:tc>
      </w:tr>
      <w:tr>
        <w:trPr>
          <w:trHeight w:val="173"/>
        </w:trPr>
        <w:tc>
          <w:tcPr>
            <w:tcW w:w="3260" w:type="dxa"/>
            <w:vAlign w:val="bottom"/>
          </w:tcPr>
          <w:p>
            <w:pPr>
              <w:jc w:val="center"/>
              <w:ind w:right="1024"/>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240" w:type="dxa"/>
            <w:vAlign w:val="bottom"/>
          </w:tcPr>
          <w:p>
            <w:pPr>
              <w:spacing w:after="0"/>
              <w:rPr>
                <w:sz w:val="15"/>
                <w:szCs w:val="15"/>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3"/>
              </w:rPr>
              <w:t>(Zip Code)</w:t>
            </w:r>
          </w:p>
        </w:tc>
      </w:tr>
    </w:tbl>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7"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8"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32"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Five executive officers (not including the CEO) of Destination XL Group, Inc. (the “Company”) have entered into 10b5-1 trading plans in accordance with Rule 10b5-1 promulgated under the Securities Exchange Act of 1934, as amended. Under Rule 10b5–1, directors, officers and other employees of public companies who are not in possession of material non–public information may adopt a pre–arranged plan or contract providing for the sale of their company’s securities under specified conditions and at specified times. The trading plans cover, in aggregate, less than 500,000 shares of the Company’s common stock, including shares that may be acquired upon exercise of stock options or upon vesting of restricted stock unit awards; however, some, none or all of the shares ultimately may be sold depending on the terms of the individual trading plans and the trading price of the Company’s common stock. The transactions executed in accordance with the trading plans will be disclosed publicly through one or more Form 4 filings with the Securities and Exchange Commission. The Company does not undertake any obligation to report 10b5-1 trading plans that may be adopted by any officers or directors in the future, or to report any modification or termination of any trading plan, whether or not the trading plan was publicly announced,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2021-10-22T15:47:32Z</dcterms:created>
  <dcterms:modified xsi:type="dcterms:W3CDTF">2021-10-22T15:47:32Z</dcterms:modified>
</cp:coreProperties>
</file>