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20, 2009</w:t>
      </w:r>
    </w:p>
    <w:p>
      <w:pPr>
        <w:spacing w:after="0" w:line="171"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160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5480" w:type="dxa"/>
            <w:vAlign w:val="bottom"/>
          </w:tcPr>
          <w:p>
            <w:pPr>
              <w:ind w:left="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57"/>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80" w:type="dxa"/>
            <w:vAlign w:val="bottom"/>
          </w:tcPr>
          <w:p>
            <w:pPr>
              <w:jc w:val="right"/>
              <w:ind w:right="48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480" w:type="dxa"/>
            <w:vAlign w:val="bottom"/>
          </w:tcPr>
          <w:p>
            <w:pPr>
              <w:jc w:val="center"/>
              <w:ind w:left="3444"/>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480" w:type="dxa"/>
            <w:vAlign w:val="bottom"/>
          </w:tcPr>
          <w:p>
            <w:pPr>
              <w:spacing w:after="0"/>
              <w:rPr>
                <w:sz w:val="15"/>
                <w:szCs w:val="15"/>
                <w:color w:val="auto"/>
              </w:rPr>
            </w:pPr>
          </w:p>
        </w:tc>
      </w:tr>
      <w:tr>
        <w:trPr>
          <w:trHeight w:val="406"/>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480" w:type="dxa"/>
            <w:vAlign w:val="bottom"/>
          </w:tcPr>
          <w:p>
            <w:pPr>
              <w:jc w:val="right"/>
              <w:ind w:right="68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480" w:type="dxa"/>
            <w:vAlign w:val="bottom"/>
          </w:tcPr>
          <w:p>
            <w:pPr>
              <w:jc w:val="center"/>
              <w:ind w:left="3464"/>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2006 INCENTIVE COMPENSATION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Dennis R. Hernreich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140" w:type="dxa"/>
            <w:vAlign w:val="bottom"/>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120" w:type="dxa"/>
            <w:vAlign w:val="bottom"/>
          </w:tcPr>
          <w:p>
            <w:pPr>
              <w:ind w:left="19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REGISTRATION FEE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right"/>
              <w:ind w:right="1966"/>
              <w:spacing w:after="0" w:line="149" w:lineRule="exact"/>
              <w:rPr>
                <w:sz w:val="20"/>
                <w:szCs w:val="20"/>
                <w:color w:val="auto"/>
              </w:rPr>
            </w:pPr>
            <w:r>
              <w:rPr>
                <w:rFonts w:ascii="Arial" w:cs="Arial" w:eastAsia="Arial" w:hAnsi="Arial"/>
                <w:sz w:val="14"/>
                <w:szCs w:val="14"/>
                <w:b w:val="1"/>
                <w:bCs w:val="1"/>
                <w:color w:val="auto"/>
              </w:rPr>
              <w:t>Title of securities</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offering</w:t>
            </w: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right"/>
              <w:ind w:right="2026"/>
              <w:spacing w:after="0"/>
              <w:rPr>
                <w:sz w:val="20"/>
                <w:szCs w:val="20"/>
                <w:color w:val="auto"/>
              </w:rPr>
            </w:pPr>
            <w:r>
              <w:rPr>
                <w:rFonts w:ascii="Arial" w:cs="Arial" w:eastAsia="Arial" w:hAnsi="Arial"/>
                <w:sz w:val="14"/>
                <w:szCs w:val="14"/>
                <w:b w:val="1"/>
                <w:bCs w:val="1"/>
                <w:color w:val="auto"/>
              </w:rPr>
              <w:t>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7"/>
              </w:rPr>
              <w:t>price per share (2)</w:t>
            </w:r>
          </w:p>
        </w:tc>
        <w:tc>
          <w:tcPr>
            <w:tcW w:w="160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9"/>
              </w:rPr>
              <w:t>price</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6"/>
              </w:rPr>
              <w:t>registration fee</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jc w:val="right"/>
              <w:ind w:right="2026"/>
              <w:spacing w:after="0"/>
              <w:rPr>
                <w:sz w:val="20"/>
                <w:szCs w:val="20"/>
                <w:color w:val="auto"/>
              </w:rPr>
            </w:pPr>
            <w:r>
              <w:rPr>
                <w:rFonts w:ascii="Arial" w:cs="Arial" w:eastAsia="Arial" w:hAnsi="Arial"/>
                <w:sz w:val="18"/>
                <w:szCs w:val="18"/>
                <w:color w:val="auto"/>
                <w:w w:val="86"/>
              </w:rPr>
              <w:t>Common Stock, $0.01 par value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750,000 shares</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7"/>
              </w:rPr>
              <w:t>$ 2.77</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8"/>
              </w:rPr>
              <w:t>$ 2,077,500</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5"/>
              </w:rPr>
              <w:t>$ 115.93</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60" w:right="20" w:hanging="452"/>
        <w:spacing w:after="0" w:line="28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(this “Registration Statement”) covers 750,000 shares of the Registrant’s common stock which may be offered or sold from time to time pursuant to the Registrant’s 2006 Incentive Compensation Plan, as amended (“2006 Plan”). The maximum number of shares of common stock reserved and available for issuance under the Plan is 3,250,000, of which 2,500,000 shares were previously registered by the Registrant pursuant to a Registration Statement on Form S-8, filed with the Securities and Exchange Commission on August 25, 2006.</w:t>
      </w:r>
    </w:p>
    <w:p>
      <w:pPr>
        <w:spacing w:after="0" w:line="2" w:lineRule="exact"/>
        <w:rPr>
          <w:rFonts w:ascii="Arial" w:cs="Arial" w:eastAsia="Arial" w:hAnsi="Arial"/>
          <w:sz w:val="16"/>
          <w:szCs w:val="16"/>
          <w:color w:val="auto"/>
        </w:rPr>
      </w:pPr>
    </w:p>
    <w:p>
      <w:pPr>
        <w:ind w:left="460" w:right="10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457(c) and 457(h) of the Securities Act of 1933, as amended. The price per share and aggregate offering price are calculated on the basis of the average of the high and low prices of the Registrant’s Common Stock on the Nasdaq Global Select Market on November 16, 2009, in accordance with Rule 457(c)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2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as amended, for the fiscal year ended January 31,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 above.</w:t>
      </w:r>
    </w:p>
    <w:p>
      <w:pPr>
        <w:spacing w:after="0" w:line="8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8-A/A, filed on August 28, 2009, and all amendments and reports updating such description.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w:t>
      </w:r>
    </w:p>
    <w:p>
      <w:pPr>
        <w:spacing w:after="0" w:line="2" w:lineRule="exact"/>
        <w:rPr>
          <w:sz w:val="20"/>
          <w:szCs w:val="20"/>
          <w:color w:val="auto"/>
        </w:rPr>
      </w:pPr>
    </w:p>
    <w:p>
      <w:pPr>
        <w:ind w:right="120" w:firstLine="8"/>
        <w:spacing w:after="0" w:line="290" w:lineRule="auto"/>
        <w:tabs>
          <w:tab w:leader="none" w:pos="307"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 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ectPr>
          <w:pgSz w:w="11900" w:h="16838" w:orient="portrait"/>
          <w:cols w:equalWidth="0" w:num="1">
            <w:col w:w="11420"/>
          </w:cols>
          <w:pgMar w:left="240" w:top="274" w:right="239" w:bottom="1440" w:gutter="0" w:footer="0" w:header="0"/>
        </w:sectPr>
      </w:pPr>
    </w:p>
    <w:bookmarkStart w:id="3" w:name="page4"/>
    <w:bookmarkEnd w:id="3"/>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145 of the Delaware General Corporation Law, as amended,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that the person is liable to the corporation, unless and only to the extent a court determines that, despite the adjudication of liability but in view of all the circumstances of the case, such person is fairly and reasonably entitled to indemnity for such expenses which such court shall deem proper.</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Item 512(a) of Regulation S-K</w:t>
      </w:r>
      <w:r>
        <w:rPr>
          <w:rFonts w:ascii="Arial" w:cs="Arial" w:eastAsia="Arial" w:hAnsi="Arial"/>
          <w:sz w:val="18"/>
          <w:szCs w:val="18"/>
          <w:color w:val="auto"/>
        </w:rPr>
        <w:t>. 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460" w:right="80" w:firstLine="443"/>
        <w:spacing w:after="0" w:line="357" w:lineRule="auto"/>
        <w:tabs>
          <w:tab w:leader="none" w:pos="1157" w:val="left"/>
        </w:tabs>
        <w:numPr>
          <w:ilvl w:val="1"/>
          <w:numId w:val="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ind w:left="460" w:firstLine="443"/>
        <w:spacing w:after="0" w:line="268" w:lineRule="auto"/>
        <w:tabs>
          <w:tab w:leader="none" w:pos="120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and (ii)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periodic reports filed with or furnished to the Commission by the Registrant pursuant to Section 13 or Section 15(d) of the Exchange Act that are incorporated by reference in the Registration Statement.</w:t>
      </w:r>
    </w:p>
    <w:p>
      <w:pPr>
        <w:spacing w:after="0" w:line="140" w:lineRule="exact"/>
        <w:rPr>
          <w:sz w:val="20"/>
          <w:szCs w:val="20"/>
          <w:color w:val="auto"/>
        </w:rPr>
      </w:pPr>
    </w:p>
    <w:p>
      <w:pPr>
        <w:ind w:right="20" w:firstLine="464"/>
        <w:spacing w:after="0" w:line="370" w:lineRule="auto"/>
        <w:tabs>
          <w:tab w:leader="none" w:pos="705"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62" w:lineRule="exact"/>
        <w:rPr>
          <w:rFonts w:ascii="Arial" w:cs="Arial" w:eastAsia="Arial" w:hAnsi="Arial"/>
          <w:sz w:val="15"/>
          <w:szCs w:val="15"/>
          <w:color w:val="auto"/>
        </w:rPr>
      </w:pPr>
    </w:p>
    <w:p>
      <w:pPr>
        <w:ind w:right="220" w:firstLine="464"/>
        <w:spacing w:after="0" w:line="268"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jc w:val="both"/>
        <w:ind w:right="220" w:firstLine="464"/>
        <w:spacing w:after="0" w:line="256" w:lineRule="auto"/>
        <w:tabs>
          <w:tab w:leader="none" w:pos="632"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ectPr>
          <w:pgSz w:w="11900" w:h="16838" w:orient="portrait"/>
          <w:cols w:equalWidth="0" w:num="1">
            <w:col w:w="11420"/>
          </w:cols>
          <w:pgMar w:left="240" w:top="280" w:right="239" w:bottom="1440" w:gutter="0" w:footer="0" w:header="0"/>
        </w:sectPr>
      </w:pPr>
    </w:p>
    <w:bookmarkStart w:id="4" w:name="page5"/>
    <w:bookmarkEnd w:id="4"/>
    <w:p>
      <w:pPr>
        <w:ind w:left="-464" w:firstLine="464"/>
        <w:spacing w:after="0" w:line="289" w:lineRule="auto"/>
        <w:tabs>
          <w:tab w:leader="none" w:pos="168"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512(h) of Regulation S-K</w:t>
      </w:r>
      <w:r>
        <w:rPr>
          <w:rFonts w:ascii="Arial" w:cs="Arial" w:eastAsia="Arial" w:hAnsi="Arial"/>
          <w:sz w:val="16"/>
          <w:szCs w:val="16"/>
          <w:color w:val="auto"/>
        </w:rPr>
        <w:t>. Insofar as indemnification for liabilities arising under the Securities Act may be permitted to directors,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56"/>
          </w:cols>
          <w:pgMar w:left="704" w:top="280" w:right="439"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this 20th day of November,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Dennis R. Hernreich</w:t>
      </w:r>
    </w:p>
    <w:p>
      <w:pPr>
        <w:jc w:val="center"/>
        <w:ind w:left="7260"/>
        <w:spacing w:after="0" w:line="223" w:lineRule="auto"/>
        <w:rPr>
          <w:sz w:val="20"/>
          <w:szCs w:val="20"/>
          <w:color w:val="auto"/>
        </w:rPr>
      </w:pPr>
      <w:r>
        <w:rPr>
          <w:rFonts w:ascii="Arial" w:cs="Arial" w:eastAsia="Arial" w:hAnsi="Arial"/>
          <w:sz w:val="14"/>
          <w:szCs w:val="14"/>
          <w:b w:val="1"/>
          <w:bCs w:val="1"/>
          <w:color w:val="auto"/>
        </w:rPr>
        <w:t>Executive Vice President, Chief Operating</w:t>
      </w:r>
    </w:p>
    <w:p>
      <w:pPr>
        <w:jc w:val="center"/>
        <w:ind w:left="7260"/>
        <w:spacing w:after="0"/>
        <w:rPr>
          <w:sz w:val="20"/>
          <w:szCs w:val="20"/>
          <w:color w:val="auto"/>
        </w:rPr>
      </w:pPr>
      <w:r>
        <w:rPr>
          <w:rFonts w:ascii="Arial" w:cs="Arial" w:eastAsia="Arial" w:hAnsi="Arial"/>
          <w:sz w:val="14"/>
          <w:szCs w:val="14"/>
          <w:b w:val="1"/>
          <w:bCs w:val="1"/>
          <w:color w:val="auto"/>
        </w:rPr>
        <w:t>Officer, Chief Financial Officer and Treasurer</w:t>
      </w:r>
    </w:p>
    <w:p>
      <w:pPr>
        <w:spacing w:after="0" w:line="14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November 20, 2009.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3"/>
              </w:rPr>
              <w:t>/s/</w:t>
            </w:r>
          </w:p>
        </w:tc>
        <w:tc>
          <w:tcPr>
            <w:tcW w:w="4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Signatures</w:t>
            </w:r>
          </w:p>
        </w:tc>
        <w:tc>
          <w:tcPr>
            <w:tcW w:w="1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EVIN</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 (Principal</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3"/>
          </w:tcPr>
          <w:p>
            <w:pPr>
              <w:jc w:val="center"/>
              <w:ind w:right="967"/>
              <w:spacing w:after="0"/>
              <w:rPr>
                <w:sz w:val="20"/>
                <w:szCs w:val="20"/>
                <w:color w:val="auto"/>
              </w:rPr>
            </w:pPr>
            <w:r>
              <w:rPr>
                <w:rFonts w:ascii="Arial" w:cs="Arial" w:eastAsia="Arial" w:hAnsi="Arial"/>
                <w:sz w:val="14"/>
                <w:szCs w:val="14"/>
                <w:b w:val="1"/>
                <w:bCs w:val="1"/>
                <w:color w:val="auto"/>
                <w:w w:val="91"/>
              </w:rPr>
              <w:t>David A. Levin</w:t>
            </w:r>
          </w:p>
        </w:tc>
        <w:tc>
          <w:tcPr>
            <w:tcW w:w="452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Executive Officer)</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/s/</w:t>
            </w:r>
          </w:p>
        </w:tc>
        <w:tc>
          <w:tcPr>
            <w:tcW w:w="2700" w:type="dxa"/>
            <w:vAlign w:val="bottom"/>
            <w:tcBorders>
              <w:bottom w:val="single" w:sz="8" w:color="auto"/>
            </w:tcBorders>
            <w:gridSpan w:val="4"/>
          </w:tcPr>
          <w:p>
            <w:pPr>
              <w:jc w:val="center"/>
              <w:ind w:right="687"/>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ENNIS</w:t>
            </w:r>
            <w:r>
              <w:rPr>
                <w:rFonts w:ascii="Arial" w:cs="Arial" w:eastAsia="Arial" w:hAnsi="Arial"/>
                <w:sz w:val="18"/>
                <w:szCs w:val="18"/>
                <w:color w:val="auto"/>
                <w:w w:val="97"/>
              </w:rPr>
              <w:t xml:space="preserve"> R. H</w:t>
            </w:r>
            <w:r>
              <w:rPr>
                <w:rFonts w:ascii="Arial" w:cs="Arial" w:eastAsia="Arial" w:hAnsi="Arial"/>
                <w:sz w:val="14"/>
                <w:szCs w:val="14"/>
                <w:color w:val="auto"/>
                <w:w w:val="97"/>
              </w:rPr>
              <w:t>ERNREICH</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Chief Operating Officer,</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3"/>
          </w:tcPr>
          <w:p>
            <w:pPr>
              <w:jc w:val="center"/>
              <w:ind w:right="947"/>
              <w:spacing w:after="0"/>
              <w:rPr>
                <w:sz w:val="20"/>
                <w:szCs w:val="20"/>
                <w:color w:val="auto"/>
              </w:rPr>
            </w:pPr>
            <w:r>
              <w:rPr>
                <w:rFonts w:ascii="Arial" w:cs="Arial" w:eastAsia="Arial" w:hAnsi="Arial"/>
                <w:sz w:val="14"/>
                <w:szCs w:val="14"/>
                <w:b w:val="1"/>
                <w:bCs w:val="1"/>
                <w:color w:val="auto"/>
                <w:w w:val="88"/>
              </w:rPr>
              <w:t>Dennis R. Hernreich</w:t>
            </w:r>
          </w:p>
        </w:tc>
        <w:tc>
          <w:tcPr>
            <w:tcW w:w="452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Chief Financial Officer and Treasurer (Principal</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rPr>
              <w:t>Financial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2700" w:type="dxa"/>
            <w:vAlign w:val="bottom"/>
            <w:tcBorders>
              <w:bottom w:val="single" w:sz="8" w:color="auto"/>
            </w:tcBorders>
            <w:gridSpan w:val="4"/>
          </w:tcPr>
          <w:p>
            <w:pPr>
              <w:jc w:val="center"/>
              <w:ind w:right="767"/>
              <w:spacing w:after="0"/>
              <w:rPr>
                <w:sz w:val="20"/>
                <w:szCs w:val="20"/>
                <w:color w:val="auto"/>
              </w:rPr>
            </w:pPr>
            <w:r>
              <w:rPr>
                <w:rFonts w:ascii="Arial" w:cs="Arial" w:eastAsia="Arial" w:hAnsi="Arial"/>
                <w:sz w:val="18"/>
                <w:szCs w:val="18"/>
                <w:color w:val="auto"/>
                <w:w w:val="93"/>
              </w:rPr>
              <w:t>P</w:t>
            </w:r>
            <w:r>
              <w:rPr>
                <w:rFonts w:ascii="Arial" w:cs="Arial" w:eastAsia="Arial" w:hAnsi="Arial"/>
                <w:sz w:val="14"/>
                <w:szCs w:val="14"/>
                <w:color w:val="auto"/>
                <w:w w:val="93"/>
              </w:rPr>
              <w:t>ETER</w:t>
            </w:r>
            <w:r>
              <w:rPr>
                <w:rFonts w:ascii="Arial" w:cs="Arial" w:eastAsia="Arial" w:hAnsi="Arial"/>
                <w:sz w:val="18"/>
                <w:szCs w:val="18"/>
                <w:color w:val="auto"/>
                <w:w w:val="93"/>
              </w:rPr>
              <w:t xml:space="preserve"> H. S</w:t>
            </w:r>
            <w:r>
              <w:rPr>
                <w:rFonts w:ascii="Arial" w:cs="Arial" w:eastAsia="Arial" w:hAnsi="Arial"/>
                <w:sz w:val="14"/>
                <w:szCs w:val="14"/>
                <w:color w:val="auto"/>
                <w:w w:val="93"/>
              </w:rPr>
              <w:t>TRATTON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Senior Vice President of Finance and Corporate</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3"/>
          </w:tcPr>
          <w:p>
            <w:pPr>
              <w:jc w:val="center"/>
              <w:ind w:right="967"/>
              <w:spacing w:after="0"/>
              <w:rPr>
                <w:sz w:val="20"/>
                <w:szCs w:val="20"/>
                <w:color w:val="auto"/>
              </w:rPr>
            </w:pPr>
            <w:r>
              <w:rPr>
                <w:rFonts w:ascii="Arial" w:cs="Arial" w:eastAsia="Arial" w:hAnsi="Arial"/>
                <w:sz w:val="14"/>
                <w:szCs w:val="14"/>
                <w:b w:val="1"/>
                <w:bCs w:val="1"/>
                <w:color w:val="auto"/>
                <w:w w:val="88"/>
              </w:rPr>
              <w:t>Peter H. Stratton, Jr.</w:t>
            </w:r>
          </w:p>
        </w:tc>
        <w:tc>
          <w:tcPr>
            <w:tcW w:w="452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Controller (Principal Accounting Officer)</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3"/>
              </w:rPr>
              <w:t>/s/</w:t>
            </w:r>
          </w:p>
        </w:tc>
        <w:tc>
          <w:tcPr>
            <w:tcW w:w="2700" w:type="dxa"/>
            <w:vAlign w:val="bottom"/>
            <w:tcBorders>
              <w:bottom w:val="single" w:sz="8" w:color="auto"/>
            </w:tcBorders>
            <w:gridSpan w:val="4"/>
          </w:tcPr>
          <w:p>
            <w:pPr>
              <w:jc w:val="center"/>
              <w:ind w:right="707"/>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967"/>
              <w:spacing w:after="0"/>
              <w:rPr>
                <w:sz w:val="20"/>
                <w:szCs w:val="20"/>
                <w:color w:val="auto"/>
              </w:rPr>
            </w:pPr>
            <w:r>
              <w:rPr>
                <w:rFonts w:ascii="Arial" w:cs="Arial" w:eastAsia="Arial" w:hAnsi="Arial"/>
                <w:sz w:val="14"/>
                <w:szCs w:val="14"/>
                <w:b w:val="1"/>
                <w:bCs w:val="1"/>
                <w:color w:val="auto"/>
                <w:w w:val="88"/>
              </w:rPr>
              <w:t>Seymour Holtzman</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04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gridSpan w:val="3"/>
          </w:tcPr>
          <w:p>
            <w:pPr>
              <w:jc w:val="center"/>
              <w:ind w:right="907"/>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947"/>
              <w:spacing w:after="0"/>
              <w:rPr>
                <w:sz w:val="20"/>
                <w:szCs w:val="20"/>
                <w:color w:val="auto"/>
              </w:rPr>
            </w:pPr>
            <w:r>
              <w:rPr>
                <w:rFonts w:ascii="Arial" w:cs="Arial" w:eastAsia="Arial" w:hAnsi="Arial"/>
                <w:sz w:val="14"/>
                <w:szCs w:val="14"/>
                <w:b w:val="1"/>
                <w:bCs w:val="1"/>
                <w:color w:val="auto"/>
                <w:w w:val="89"/>
              </w:rPr>
              <w:t>Alan S. Bernikow</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gridSpan w:val="3"/>
          </w:tcPr>
          <w:p>
            <w:pPr>
              <w:jc w:val="center"/>
              <w:ind w:right="907"/>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ESSE</w:t>
            </w:r>
            <w:r>
              <w:rPr>
                <w:rFonts w:ascii="Arial" w:cs="Arial" w:eastAsia="Arial" w:hAnsi="Arial"/>
                <w:sz w:val="18"/>
                <w:szCs w:val="18"/>
                <w:color w:val="auto"/>
                <w:w w:val="91"/>
              </w:rPr>
              <w:t xml:space="preserve"> H. C</w:t>
            </w:r>
            <w:r>
              <w:rPr>
                <w:rFonts w:ascii="Arial" w:cs="Arial" w:eastAsia="Arial" w:hAnsi="Arial"/>
                <w:sz w:val="14"/>
                <w:szCs w:val="14"/>
                <w:color w:val="auto"/>
                <w:w w:val="91"/>
              </w:rPr>
              <w:t>HOPER</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947"/>
              <w:spacing w:after="0"/>
              <w:rPr>
                <w:sz w:val="20"/>
                <w:szCs w:val="20"/>
                <w:color w:val="auto"/>
              </w:rPr>
            </w:pPr>
            <w:r>
              <w:rPr>
                <w:rFonts w:ascii="Arial" w:cs="Arial" w:eastAsia="Arial" w:hAnsi="Arial"/>
                <w:sz w:val="14"/>
                <w:szCs w:val="14"/>
                <w:b w:val="1"/>
                <w:bCs w:val="1"/>
                <w:color w:val="auto"/>
                <w:w w:val="85"/>
              </w:rPr>
              <w:t>Jesse H. Choper</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04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gridSpan w:val="3"/>
          </w:tcPr>
          <w:p>
            <w:pPr>
              <w:jc w:val="center"/>
              <w:ind w:right="927"/>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967"/>
              <w:spacing w:after="0"/>
              <w:rPr>
                <w:sz w:val="20"/>
                <w:szCs w:val="20"/>
                <w:color w:val="auto"/>
              </w:rPr>
            </w:pPr>
            <w:r>
              <w:rPr>
                <w:rFonts w:ascii="Arial" w:cs="Arial" w:eastAsia="Arial" w:hAnsi="Arial"/>
                <w:sz w:val="14"/>
                <w:szCs w:val="14"/>
                <w:b w:val="1"/>
                <w:bCs w:val="1"/>
                <w:color w:val="auto"/>
                <w:w w:val="91"/>
              </w:rPr>
              <w:t>Ward K. Mooney</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w:t>
            </w:r>
          </w:p>
        </w:tc>
        <w:tc>
          <w:tcPr>
            <w:tcW w:w="2700" w:type="dxa"/>
            <w:vAlign w:val="bottom"/>
            <w:tcBorders>
              <w:bottom w:val="single" w:sz="8" w:color="auto"/>
            </w:tcBorders>
            <w:gridSpan w:val="4"/>
          </w:tcPr>
          <w:p>
            <w:pPr>
              <w:jc w:val="center"/>
              <w:ind w:right="747"/>
              <w:spacing w:after="0"/>
              <w:rPr>
                <w:sz w:val="20"/>
                <w:szCs w:val="20"/>
                <w:color w:val="auto"/>
              </w:rPr>
            </w:pPr>
            <w:r>
              <w:rPr>
                <w:rFonts w:ascii="Arial" w:cs="Arial" w:eastAsia="Arial" w:hAnsi="Arial"/>
                <w:sz w:val="18"/>
                <w:szCs w:val="18"/>
                <w:color w:val="auto"/>
                <w:w w:val="92"/>
              </w:rPr>
              <w:t>G</w:t>
            </w:r>
            <w:r>
              <w:rPr>
                <w:rFonts w:ascii="Arial" w:cs="Arial" w:eastAsia="Arial" w:hAnsi="Arial"/>
                <w:sz w:val="14"/>
                <w:szCs w:val="14"/>
                <w:color w:val="auto"/>
                <w:w w:val="92"/>
              </w:rPr>
              <w:t>EORGE</w:t>
            </w:r>
            <w:r>
              <w:rPr>
                <w:rFonts w:ascii="Arial" w:cs="Arial" w:eastAsia="Arial" w:hAnsi="Arial"/>
                <w:sz w:val="18"/>
                <w:szCs w:val="18"/>
                <w:color w:val="auto"/>
                <w:w w:val="92"/>
              </w:rPr>
              <w:t xml:space="preserve"> T. P</w:t>
            </w:r>
            <w:r>
              <w:rPr>
                <w:rFonts w:ascii="Arial" w:cs="Arial" w:eastAsia="Arial" w:hAnsi="Arial"/>
                <w:sz w:val="14"/>
                <w:szCs w:val="14"/>
                <w:color w:val="auto"/>
                <w:w w:val="92"/>
              </w:rPr>
              <w:t>ORTER</w:t>
            </w:r>
            <w:r>
              <w:rPr>
                <w:rFonts w:ascii="Arial" w:cs="Arial" w:eastAsia="Arial" w:hAnsi="Arial"/>
                <w:sz w:val="18"/>
                <w:szCs w:val="18"/>
                <w:color w:val="auto"/>
                <w:w w:val="92"/>
              </w:rPr>
              <w:t>, J</w:t>
            </w:r>
            <w:r>
              <w:rPr>
                <w:rFonts w:ascii="Arial" w:cs="Arial" w:eastAsia="Arial" w:hAnsi="Arial"/>
                <w:sz w:val="14"/>
                <w:szCs w:val="14"/>
                <w:color w:val="auto"/>
                <w:w w:val="92"/>
              </w:rPr>
              <w:t>R</w:t>
            </w:r>
            <w:r>
              <w:rPr>
                <w:rFonts w:ascii="Arial" w:cs="Arial" w:eastAsia="Arial" w:hAnsi="Arial"/>
                <w:sz w:val="18"/>
                <w:szCs w:val="18"/>
                <w:color w:val="auto"/>
                <w:w w:val="92"/>
              </w:rPr>
              <w:t>.</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947"/>
              <w:spacing w:after="0"/>
              <w:rPr>
                <w:sz w:val="20"/>
                <w:szCs w:val="20"/>
                <w:color w:val="auto"/>
              </w:rPr>
            </w:pPr>
            <w:r>
              <w:rPr>
                <w:rFonts w:ascii="Arial" w:cs="Arial" w:eastAsia="Arial" w:hAnsi="Arial"/>
                <w:sz w:val="14"/>
                <w:szCs w:val="14"/>
                <w:b w:val="1"/>
                <w:bCs w:val="1"/>
                <w:color w:val="auto"/>
                <w:w w:val="87"/>
              </w:rPr>
              <w:t>George T. Porter, Jr.</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3"/>
              </w:rPr>
              <w:t>/s/</w:t>
            </w:r>
          </w:p>
        </w:tc>
        <w:tc>
          <w:tcPr>
            <w:tcW w:w="2700" w:type="dxa"/>
            <w:vAlign w:val="bottom"/>
            <w:tcBorders>
              <w:bottom w:val="single" w:sz="8" w:color="auto"/>
            </w:tcBorders>
            <w:gridSpan w:val="4"/>
          </w:tcPr>
          <w:p>
            <w:pPr>
              <w:jc w:val="center"/>
              <w:ind w:right="687"/>
              <w:spacing w:after="0"/>
              <w:rPr>
                <w:sz w:val="20"/>
                <w:szCs w:val="20"/>
                <w:color w:val="auto"/>
              </w:rPr>
            </w:pPr>
            <w:r>
              <w:rPr>
                <w:rFonts w:ascii="Arial" w:cs="Arial" w:eastAsia="Arial" w:hAnsi="Arial"/>
                <w:sz w:val="18"/>
                <w:szCs w:val="18"/>
                <w:color w:val="auto"/>
                <w:w w:val="95"/>
              </w:rPr>
              <w:t>M</w:t>
            </w:r>
            <w:r>
              <w:rPr>
                <w:rFonts w:ascii="Arial" w:cs="Arial" w:eastAsia="Arial" w:hAnsi="Arial"/>
                <w:sz w:val="14"/>
                <w:szCs w:val="14"/>
                <w:color w:val="auto"/>
                <w:w w:val="95"/>
              </w:rPr>
              <w:t>ITCHELL</w:t>
            </w:r>
            <w:r>
              <w:rPr>
                <w:rFonts w:ascii="Arial" w:cs="Arial" w:eastAsia="Arial" w:hAnsi="Arial"/>
                <w:sz w:val="18"/>
                <w:szCs w:val="18"/>
                <w:color w:val="auto"/>
                <w:w w:val="95"/>
              </w:rPr>
              <w:t xml:space="preserve"> S. P</w:t>
            </w:r>
            <w:r>
              <w:rPr>
                <w:rFonts w:ascii="Arial" w:cs="Arial" w:eastAsia="Arial" w:hAnsi="Arial"/>
                <w:sz w:val="14"/>
                <w:szCs w:val="14"/>
                <w:color w:val="auto"/>
                <w:w w:val="95"/>
              </w:rPr>
              <w:t>RESSER</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967"/>
              <w:spacing w:after="0"/>
              <w:rPr>
                <w:sz w:val="20"/>
                <w:szCs w:val="20"/>
                <w:color w:val="auto"/>
              </w:rPr>
            </w:pPr>
            <w:r>
              <w:rPr>
                <w:rFonts w:ascii="Arial" w:cs="Arial" w:eastAsia="Arial" w:hAnsi="Arial"/>
                <w:sz w:val="14"/>
                <w:szCs w:val="14"/>
                <w:b w:val="1"/>
                <w:bCs w:val="1"/>
                <w:color w:val="auto"/>
                <w:w w:val="86"/>
              </w:rPr>
              <w:t>Mitchell S. Presser</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/s/</w:t>
            </w:r>
          </w:p>
        </w:tc>
        <w:tc>
          <w:tcPr>
            <w:tcW w:w="2700" w:type="dxa"/>
            <w:vAlign w:val="bottom"/>
            <w:tcBorders>
              <w:bottom w:val="single" w:sz="8" w:color="auto"/>
            </w:tcBorders>
            <w:gridSpan w:val="4"/>
          </w:tcPr>
          <w:p>
            <w:pPr>
              <w:jc w:val="center"/>
              <w:ind w:right="687"/>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L. S</w:t>
            </w:r>
            <w:r>
              <w:rPr>
                <w:rFonts w:ascii="Arial" w:cs="Arial" w:eastAsia="Arial" w:hAnsi="Arial"/>
                <w:sz w:val="14"/>
                <w:szCs w:val="14"/>
                <w:color w:val="auto"/>
                <w:w w:val="96"/>
              </w:rPr>
              <w:t>OCKOLOV</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November 20, 2009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967"/>
              <w:spacing w:after="0"/>
              <w:rPr>
                <w:sz w:val="20"/>
                <w:szCs w:val="20"/>
                <w:color w:val="auto"/>
              </w:rPr>
            </w:pPr>
            <w:r>
              <w:rPr>
                <w:rFonts w:ascii="Arial" w:cs="Arial" w:eastAsia="Arial" w:hAnsi="Arial"/>
                <w:sz w:val="14"/>
                <w:szCs w:val="14"/>
                <w:b w:val="1"/>
                <w:bCs w:val="1"/>
                <w:color w:val="auto"/>
                <w:w w:val="87"/>
              </w:rPr>
              <w:t>Robert L. Sockolov</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274" w:right="4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Casual Male Retail Group, Inc. 2006 Incentive Compensation Plan, as amended (included as Exhibit 10.1 to the Registrant’s Quarterly Report on Form</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10Q filed on November 20, 2009, and incorporated herein by reference).</w:t>
      </w:r>
    </w:p>
    <w:p>
      <w:pPr>
        <w:spacing w:after="0" w:line="11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Opinion of Greenberg Traurig LLP, counsel to the Registrant.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Greenberg Traurig LLP (included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ectPr>
          <w:pgSz w:w="11900" w:h="16838" w:orient="portrait"/>
          <w:cols w:equalWidth="0" w:num="1">
            <w:col w:w="11320"/>
          </w:cols>
          <w:pgMar w:left="240" w:top="27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[Greenberg Traurig, LLP Letterhead]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199"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Shares to be Issued Under the Casual Male Retail Group, Inc.</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2006 Incentive Compensation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750,000 shares (the “Shares”) of common stock, $0.01 par value per share (the “Common Stock”), of Casual Male Retail Group, Inc., a Delaware corporation (the “Company”), that may be issued under the Casual Male Retail Group, Inc. 2006 Incentive Compensation Plan, as amended (the “Plan”).</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is understood that this opinion is to be used only in connection with the offer and sale of the Shares while the Registration Statement is in effect.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w:t>
      </w:r>
    </w:p>
    <w:p>
      <w:pPr>
        <w:spacing w:after="0" w:line="19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REENBERG</w:t>
      </w:r>
      <w:r>
        <w:rPr>
          <w:rFonts w:ascii="Arial" w:cs="Arial" w:eastAsia="Arial" w:hAnsi="Arial"/>
          <w:sz w:val="18"/>
          <w:szCs w:val="18"/>
          <w:color w:val="auto"/>
        </w:rPr>
        <w:t xml:space="preserve"> T</w:t>
      </w:r>
      <w:r>
        <w:rPr>
          <w:rFonts w:ascii="Arial" w:cs="Arial" w:eastAsia="Arial" w:hAnsi="Arial"/>
          <w:sz w:val="14"/>
          <w:szCs w:val="14"/>
          <w:color w:val="auto"/>
        </w:rPr>
        <w:t>RAURIG</w:t>
      </w:r>
      <w:r>
        <w:rPr>
          <w:rFonts w:ascii="Arial" w:cs="Arial" w:eastAsia="Arial" w:hAnsi="Arial"/>
          <w:sz w:val="18"/>
          <w:szCs w:val="18"/>
          <w:color w:val="auto"/>
        </w:rPr>
        <w: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Greenberg Traurig, LLP</w:t>
      </w:r>
    </w:p>
    <w:p>
      <w:pPr>
        <w:sectPr>
          <w:pgSz w:w="11900" w:h="16838" w:orient="portrait"/>
          <w:cols w:equalWidth="0" w:num="1">
            <w:col w:w="11320"/>
          </w:cols>
          <w:pgMar w:left="240" w:top="28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Casual Male Retail Group, Inc. 2006 Incentive Compensation Plan to register 750,000 shares of common stock, of our reports dated March 18, 2009, with respect to the consolidated financial statements of Casual Male Retail Group, Inc. included in its Annual Report (Form 10-K) for the year ended January 31, 2009, and the effectiveness of internal control over financial reporting of Casual Male Retail Group, Inc. filed with the Securities and Exchange Commission.</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Roman"/>
      <w:start w:val="3"/>
    </w:lvl>
  </w:abstractNum>
  <w:abstractNum w:abstractNumId="3">
    <w:nsid w:val="3D1B58BA"/>
    <w:multiLevelType w:val="hybridMultilevel"/>
    <w:lvl w:ilvl="0">
      <w:lvlJc w:val="left"/>
      <w:lvlText w:val="(%1)"/>
      <w:numFmt w:val="decimal"/>
      <w:start w:val="1"/>
    </w:lvl>
    <w:lvl w:ilvl="1">
      <w:lvlJc w:val="left"/>
      <w:lvlText w:val="(%2)"/>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2019-12-10T07:34:31Z</dcterms:created>
  <dcterms:modified xsi:type="dcterms:W3CDTF">2019-12-10T07:34:31Z</dcterms:modified>
</cp:coreProperties>
</file>