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287655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307340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31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333"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or</w:t>
      </w:r>
    </w:p>
    <w:p>
      <w:pPr>
        <w:spacing w:after="0" w:line="36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35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313"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297815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DESTINATION XL GROUP, INC. 401(K) HOURLY SAVINGS PLAN</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(Full title of the plan)</w:t>
      </w:r>
    </w:p>
    <w:p>
      <w:pPr>
        <w:spacing w:after="0" w:line="3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DESTINATION XL GROUP, INC.</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(Name of issuer of the securities held pursuant to the plan and the address</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780" w:type="dxa"/>
            <w:vAlign w:val="bottom"/>
            <w:gridSpan w:val="5"/>
          </w:tcPr>
          <w:p>
            <w:pPr>
              <w:jc w:val="center"/>
              <w:ind w:left="1352"/>
              <w:spacing w:after="0"/>
              <w:rPr>
                <w:sz w:val="20"/>
                <w:szCs w:val="20"/>
                <w:color w:val="auto"/>
              </w:rPr>
            </w:pPr>
            <w:r>
              <w:rPr>
                <w:rFonts w:ascii="Arial" w:cs="Arial" w:eastAsia="Arial" w:hAnsi="Arial"/>
                <w:sz w:val="18"/>
                <w:szCs w:val="18"/>
                <w:color w:val="auto"/>
                <w:w w:val="90"/>
              </w:rPr>
              <w:t>Destination XL Group, Inc. 401(k) Hourly Savings Plan</w:t>
            </w:r>
          </w:p>
        </w:tc>
        <w:tc>
          <w:tcPr>
            <w:tcW w:w="3440" w:type="dxa"/>
            <w:vAlign w:val="bottom"/>
          </w:tcPr>
          <w:p>
            <w:pPr>
              <w:spacing w:after="0"/>
              <w:rPr>
                <w:sz w:val="19"/>
                <w:szCs w:val="19"/>
                <w:color w:val="auto"/>
              </w:rPr>
            </w:pPr>
          </w:p>
        </w:tc>
      </w:tr>
      <w:tr>
        <w:trPr>
          <w:trHeight w:val="372"/>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80" w:type="dxa"/>
            <w:vAlign w:val="bottom"/>
            <w:gridSpan w:val="5"/>
          </w:tcPr>
          <w:p>
            <w:pPr>
              <w:jc w:val="center"/>
              <w:ind w:left="1352"/>
              <w:spacing w:after="0"/>
              <w:rPr>
                <w:sz w:val="20"/>
                <w:szCs w:val="20"/>
                <w:color w:val="auto"/>
              </w:rPr>
            </w:pPr>
            <w:r>
              <w:rPr>
                <w:rFonts w:ascii="Arial" w:cs="Arial" w:eastAsia="Arial" w:hAnsi="Arial"/>
                <w:sz w:val="18"/>
                <w:szCs w:val="18"/>
                <w:color w:val="auto"/>
                <w:w w:val="86"/>
              </w:rPr>
              <w:t>Financial Statements and Supplemental Schedules</w:t>
            </w:r>
          </w:p>
        </w:tc>
        <w:tc>
          <w:tcPr>
            <w:tcW w:w="3440" w:type="dxa"/>
            <w:vAlign w:val="bottom"/>
          </w:tcPr>
          <w:p>
            <w:pPr>
              <w:spacing w:after="0"/>
              <w:rPr>
                <w:sz w:val="24"/>
                <w:szCs w:val="24"/>
                <w:color w:val="auto"/>
              </w:rPr>
            </w:pPr>
          </w:p>
        </w:tc>
      </w:tr>
      <w:tr>
        <w:trPr>
          <w:trHeight w:val="222"/>
        </w:trPr>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760" w:type="dxa"/>
            <w:vAlign w:val="bottom"/>
            <w:gridSpan w:val="4"/>
          </w:tcPr>
          <w:p>
            <w:pPr>
              <w:jc w:val="center"/>
              <w:ind w:right="560"/>
              <w:spacing w:after="0"/>
              <w:rPr>
                <w:sz w:val="20"/>
                <w:szCs w:val="20"/>
                <w:color w:val="auto"/>
              </w:rPr>
            </w:pPr>
            <w:r>
              <w:rPr>
                <w:rFonts w:ascii="Arial" w:cs="Arial" w:eastAsia="Arial" w:hAnsi="Arial"/>
                <w:sz w:val="18"/>
                <w:szCs w:val="18"/>
                <w:color w:val="auto"/>
                <w:w w:val="86"/>
              </w:rPr>
              <w:t>Year Ended December 31, 2013</w:t>
            </w:r>
          </w:p>
        </w:tc>
        <w:tc>
          <w:tcPr>
            <w:tcW w:w="3440" w:type="dxa"/>
            <w:vAlign w:val="bottom"/>
          </w:tcPr>
          <w:p>
            <w:pPr>
              <w:spacing w:after="0"/>
              <w:rPr>
                <w:sz w:val="19"/>
                <w:szCs w:val="19"/>
                <w:color w:val="auto"/>
              </w:rPr>
            </w:pPr>
          </w:p>
        </w:tc>
      </w:tr>
      <w:tr>
        <w:trPr>
          <w:trHeight w:val="378"/>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6"/>
              </w:rPr>
              <w:t>Table of Contents</w:t>
            </w:r>
          </w:p>
        </w:tc>
        <w:tc>
          <w:tcPr>
            <w:tcW w:w="3440" w:type="dxa"/>
            <w:vAlign w:val="bottom"/>
          </w:tcPr>
          <w:p>
            <w:pPr>
              <w:spacing w:after="0"/>
              <w:rPr>
                <w:sz w:val="24"/>
                <w:szCs w:val="24"/>
                <w:color w:val="auto"/>
              </w:rPr>
            </w:pPr>
          </w:p>
        </w:tc>
      </w:tr>
      <w:tr>
        <w:trPr>
          <w:trHeight w:val="380"/>
        </w:trPr>
        <w:tc>
          <w:tcPr>
            <w:tcW w:w="78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58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2013 and 2012</w:t>
              </w:r>
            </w:hyperlink>
          </w:p>
        </w:tc>
        <w:tc>
          <w:tcPr>
            <w:tcW w:w="2020" w:type="dxa"/>
            <w:vAlign w:val="bottom"/>
            <w:gridSpan w:val="3"/>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 of Changes in Net Assets Available for Benefits for the Year Ended December 31, 2013</w:t>
              </w:r>
            </w:hyperlink>
          </w:p>
        </w:tc>
        <w:tc>
          <w:tcPr>
            <w:tcW w:w="960" w:type="dxa"/>
            <w:vAlign w:val="bottom"/>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88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4-15</w:t>
            </w:r>
          </w:p>
        </w:tc>
      </w:tr>
      <w:tr>
        <w:trPr>
          <w:trHeight w:val="196"/>
        </w:trPr>
        <w:tc>
          <w:tcPr>
            <w:tcW w:w="21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Supplemental Schedules</w:t>
              </w:r>
            </w:hyperlink>
          </w:p>
        </w:tc>
        <w:tc>
          <w:tcPr>
            <w:tcW w:w="5780" w:type="dxa"/>
            <w:vAlign w:val="bottom"/>
            <w:gridSpan w:val="5"/>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720" w:type="dxa"/>
            <w:vAlign w:val="bottom"/>
            <w:shd w:val="clear" w:color="auto" w:fill="0000EE"/>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7880" w:type="dxa"/>
            <w:vAlign w:val="bottom"/>
            <w:gridSpan w:val="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Schedule H, Line 4i – Schedule of Assets (Held at End of Year) as of December 31, 2013</w:t>
              </w:r>
            </w:hyperlink>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6280" w:type="dxa"/>
            <w:vAlign w:val="bottom"/>
            <w:gridSpan w:val="5"/>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7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Schedule H, Line 4a – Schedule of Delinquent Participant Contributions for the Year Ended December 31, 2013</w:t>
              </w:r>
            </w:hyperlink>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8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statements of net assets available for benefits of the Destination XL Group, Inc. 401(k) Hourly Savings Plan (the “Plan”) as of December 31, 2013 and 2012, and the related statement of changes in net assets available for benefits for the year ended December 31, 2013.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2013 and 2012, and the changes in net assets available for benefits for the year ended December 31, 2013, in conformity with accounting principles generally accepted in the United States of America.</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audits were performed for the purpose of forming an opinion on the basic financial statements taken as a whole. The supplemental Schedule of Assets (Held at End of Year) as of December 31, 2013 and Schedule of Delinquent Participant Contributions for the year ended December 31, 2013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CPAs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 and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 (Notes 3, 4 and 5)</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$12,516,752</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$ 11,319,293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Participants’ contributions</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360,729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Notes receivable from participants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380,108</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740,837</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 reflecting investments at fair value</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13,257,589</w:t>
            </w:r>
          </w:p>
        </w:tc>
        <w:tc>
          <w:tcPr>
            <w:tcW w:w="3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11,998,451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(76,094)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(131,234)</w:t>
            </w:r>
          </w:p>
        </w:tc>
        <w:tc>
          <w:tcPr>
            <w:tcW w:w="0" w:type="dxa"/>
            <w:vAlign w:val="bottom"/>
          </w:tcPr>
          <w:p>
            <w:pPr>
              <w:spacing w:after="0"/>
              <w:rPr>
                <w:sz w:val="1"/>
                <w:szCs w:val="1"/>
                <w:color w:val="auto"/>
              </w:rPr>
            </w:pPr>
          </w:p>
        </w:tc>
      </w:tr>
      <w:tr>
        <w:trPr>
          <w:trHeight w:val="330"/>
        </w:trPr>
        <w:tc>
          <w:tcPr>
            <w:tcW w:w="92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13,181,495</w:t>
            </w:r>
          </w:p>
        </w:tc>
        <w:tc>
          <w:tcPr>
            <w:tcW w:w="32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11,867,217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left="1726"/>
        <w:spacing w:after="0"/>
        <w:rPr>
          <w:sz w:val="20"/>
          <w:szCs w:val="20"/>
          <w:color w:val="auto"/>
        </w:rPr>
      </w:pPr>
      <w:r>
        <w:rPr>
          <w:rFonts w:ascii="Arial" w:cs="Arial" w:eastAsia="Arial" w:hAnsi="Arial"/>
          <w:sz w:val="16"/>
          <w:szCs w:val="16"/>
          <w:color w:val="auto"/>
        </w:rPr>
        <w:t>Destination XL Group, Inc. 401(k) Hourly Savings Plan</w:t>
      </w:r>
    </w:p>
    <w:p>
      <w:pPr>
        <w:spacing w:after="0" w:line="38" w:lineRule="exact"/>
        <w:rPr>
          <w:sz w:val="20"/>
          <w:szCs w:val="20"/>
          <w:color w:val="auto"/>
        </w:rPr>
      </w:pPr>
    </w:p>
    <w:p>
      <w:pPr>
        <w:jc w:val="center"/>
        <w:ind w:left="1726"/>
        <w:spacing w:after="0"/>
        <w:rPr>
          <w:sz w:val="20"/>
          <w:szCs w:val="20"/>
          <w:color w:val="auto"/>
        </w:rPr>
      </w:pPr>
      <w:r>
        <w:rPr>
          <w:rFonts w:ascii="Arial" w:cs="Arial" w:eastAsia="Arial" w:hAnsi="Arial"/>
          <w:sz w:val="15"/>
          <w:szCs w:val="15"/>
          <w:color w:val="auto"/>
        </w:rPr>
        <w:t>Statement of Changes in Net Assets Available for Benefits</w:t>
      </w:r>
    </w:p>
    <w:p>
      <w:pPr>
        <w:spacing w:after="0" w:line="44" w:lineRule="exact"/>
        <w:rPr>
          <w:sz w:val="20"/>
          <w:szCs w:val="20"/>
          <w:color w:val="auto"/>
        </w:rPr>
      </w:pPr>
    </w:p>
    <w:p>
      <w:pPr>
        <w:jc w:val="center"/>
        <w:ind w:left="1726"/>
        <w:spacing w:after="0"/>
        <w:rPr>
          <w:sz w:val="20"/>
          <w:szCs w:val="20"/>
          <w:color w:val="auto"/>
        </w:rPr>
      </w:pPr>
      <w:r>
        <w:rPr>
          <w:rFonts w:ascii="Arial" w:cs="Arial" w:eastAsia="Arial" w:hAnsi="Arial"/>
          <w:sz w:val="18"/>
          <w:szCs w:val="18"/>
          <w:color w:val="auto"/>
        </w:rPr>
        <w:t>For the Year Ended December 31,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appreciation in fair value of investments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notes receivable from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Participants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Transfers into the Plan (Note 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Benefits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Transfers out of the Plan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deductions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beginning of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ind w:left="1726"/>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ind w:left="172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6" w:hanging="326"/>
        <w:spacing w:after="0"/>
        <w:tabs>
          <w:tab w:leader="none" w:pos="326" w:val="left"/>
        </w:tabs>
        <w:numPr>
          <w:ilvl w:val="0"/>
          <w:numId w:val="3"/>
        </w:numPr>
        <w:rPr>
          <w:rFonts w:ascii="Arial" w:cs="Arial" w:eastAsia="Arial" w:hAnsi="Arial"/>
          <w:sz w:val="15"/>
          <w:szCs w:val="15"/>
          <w:color w:val="auto"/>
        </w:rPr>
      </w:pPr>
      <w:r>
        <w:rPr>
          <w:rFonts w:ascii="Arial" w:cs="Arial" w:eastAsia="Arial" w:hAnsi="Arial"/>
          <w:sz w:val="15"/>
          <w:szCs w:val="15"/>
          <w:color w:val="auto"/>
        </w:rPr>
        <w:t>893,511</w:t>
      </w:r>
    </w:p>
    <w:p>
      <w:pPr>
        <w:spacing w:after="0" w:line="49" w:lineRule="exact"/>
        <w:rPr>
          <w:rFonts w:ascii="Arial" w:cs="Arial" w:eastAsia="Arial" w:hAnsi="Arial"/>
          <w:sz w:val="15"/>
          <w:szCs w:val="15"/>
          <w:color w:val="auto"/>
        </w:rPr>
      </w:pPr>
    </w:p>
    <w:p>
      <w:pPr>
        <w:ind w:left="326"/>
        <w:spacing w:after="0"/>
        <w:rPr>
          <w:rFonts w:ascii="Arial" w:cs="Arial" w:eastAsia="Arial" w:hAnsi="Arial"/>
          <w:sz w:val="15"/>
          <w:szCs w:val="15"/>
          <w:color w:val="auto"/>
        </w:rPr>
      </w:pPr>
      <w:r>
        <w:rPr>
          <w:rFonts w:ascii="Arial" w:cs="Arial" w:eastAsia="Arial" w:hAnsi="Arial"/>
          <w:sz w:val="15"/>
          <w:szCs w:val="15"/>
          <w:color w:val="auto"/>
        </w:rPr>
        <w:t>504,385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1,397,896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17,991</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712,988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360,769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1,081,157</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334,921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2,831,965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1,181,571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309,832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65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1,517,687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5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1,314,278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auto"/>
        </w:rPr>
        <w:t>11,867,217</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5"/>
          <w:szCs w:val="15"/>
          <w:u w:val="single" w:color="auto"/>
          <w:color w:val="auto"/>
        </w:rPr>
        <w:t>$13,181,495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565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9714" w:space="720"/>
            <w:col w:w="886"/>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following description of Destination XL Group, Inc. 401(k) Hourly Savings Plan (formerly Casual Male Retail Group, Inc. 401(k) Hourly Savings Plan) (the “Plan”) provides only general information. Participants should refer to the Plan document for a more complete description of the Plan’s provisions.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Plan is a defined contribution plan covering eligible employees of Destination XL Group, Inc. (the “Company”). The Plan is subject to the provisions of the Employee Retirement Income Security Act of 1974 (“ERISA”).</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Plan is administered by the Company’s Investment Committee (“Committee”), which is a committee comprised of members of management of the Company. The Committee has overall responsibility for the operation and administration of the Plan. The Committee, along with its investment advisors and trustee, has developed an investment policy to determine the appropriateness of the Plan’s investment offerings, monitors investment performance and reports to the Company’s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hourly employees of the Company who have completed one year of employment, worked 1,000 hours in one year, and are at least 21 years of age are eligible to participate in the Plan. After completing age and service requirements, the employee can enter the Plan on the first day of any subsequent month.</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Destination XL Group, Inc. 401(k) Salaried Savings Plan during the year ended December 31, 2013 were $309,832. Assets transferred from the Destination XL Group, Inc. 401(k) Salaried Savings Plan during the year ended December 31, 2013 were $334,921.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year, participants may contribute up to 80% of annual compensation as defined in the Plan. The participants can elect their contributions to be on a before tax and/or after tax basis. Participants may also contribute amounts representing distributions from other qualified defined benefit or defined contributions plans. Additionally, participants who have attained age 50 before the end of the plan year are eligible to make catch-up contributions. Contributions are subject to certain Internal Revenue Code (“Code”) limitations.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 (continued)</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Safe Harbor Matching provisions permitted under the Pension Protection Act of 2006, the Company matches 100% of the participant’s elective deferral for the first 1% of eligible compensation plus 50% of the participant’s elective deferral for the next 5% of eligible compensation. Additional amounts may be contributed at the discretion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3% of their compensation automatically deducted unless the employee affirmatively elects a different elective deferral contribution percentage (including a zero percent election). Unless an eligible employee affirmatively elects not to contribute or changes his or her deferral rate, the pre-tax deferral will increase annually by 1% not to exceed 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participant’s account is credited with the participant’s contributions, the Company’s matching and discretionary contribution, plan earnings and charged with an allocation of plan expenses. The plan expenses are divided equally to all participants. The benefits to which a participant is entitled are the benefits that can be provided from the participant’s vested account.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each participant’s years of continuous service. A participant is 100% vested after two years of credited service.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2013 and 2012, forfeited non-vested accounts totaled $11,608 and $21,965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participants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Participants may borrow the lesser of $50,000 reduced by the individual’s highest outstanding loan balance during the preceding twelve months or 50% of the individual’s vested balance with a minimum of $1,000 per loan. Loans are secured by the balance in the participant’s account and bear interest at rates which are commensurate with local prevailing rates as determined by the Plan Administrator at the inception of the loan (currently prime rate plus 1.5%). Loan terms range from one to five years unless the loan is used to purchase a primary residence, in which case the loan may be repaid over a ten-year period. Other restrictions, as specified in the Plan agreement, may apply to a participant’s loan transaction. Principal and interest are paid ratably through payroll deductions.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Distribution can be made if requested due to disability, retirement, or termination of employment. On termination of service for any reason, a participant may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Beneficiaries may request a distribution of the vested account balance in the event of death. The account balance will continue to increase or decrease, as appropriate, based on the investment returns until it is distributed.</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lump sum distribution without the participant’s consent. Prior to such distribution, participants still have the right to request that the amount be distributed directly to them in the form of a lump sum payment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 (continued)</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 request that it be rolled-over to a different IRA provider or another retirement plan eligible to receive rollover contributions. 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Investments are stated at fair value. Fair value is the price that would be received to sell an asset or paid to transfer a liability in an orderly transaction between market participants at the measurement date. The Committee determines the Plan’s valuation policies utilizing information provided by the investment advisers and trustee. See Note 5 for further discussion of fair value measurements.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 (continued)</w:t>
      </w:r>
    </w:p>
    <w:p>
      <w:pPr>
        <w:spacing w:after="0" w:line="15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17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Notes receivable from participants are measured at their unpaid principal balance plus accrued but unpaid interest. Interest income is recorded on the accrual basis. Related fees are recorded as administrative expenses and are expensed when they are incurred. No allowance for credit losses has been recorded as of December 31, 2013 and 2012. If a participant ceases to make loan repayments and the Plan Administrator deems the participant loan to be in default, the participant loan balance is reduced and a benefit payment is recorded.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 Values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Individual participant accounts for the Fidelity Advisor Stable Value Fund, a common/collective trust fund, are maintained on a unit value basis. Participants do not have beneficial ownership in the specific underlying securities or other assets in the fund, but do have an interest therein represented by units valued daily. The fund earns dividends and interest which are automatically reinvested in additional units. Generally, contributions to and withdrawals from each fund are converted to units by dividing the amounts of such transactions by the unit values as last determined, and the participants’ accounts are charged or credited with the number of units properly attributable to each participant.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accordance with the Plan, all administrative expenses may be paid out of the Plan unless paid by the Company. During 2013, there were no expenses paid by the Company. Fees related to the administration of notes receivable from participants are charged directly to the participant’s account and are included in administrative expenses. Investment related expenses are included in net appreciation of fair value of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 </w:t>
      </w:r>
      <w:r>
        <w:rPr>
          <w:rFonts w:ascii="Arial" w:cs="Arial" w:eastAsia="Arial" w:hAnsi="Arial"/>
          <w:sz w:val="18"/>
          <w:szCs w:val="18"/>
          <w:u w:val="single" w:color="auto"/>
          <w:color w:val="auto"/>
        </w:rPr>
        <w:t>Investments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2013, the Plan’s investments (including gains and losses on investments bought and sold, as well as held during the year) appreciated in fair value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$845,723</w:t>
            </w: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Common Stock</w:t>
            </w:r>
          </w:p>
        </w:tc>
        <w:tc>
          <w:tcPr>
            <w:tcW w:w="29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47,788</w:t>
            </w: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$ 893,511</w:t>
            </w:r>
          </w:p>
        </w:tc>
        <w:tc>
          <w:tcPr>
            <w:tcW w:w="100" w:type="dxa"/>
            <w:vAlign w:val="bottom"/>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2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54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2013</w:t>
            </w:r>
          </w:p>
        </w:tc>
        <w:tc>
          <w:tcPr>
            <w:tcW w:w="12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Fidelity Advisor Stable Value Fund *</w:t>
            </w:r>
          </w:p>
        </w:tc>
        <w:tc>
          <w:tcPr>
            <w:tcW w:w="17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$3,921,660</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$3,787,201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JP Morgan Equity Index</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1,311,319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1,018,056</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Freedom 2005</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996,173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884,613</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Fidelity Advisor Freedom 2010</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790,105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722,654</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Federated Bond Fund</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596,150</w:t>
            </w:r>
          </w:p>
        </w:tc>
        <w:tc>
          <w:tcPr>
            <w:tcW w:w="100" w:type="dxa"/>
            <w:vAlign w:val="bottom"/>
            <w:shd w:val="clear" w:color="auto" w:fill="CCEEFF"/>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Fidelity Advisor New Insights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693,143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404"/>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The amount represents contract value for this investment.</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Not applicable; investment amount is below 5%.</w:t>
            </w:r>
          </w:p>
        </w:tc>
        <w:tc>
          <w:tcPr>
            <w:tcW w:w="1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tabs>
          <w:tab w:leader="none" w:pos="440" w:val="left"/>
        </w:tabs>
        <w:rPr>
          <w:sz w:val="20"/>
          <w:szCs w:val="20"/>
          <w:color w:val="auto"/>
        </w:rPr>
      </w:pPr>
      <w:r>
        <w:rPr>
          <w:rFonts w:ascii="Arial" w:cs="Arial" w:eastAsia="Arial" w:hAnsi="Arial"/>
          <w:sz w:val="18"/>
          <w:szCs w:val="18"/>
          <w:color w:val="auto"/>
        </w:rPr>
        <w:t>***</w:t>
        <w:tab/>
        <w:t>The Plan did not have any investment in this fund at December 31,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Non Participant Directed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Information about the net assets and the significant components of the changes in net assets relating to the non participant directed investments are as follows:</w:t>
      </w:r>
    </w:p>
    <w:p>
      <w:pPr>
        <w:spacing w:after="0" w:line="1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Non Participant Directed Investments (continued)</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580" w:type="dxa"/>
            <w:vAlign w:val="bottom"/>
          </w:tcPr>
          <w:p>
            <w:pPr>
              <w:spacing w:after="0"/>
              <w:rPr>
                <w:sz w:val="14"/>
                <w:szCs w:val="14"/>
                <w:color w:val="auto"/>
              </w:rPr>
            </w:pPr>
          </w:p>
        </w:tc>
        <w:tc>
          <w:tcPr>
            <w:tcW w:w="19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Assets:</w:t>
            </w:r>
          </w:p>
        </w:tc>
        <w:tc>
          <w:tcPr>
            <w:tcW w:w="1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5580" w:type="dxa"/>
            <w:vAlign w:val="bottom"/>
          </w:tcPr>
          <w:p>
            <w:pPr>
              <w:ind w:left="440"/>
              <w:spacing w:after="0"/>
              <w:rPr>
                <w:sz w:val="20"/>
                <w:szCs w:val="20"/>
                <w:color w:val="auto"/>
              </w:rPr>
            </w:pPr>
            <w:r>
              <w:rPr>
                <w:rFonts w:ascii="Arial" w:cs="Arial" w:eastAsia="Arial" w:hAnsi="Arial"/>
                <w:sz w:val="18"/>
                <w:szCs w:val="18"/>
                <w:color w:val="auto"/>
              </w:rPr>
              <w:t>Fidelity Advisor Stable Value Fund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$11,608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$21,965</w:t>
            </w:r>
          </w:p>
        </w:tc>
        <w:tc>
          <w:tcPr>
            <w:tcW w:w="100" w:type="dxa"/>
            <w:vAlign w:val="bottom"/>
          </w:tcPr>
          <w:p>
            <w:pPr>
              <w:spacing w:after="0"/>
              <w:rPr>
                <w:sz w:val="19"/>
                <w:szCs w:val="19"/>
                <w:color w:val="auto"/>
              </w:rPr>
            </w:pPr>
          </w:p>
        </w:tc>
      </w:tr>
      <w:tr>
        <w:trPr>
          <w:trHeight w:val="332"/>
        </w:trPr>
        <w:tc>
          <w:tcPr>
            <w:tcW w:w="5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0"/>
              </w:rPr>
              <w:t>Year Ended</w:t>
            </w:r>
          </w:p>
        </w:tc>
      </w:tr>
      <w:tr>
        <w:trPr>
          <w:trHeight w:val="149"/>
        </w:trPr>
        <w:tc>
          <w:tcPr>
            <w:tcW w:w="5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558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Changes in Net Assets:</w:t>
            </w:r>
          </w:p>
        </w:tc>
        <w:tc>
          <w:tcPr>
            <w:tcW w:w="1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Dividend income</w:t>
            </w:r>
          </w:p>
        </w:tc>
        <w:tc>
          <w:tcPr>
            <w:tcW w:w="2340" w:type="dxa"/>
            <w:vAlign w:val="bottom"/>
            <w:gridSpan w:val="5"/>
          </w:tcPr>
          <w:p>
            <w:pPr>
              <w:ind w:left="2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year forfeitures</w:t>
            </w: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Contribution</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Forfeitures used to reduce prior year employer match</w:t>
            </w: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(21,000)</w:t>
            </w:r>
          </w:p>
        </w:tc>
      </w:tr>
      <w:tr>
        <w:trPr>
          <w:trHeight w:val="20"/>
        </w:trPr>
        <w:tc>
          <w:tcPr>
            <w:tcW w:w="55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2"/>
        </w:trPr>
        <w:tc>
          <w:tcPr>
            <w:tcW w:w="5580" w:type="dxa"/>
            <w:vAlign w:val="bottom"/>
          </w:tcPr>
          <w:p>
            <w:pPr>
              <w:spacing w:after="0"/>
              <w:rPr>
                <w:sz w:val="19"/>
                <w:szCs w:val="19"/>
                <w:color w:val="auto"/>
              </w:rPr>
            </w:pPr>
          </w:p>
        </w:tc>
        <w:tc>
          <w:tcPr>
            <w:tcW w:w="2340" w:type="dxa"/>
            <w:vAlign w:val="bottom"/>
            <w:gridSpan w:val="5"/>
          </w:tcPr>
          <w:p>
            <w:pPr>
              <w:ind w:left="218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(10,357)</w:t>
            </w:r>
          </w:p>
        </w:tc>
      </w:tr>
      <w:tr>
        <w:trPr>
          <w:trHeight w:val="20"/>
        </w:trPr>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Plan measures fair value in accordance with Financial Accounting Standards Board (“FASB”) Accounting Standards Codification (“ASC”)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which provides a fair value hierarchy that prioritizes the inputs to valuation techniques used to measure fair value. The hierarchy gives the highest</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32" w:lineRule="exact"/>
        <w:rPr>
          <w:sz w:val="20"/>
          <w:szCs w:val="20"/>
          <w:color w:val="auto"/>
        </w:rPr>
      </w:pPr>
    </w:p>
    <w:p>
      <w:pPr>
        <w:ind w:left="680" w:right="420" w:hanging="674"/>
        <w:spacing w:after="0" w:line="268" w:lineRule="auto"/>
        <w:tabs>
          <w:tab w:leader="none" w:pos="660"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Plan has the ability to access.</w:t>
      </w:r>
    </w:p>
    <w:p>
      <w:pPr>
        <w:spacing w:after="0" w:line="1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90"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90" w:lineRule="exact"/>
        <w:rPr>
          <w:sz w:val="20"/>
          <w:szCs w:val="20"/>
          <w:color w:val="auto"/>
        </w:rPr>
      </w:pPr>
    </w:p>
    <w:p>
      <w:pPr>
        <w:jc w:val="center"/>
        <w:ind w:left="680" w:right="260"/>
        <w:spacing w:after="0" w:line="440"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or the asset or liability. 10</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2013 and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the closing price reported on the active market on which the individual securities are traded.</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daily closing price as reported by the fund. Mutual funds held by the Plan are open-end mutual funds that are registered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These funds are required to publish their daily Net Asset Value (“NAV”) and to transact at that price. The mutual funds held by the Plan are deemed to be actively traded.</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i w:val="1"/>
          <w:iCs w:val="1"/>
          <w:color w:val="auto"/>
        </w:rPr>
        <w:t xml:space="preserve">Common/collective trust fund: </w:t>
      </w:r>
      <w:r>
        <w:rPr>
          <w:rFonts w:ascii="Arial" w:cs="Arial" w:eastAsia="Arial" w:hAnsi="Arial"/>
          <w:sz w:val="16"/>
          <w:szCs w:val="16"/>
          <w:color w:val="auto"/>
        </w:rPr>
        <w:t>Valued at the NAV of units of a bank collective trust. The NAV, as provided by the trustee, is used as a practical expedient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fair value. The NAV is based on the fair value of the underlying investments held by the fund less its liabilities. This practical expedient is not used when it is determined to be probable that the fund will sell the investment for an amount different than the reported NAV.</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the Plan’s investments at fair value as of December 31, 2013 and 2012:</w:t>
      </w:r>
    </w:p>
    <w:p>
      <w:pPr>
        <w:spacing w:after="0" w:line="19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Investments at Fair Value as of December 31, 2013</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Level 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3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$2,364,855</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2,364,855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546,383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163,565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598,171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3,964,556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3,964,556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35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785,604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0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8,423,134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8,423,134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Retail</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95,864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Fixed income fund</w:t>
            </w:r>
          </w:p>
        </w:tc>
        <w:tc>
          <w:tcPr>
            <w:tcW w:w="35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3,997,754</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3,997,754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8,518,998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3,997,754</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12,516,752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700" w:type="dxa"/>
            <w:vAlign w:val="bottom"/>
            <w:gridSpan w:val="3"/>
          </w:tcPr>
          <w:p>
            <w:pPr>
              <w:jc w:val="center"/>
              <w:ind w:left="92"/>
              <w:spacing w:after="0"/>
              <w:rPr>
                <w:sz w:val="20"/>
                <w:szCs w:val="20"/>
                <w:color w:val="auto"/>
              </w:rPr>
            </w:pPr>
            <w:r>
              <w:rPr>
                <w:rFonts w:ascii="Arial" w:cs="Arial" w:eastAsia="Arial" w:hAnsi="Arial"/>
                <w:sz w:val="18"/>
                <w:szCs w:val="18"/>
                <w:color w:val="auto"/>
                <w:w w:val="87"/>
              </w:rPr>
              <w:t>Investments at Fair Value as of December 31, 2012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Level 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3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$1,902,896</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1,902,896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395,690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129,145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520,488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3,252,558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3,252,558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3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1,111,299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1,111,299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0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35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7,312,076</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7,312,076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Retail</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88,782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Fixed income fund</w:t>
            </w:r>
          </w:p>
        </w:tc>
        <w:tc>
          <w:tcPr>
            <w:tcW w:w="35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3,918,435</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3,918,435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7,400,858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3,918,435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11,319,293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500" w:type="dxa"/>
            <w:vAlign w:val="bottom"/>
            <w:vMerge w:val="restart"/>
          </w:tcPr>
          <w:p>
            <w:pPr>
              <w:jc w:val="right"/>
              <w:ind w:right="892"/>
              <w:spacing w:after="0"/>
              <w:rPr>
                <w:sz w:val="20"/>
                <w:szCs w:val="20"/>
                <w:color w:val="auto"/>
              </w:rPr>
            </w:pPr>
            <w:r>
              <w:rPr>
                <w:rFonts w:ascii="Arial" w:cs="Arial" w:eastAsia="Arial" w:hAnsi="Arial"/>
                <w:sz w:val="18"/>
                <w:szCs w:val="18"/>
                <w:color w:val="auto"/>
              </w:rPr>
              <w:t>12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Common/Collective Trust Fund</w:t>
      </w:r>
    </w:p>
    <w:p>
      <w:pPr>
        <w:spacing w:after="0" w:line="171"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Fidelity Advisor Stable Value Fund is a common/collective trust fund that is considered to be a stable value fund with underlying investments in investment contracts and is valued at fair value and then adjusted by the issuer to contract value. The net asset value of the stable value fund is the fair market value of its underlying investments and contract value is principal plus accrued interest. The Fidelity Advisor Stable Value Fund is a stable value fund that is an open-end commingled pool dedicated exclusively to the management of assets of defined contribution plans. The Fidelity Advisor Stable Value Fund’s Investment objective is to seek preservation of capital and a competitive level of income over time. To achieve its investment objective, the Fidelity Advisor Stable Value Fund invests in underlying assets (typically fixed income securities or bond funds and may include derivative instruments such as futures contracts and swap agreements) and enters into a “wrapper” contract issued by a third party. Participants may ordinarily direct the withdrawal or transfer of all or a portion of their investment at contract value. However, certain events limit the ability of the Plan to transact at contract with the issuer. Such events include the following:</w:t>
      </w:r>
    </w:p>
    <w:p>
      <w:pPr>
        <w:spacing w:after="0" w:line="6" w:lineRule="exact"/>
        <w:rPr>
          <w:sz w:val="20"/>
          <w:szCs w:val="20"/>
          <w:color w:val="auto"/>
        </w:rPr>
      </w:pPr>
    </w:p>
    <w:p>
      <w:pPr>
        <w:ind w:firstLine="8"/>
        <w:spacing w:after="0" w:line="252"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 to the Plan document (including complete or partial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that any events which would limit the Plan’s ability to transact at contract value with Plan participants are probable of occurring. Contract value represents contributions made to the fund, plus earnings, less participant withdrawals.</w:t>
      </w:r>
    </w:p>
    <w:p>
      <w:pPr>
        <w:spacing w:after="0" w:line="1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common/collective trust fund has certain restrictions on withdrawals and transfers as follows: withdrawals directed by the Company must be preceded by twelve months written notice to the Trustee, provided, however, that the Trustee may, in its discretion complete any plan-level withdrawals before the expiration of such twelve month period; withdrawals made in order to accommodate distribution to participants, whether in-service or following termination of employment, may be made on any business day; withdrawals made in order to accommodate a participant-directed exchange to another investment option may be made on any business day, provided that the exchange is not directed to a competing fund (money market funds or certain other types of fixed income funds). Transferred amounts must be held in a non-competing investment option for 90 days before subsequent transfers to a competing fund can occur.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 </w:t>
      </w:r>
      <w:r>
        <w:rPr>
          <w:rFonts w:ascii="Arial" w:cs="Arial" w:eastAsia="Arial" w:hAnsi="Arial"/>
          <w:sz w:val="18"/>
          <w:szCs w:val="18"/>
          <w:u w:val="single" w:color="auto"/>
          <w:color w:val="auto"/>
        </w:rPr>
        <w:t>Related Party and Party In Interest Transactions</w:t>
      </w:r>
    </w:p>
    <w:p>
      <w:pPr>
        <w:spacing w:after="0" w:line="17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Plan owned 14,658 and 21,139 shares of Destination XL Group, Inc. valued at $95,864 and $88,782 at December 31, 2013 and 2012, respectively. Additionally, certain Plan investments are shares of mutual funds and units in the Fidelity Advisor Stable Value Fund managed by Fidelity Management Trust Company who is the Trustee as defined by the Plan, and therefore, these transactions qualify as party-in-interest transactions. Fees incurred by the Plan for the investment management services are included in net appreciation in fair value of the investments, as they are paid through revenue sharing, rather than a direct payment.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w:t>
      </w:r>
      <w:r>
        <w:rPr>
          <w:rFonts w:ascii="Arial" w:cs="Arial" w:eastAsia="Arial" w:hAnsi="Arial"/>
          <w:sz w:val="18"/>
          <w:szCs w:val="18"/>
          <w:u w:val="single" w:color="auto"/>
          <w:color w:val="auto"/>
        </w:rPr>
        <w:t>Risks and Uncertainties</w:t>
      </w:r>
    </w:p>
    <w:p>
      <w:pPr>
        <w:spacing w:after="0" w:line="171"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 </w:t>
      </w:r>
      <w:r>
        <w:rPr>
          <w:rFonts w:ascii="Arial" w:cs="Arial" w:eastAsia="Arial" w:hAnsi="Arial"/>
          <w:sz w:val="18"/>
          <w:szCs w:val="18"/>
          <w:u w:val="single" w:color="auto"/>
          <w:color w:val="auto"/>
        </w:rPr>
        <w:t>Income Tax Status</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2008 stating that the form of the Plan is qualified under Section 401 of the Code and, therefore, the related trust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2013, there are no uncertain positions taken or expected to be taken that would require recognition of a liability (or asset) or disclosure in the financial statements. The Plan is subject to routine audits by taxing jurisdiction; however, there are currently no audits for any tax periods in progress. The Plan Administrator believes it is no longer subject to income tax examinations for years prior to 2010.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 </w:t>
      </w:r>
      <w:r>
        <w:rPr>
          <w:rFonts w:ascii="Arial" w:cs="Arial" w:eastAsia="Arial" w:hAnsi="Arial"/>
          <w:sz w:val="18"/>
          <w:szCs w:val="18"/>
          <w:u w:val="single" w:color="auto"/>
          <w:color w:val="auto"/>
        </w:rPr>
        <w:t>Delinquent Participant Contributions</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Defined contribution plans are required to remit employee contributions to the Plan as soon as they can be reasonably segregated from the employer’s general assets. While the Company remitted all employee contributions to the Plan, contributions of $50 were not remitted within the required time period for the year ended December 31, 2012. The Company has remitted these delinquent employee contributions, including any lost earnings as a result subsequent to December 31,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11 – </w:t>
      </w:r>
      <w:r>
        <w:rPr>
          <w:rFonts w:ascii="Arial" w:cs="Arial" w:eastAsia="Arial" w:hAnsi="Arial"/>
          <w:sz w:val="18"/>
          <w:szCs w:val="18"/>
          <w:u w:val="single" w:color="auto"/>
          <w:color w:val="auto"/>
        </w:rPr>
        <w:t>Reconciliation of Financial Statement to Form 5500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as of December 31, 2013 and 2012:</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120" w:type="dxa"/>
            <w:vAlign w:val="bottom"/>
            <w:gridSpan w:val="2"/>
          </w:tcPr>
          <w:p>
            <w:pPr>
              <w:jc w:val="right"/>
              <w:ind w:right="232"/>
              <w:spacing w:after="0"/>
              <w:rPr>
                <w:sz w:val="20"/>
                <w:szCs w:val="20"/>
                <w:color w:val="auto"/>
              </w:rPr>
            </w:pPr>
            <w:r>
              <w:rPr>
                <w:rFonts w:ascii="Arial" w:cs="Arial" w:eastAsia="Arial" w:hAnsi="Arial"/>
                <w:sz w:val="14"/>
                <w:szCs w:val="14"/>
                <w:color w:val="auto"/>
              </w:rPr>
              <w:t>2013</w:t>
            </w:r>
          </w:p>
        </w:tc>
        <w:tc>
          <w:tcPr>
            <w:tcW w:w="1320" w:type="dxa"/>
            <w:vAlign w:val="bottom"/>
            <w:gridSpan w:val="2"/>
          </w:tcPr>
          <w:p>
            <w:pPr>
              <w:jc w:val="right"/>
              <w:ind w:right="23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$13,181,495</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$ 11,867,217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3"/>
              </w:rPr>
              <w:t>Adjustment from fair value to contract value for fully benefit-responsive investment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contract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76,094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131,234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13,257,589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11,998,451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reconciliation of net appreciation in fair value of investments, dividend income, and interest on notes receivable from participants for the year ended December 31, 2013 per the financial statements to Form 5500:</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5"/>
              </w:rPr>
              <w:t>Net appreciation in fair value of investments, dividend income, and interest income on</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receivable from participants per the financial statements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$1,415,887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580" w:type="dxa"/>
            <w:vAlign w:val="bottom"/>
            <w:gridSpan w:val="2"/>
          </w:tcPr>
          <w:p>
            <w:pPr>
              <w:spacing w:after="0"/>
              <w:rPr>
                <w:sz w:val="20"/>
                <w:szCs w:val="20"/>
                <w:color w:val="auto"/>
              </w:rPr>
            </w:pPr>
            <w:r>
              <w:rPr>
                <w:rFonts w:ascii="Arial" w:cs="Arial" w:eastAsia="Arial" w:hAnsi="Arial"/>
                <w:sz w:val="18"/>
                <w:szCs w:val="18"/>
                <w:color w:val="auto"/>
                <w:w w:val="94"/>
              </w:rPr>
              <w:t>Add: Adjustment from fair value to contract value for fully benefit-responsive investment</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contracts in 2013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Adjustment from fair value to contract value for fully benefit-responsive investment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in 2012</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(131,234)</w:t>
            </w:r>
          </w:p>
        </w:tc>
        <w:tc>
          <w:tcPr>
            <w:tcW w:w="0" w:type="dxa"/>
            <w:vAlign w:val="bottom"/>
          </w:tcPr>
          <w:p>
            <w:pPr>
              <w:spacing w:after="0"/>
              <w:rPr>
                <w:sz w:val="1"/>
                <w:szCs w:val="1"/>
                <w:color w:val="auto"/>
              </w:rPr>
            </w:pPr>
          </w:p>
        </w:tc>
      </w:tr>
      <w:tr>
        <w:trPr>
          <w:trHeight w:val="323"/>
        </w:trPr>
        <w:tc>
          <w:tcPr>
            <w:tcW w:w="6580" w:type="dxa"/>
            <w:vAlign w:val="bottom"/>
            <w:gridSpan w:val="2"/>
          </w:tcPr>
          <w:p>
            <w:pPr>
              <w:spacing w:after="0"/>
              <w:rPr>
                <w:sz w:val="20"/>
                <w:szCs w:val="20"/>
                <w:color w:val="auto"/>
              </w:rPr>
            </w:pPr>
            <w:r>
              <w:rPr>
                <w:rFonts w:ascii="Arial" w:cs="Arial" w:eastAsia="Arial" w:hAnsi="Arial"/>
                <w:sz w:val="18"/>
                <w:szCs w:val="18"/>
                <w:color w:val="auto"/>
                <w:w w:val="96"/>
              </w:rPr>
              <w:t>Net appreciation in fair value of investments, dividend income, and interest income on</w:t>
            </w:r>
          </w:p>
        </w:tc>
        <w:tc>
          <w:tcPr>
            <w:tcW w:w="2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notes receivable from participants per Form 5500</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1,360,747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jc w:val="right"/>
              <w:ind w:right="2532"/>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Destination XL Group, Inc. 401(k) Hourly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SUPPLEMENTAL SCHEDULES</w:t>
      </w:r>
    </w:p>
    <w:p>
      <w:pPr>
        <w:spacing w:after="0" w:line="1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4i—Schedule of Assets (Held at End of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Identity of Issue,</w:t>
            </w:r>
          </w:p>
        </w:tc>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Borrower, Lessor,</w:t>
            </w:r>
          </w:p>
        </w:tc>
        <w:tc>
          <w:tcPr>
            <w:tcW w:w="7940" w:type="dxa"/>
            <w:vAlign w:val="bottom"/>
            <w:gridSpan w:val="2"/>
          </w:tcPr>
          <w:p>
            <w:pPr>
              <w:ind w:left="2480"/>
              <w:spacing w:after="0" w:line="149" w:lineRule="exact"/>
              <w:rPr>
                <w:sz w:val="20"/>
                <w:szCs w:val="20"/>
                <w:color w:val="auto"/>
              </w:rPr>
            </w:pPr>
            <w:r>
              <w:rPr>
                <w:rFonts w:ascii="Arial" w:cs="Arial" w:eastAsia="Arial" w:hAnsi="Arial"/>
                <w:sz w:val="14"/>
                <w:szCs w:val="14"/>
                <w:b w:val="1"/>
                <w:bCs w:val="1"/>
                <w:color w:val="auto"/>
              </w:rPr>
              <w:t>Description of investment including maturity date,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or Similar Party</w:t>
            </w:r>
          </w:p>
        </w:tc>
        <w:tc>
          <w:tcPr>
            <w:tcW w:w="7940" w:type="dxa"/>
            <w:vAlign w:val="bottom"/>
            <w:gridSpan w:val="2"/>
          </w:tcPr>
          <w:p>
            <w:pPr>
              <w:ind w:left="2540"/>
              <w:spacing w:after="0"/>
              <w:rPr>
                <w:sz w:val="20"/>
                <w:szCs w:val="20"/>
                <w:color w:val="auto"/>
              </w:rPr>
            </w:pPr>
            <w:r>
              <w:rPr>
                <w:rFonts w:ascii="Arial" w:cs="Arial" w:eastAsia="Arial" w:hAnsi="Arial"/>
                <w:sz w:val="14"/>
                <w:szCs w:val="14"/>
                <w:b w:val="1"/>
                <w:bCs w:val="1"/>
                <w:color w:val="auto"/>
              </w:rPr>
              <w:t>rate of interest, collateral, par, or maturity value</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Shares/Units</w:t>
            </w:r>
          </w:p>
        </w:tc>
        <w:tc>
          <w:tcPr>
            <w:tcW w:w="2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Current Value</w:t>
            </w:r>
          </w:p>
        </w:tc>
      </w:tr>
      <w:tr>
        <w:trPr>
          <w:trHeight w:val="210"/>
        </w:trPr>
        <w:tc>
          <w:tcPr>
            <w:tcW w:w="9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Commingled funds held through Fidelity Investments:</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Stable Value Fund (1)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3,921,660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3,997,754</w:t>
            </w:r>
          </w:p>
        </w:tc>
        <w:tc>
          <w:tcPr>
            <w:tcW w:w="100" w:type="dxa"/>
            <w:vAlign w:val="bottom"/>
          </w:tcPr>
          <w:p>
            <w:pPr>
              <w:spacing w:after="0"/>
              <w:rPr>
                <w:sz w:val="18"/>
                <w:szCs w:val="18"/>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 held through Fidelity Investments: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Cash – interest bearing</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Leveraged Company Stock</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282,960</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2010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62,018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790,105</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Freedom 2020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360,532</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2030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5,191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72,571</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Freedom 2040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325,991</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 Fidelity Advisor Freedom Income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Fidelity Advisor New Insights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693,143</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2005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82,876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996,173</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Freedom 2015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556,932</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2025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23,483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309,034</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Freedom 2035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153,105</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10,821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121,090</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*Fidelity Advisor Freedom 2050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199,426</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*Fidelity Advisor Freedom 2055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78,549</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Templeton Global Bond Fund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83,591</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Columbia Acorn International</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10,654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496,809</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Pioneer Equity Income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360,393</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Prudential Jennison Mid Cap Growth Fund</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203,353</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Allianz NFJ International Value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101,362</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American Century Investment Mid Cap Value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60,070</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PIMCO Total Return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564,307</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Pioneer Oak Ridge Small Cap Growth Fund</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107,925</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JP Morgan High Yield Fund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134,349</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JP Morgan Equity Index</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33,156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1,311,319</w:t>
            </w:r>
          </w:p>
        </w:tc>
        <w:tc>
          <w:tcPr>
            <w:tcW w:w="1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Perkins Small Cap Value Fund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w:t>
            </w:r>
          </w:p>
        </w:tc>
        <w:tc>
          <w:tcPr>
            <w:tcW w:w="1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Blackrock Inflation Protected Bond Fund</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8"/>
                <w:szCs w:val="18"/>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held through Fidelity Investments: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300" w:type="dxa"/>
            <w:vAlign w:val="bottom"/>
          </w:tcPr>
          <w:p>
            <w:pPr>
              <w:spacing w:after="0"/>
              <w:rPr>
                <w:sz w:val="19"/>
                <w:szCs w:val="19"/>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 Destination XL Group, Inc.</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14,658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95,864</w:t>
            </w:r>
          </w:p>
        </w:tc>
        <w:tc>
          <w:tcPr>
            <w:tcW w:w="100" w:type="dxa"/>
            <w:vAlign w:val="bottom"/>
          </w:tcPr>
          <w:p>
            <w:pPr>
              <w:spacing w:after="0"/>
              <w:rPr>
                <w:sz w:val="19"/>
                <w:szCs w:val="19"/>
                <w:color w:val="auto"/>
              </w:rPr>
            </w:pPr>
          </w:p>
        </w:tc>
      </w:tr>
      <w:tr>
        <w:trPr>
          <w:trHeight w:val="216"/>
        </w:trPr>
        <w:tc>
          <w:tcPr>
            <w:tcW w:w="13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12,516,752</w:t>
            </w:r>
          </w:p>
        </w:tc>
        <w:tc>
          <w:tcPr>
            <w:tcW w:w="100" w:type="dxa"/>
            <w:vAlign w:val="bottom"/>
            <w:shd w:val="clear" w:color="auto" w:fill="CCEEFF"/>
          </w:tcPr>
          <w:p>
            <w:pPr>
              <w:spacing w:after="0"/>
              <w:rPr>
                <w:sz w:val="18"/>
                <w:szCs w:val="18"/>
                <w:color w:val="auto"/>
              </w:rPr>
            </w:pPr>
          </w:p>
        </w:tc>
      </w:tr>
      <w:tr>
        <w:trPr>
          <w:trHeight w:val="223"/>
        </w:trPr>
        <w:tc>
          <w:tcPr>
            <w:tcW w:w="9240" w:type="dxa"/>
            <w:vAlign w:val="bottom"/>
            <w:gridSpan w:val="3"/>
          </w:tcPr>
          <w:p>
            <w:pPr>
              <w:spacing w:after="0"/>
              <w:rPr>
                <w:sz w:val="20"/>
                <w:szCs w:val="20"/>
                <w:color w:val="auto"/>
              </w:rPr>
            </w:pPr>
            <w:r>
              <w:rPr>
                <w:rFonts w:ascii="Arial" w:cs="Arial" w:eastAsia="Arial" w:hAnsi="Arial"/>
                <w:sz w:val="18"/>
                <w:szCs w:val="18"/>
                <w:color w:val="auto"/>
              </w:rPr>
              <w:t>* Notes receivable from participants: 4.75%</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380,108</w:t>
            </w:r>
          </w:p>
        </w:tc>
        <w:tc>
          <w:tcPr>
            <w:tcW w:w="100" w:type="dxa"/>
            <w:vAlign w:val="bottom"/>
          </w:tcPr>
          <w:p>
            <w:pPr>
              <w:spacing w:after="0"/>
              <w:rPr>
                <w:sz w:val="19"/>
                <w:szCs w:val="19"/>
                <w:color w:val="auto"/>
              </w:rPr>
            </w:pPr>
          </w:p>
        </w:tc>
      </w:tr>
      <w:tr>
        <w:trPr>
          <w:trHeight w:val="216"/>
        </w:trPr>
        <w:tc>
          <w:tcPr>
            <w:tcW w:w="13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12,896,860</w:t>
            </w:r>
          </w:p>
        </w:tc>
        <w:tc>
          <w:tcPr>
            <w:tcW w:w="100" w:type="dxa"/>
            <w:vAlign w:val="bottom"/>
            <w:shd w:val="clear" w:color="auto" w:fill="CCEEFF"/>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5620" w:right="2440" w:hanging="5612"/>
        <w:spacing w:after="0" w:line="433" w:lineRule="auto"/>
        <w:tabs>
          <w:tab w:leader="none" w:pos="44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$11,608 of non participant-directed, unallocated forfeitures for which historical cost approximates current value. 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40"/>
        <w:spacing w:after="0"/>
        <w:rPr>
          <w:sz w:val="20"/>
          <w:szCs w:val="20"/>
          <w:color w:val="auto"/>
        </w:rPr>
      </w:pPr>
      <w:r>
        <w:rPr>
          <w:rFonts w:ascii="Arial" w:cs="Arial" w:eastAsia="Arial" w:hAnsi="Arial"/>
          <w:sz w:val="14"/>
          <w:szCs w:val="14"/>
          <w:color w:val="auto"/>
        </w:rPr>
        <w:t>Participant</w:t>
      </w:r>
    </w:p>
    <w:p>
      <w:pPr>
        <w:jc w:val="center"/>
        <w:ind w:right="1040"/>
        <w:spacing w:after="0"/>
        <w:rPr>
          <w:sz w:val="20"/>
          <w:szCs w:val="20"/>
          <w:color w:val="auto"/>
        </w:rPr>
      </w:pPr>
      <w:r>
        <w:rPr>
          <w:rFonts w:ascii="Arial" w:cs="Arial" w:eastAsia="Arial" w:hAnsi="Arial"/>
          <w:sz w:val="12"/>
          <w:szCs w:val="12"/>
          <w:color w:val="auto"/>
        </w:rPr>
        <w:t>Contributions</w:t>
      </w:r>
    </w:p>
    <w:p>
      <w:pPr>
        <w:jc w:val="center"/>
        <w:ind w:right="1040"/>
        <w:spacing w:after="0" w:line="237" w:lineRule="auto"/>
        <w:rPr>
          <w:sz w:val="20"/>
          <w:szCs w:val="20"/>
          <w:color w:val="auto"/>
        </w:rPr>
      </w:pPr>
      <w:r>
        <w:rPr>
          <w:rFonts w:ascii="Arial" w:cs="Arial" w:eastAsia="Arial" w:hAnsi="Arial"/>
          <w:sz w:val="14"/>
          <w:szCs w:val="14"/>
          <w:color w:val="auto"/>
        </w:rPr>
        <w:t>Transferred</w:t>
      </w:r>
    </w:p>
    <w:p>
      <w:pPr>
        <w:jc w:val="center"/>
        <w:ind w:right="1040"/>
        <w:spacing w:after="0" w:line="221" w:lineRule="auto"/>
        <w:rPr>
          <w:sz w:val="20"/>
          <w:szCs w:val="20"/>
          <w:color w:val="auto"/>
        </w:rPr>
      </w:pPr>
      <w:r>
        <w:rPr>
          <w:rFonts w:ascii="Arial" w:cs="Arial" w:eastAsia="Arial" w:hAnsi="Arial"/>
          <w:sz w:val="14"/>
          <w:szCs w:val="14"/>
          <w:color w:val="auto"/>
        </w:rPr>
        <w:t>Late to the</w:t>
      </w:r>
    </w:p>
    <w:p>
      <w:pPr>
        <w:jc w:val="center"/>
        <w:ind w:right="1040"/>
        <w:spacing w:after="0"/>
        <w:rPr>
          <w:sz w:val="20"/>
          <w:szCs w:val="20"/>
          <w:color w:val="auto"/>
        </w:rPr>
      </w:pPr>
      <w:r>
        <w:rPr>
          <w:rFonts w:ascii="Arial" w:cs="Arial" w:eastAsia="Arial" w:hAnsi="Arial"/>
          <w:sz w:val="14"/>
          <w:szCs w:val="14"/>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4286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jc w:val="center"/>
        <w:ind w:right="1040"/>
        <w:spacing w:after="0"/>
        <w:rPr>
          <w:sz w:val="20"/>
          <w:szCs w:val="20"/>
          <w:color w:val="auto"/>
        </w:rPr>
      </w:pPr>
      <w:r>
        <w:rPr>
          <w:rFonts w:ascii="Arial" w:cs="Arial" w:eastAsia="Arial" w:hAnsi="Arial"/>
          <w:sz w:val="12"/>
          <w:szCs w:val="12"/>
          <w:color w:val="auto"/>
        </w:rPr>
        <w:t>Check here if</w:t>
      </w:r>
    </w:p>
    <w:p>
      <w:pPr>
        <w:spacing w:after="0" w:line="10" w:lineRule="exact"/>
        <w:rPr>
          <w:sz w:val="20"/>
          <w:szCs w:val="20"/>
          <w:color w:val="auto"/>
        </w:rPr>
      </w:pPr>
    </w:p>
    <w:p>
      <w:pPr>
        <w:jc w:val="center"/>
        <w:ind w:right="1040"/>
        <w:spacing w:after="0"/>
        <w:rPr>
          <w:sz w:val="20"/>
          <w:szCs w:val="20"/>
          <w:color w:val="auto"/>
        </w:rPr>
      </w:pPr>
      <w:r>
        <w:rPr>
          <w:rFonts w:ascii="Arial" w:cs="Arial" w:eastAsia="Arial" w:hAnsi="Arial"/>
          <w:sz w:val="14"/>
          <w:szCs w:val="14"/>
          <w:color w:val="auto"/>
        </w:rPr>
        <w:t>Late</w:t>
      </w:r>
    </w:p>
    <w:p>
      <w:pPr>
        <w:jc w:val="center"/>
        <w:ind w:right="1040"/>
        <w:spacing w:after="0" w:line="221" w:lineRule="auto"/>
        <w:rPr>
          <w:sz w:val="20"/>
          <w:szCs w:val="20"/>
          <w:color w:val="auto"/>
        </w:rPr>
      </w:pPr>
      <w:r>
        <w:rPr>
          <w:rFonts w:ascii="Arial" w:cs="Arial" w:eastAsia="Arial" w:hAnsi="Arial"/>
          <w:sz w:val="14"/>
          <w:szCs w:val="14"/>
          <w:color w:val="auto"/>
        </w:rPr>
        <w:t>Participant</w:t>
      </w:r>
    </w:p>
    <w:p>
      <w:pPr>
        <w:jc w:val="center"/>
        <w:ind w:right="1040"/>
        <w:spacing w:after="0" w:line="221" w:lineRule="auto"/>
        <w:rPr>
          <w:sz w:val="20"/>
          <w:szCs w:val="20"/>
          <w:color w:val="auto"/>
        </w:rPr>
      </w:pPr>
      <w:r>
        <w:rPr>
          <w:rFonts w:ascii="Arial" w:cs="Arial" w:eastAsia="Arial" w:hAnsi="Arial"/>
          <w:sz w:val="14"/>
          <w:szCs w:val="14"/>
          <w:color w:val="auto"/>
        </w:rPr>
        <w:t>Loan</w:t>
      </w:r>
    </w:p>
    <w:p>
      <w:pPr>
        <w:ind w:left="60"/>
        <w:spacing w:after="0" w:line="222" w:lineRule="auto"/>
        <w:rPr>
          <w:sz w:val="20"/>
          <w:szCs w:val="20"/>
          <w:color w:val="auto"/>
        </w:rPr>
      </w:pPr>
      <w:r>
        <w:rPr>
          <w:rFonts w:ascii="Arial" w:cs="Arial" w:eastAsia="Arial" w:hAnsi="Arial"/>
          <w:sz w:val="14"/>
          <w:szCs w:val="14"/>
          <w:color w:val="auto"/>
        </w:rPr>
        <w:t>Repayments</w:t>
      </w:r>
    </w:p>
    <w:p>
      <w:pPr>
        <w:ind w:left="40"/>
        <w:spacing w:after="0"/>
        <w:rPr>
          <w:sz w:val="20"/>
          <w:szCs w:val="20"/>
          <w:color w:val="auto"/>
        </w:rPr>
      </w:pPr>
      <w:r>
        <w:rPr>
          <w:rFonts w:ascii="Arial" w:cs="Arial" w:eastAsia="Arial" w:hAnsi="Arial"/>
          <w:sz w:val="14"/>
          <w:szCs w:val="14"/>
          <w:color w:val="auto"/>
        </w:rPr>
        <w:t>are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972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center"/>
        <w:ind w:left="620" w:right="2540"/>
        <w:spacing w:after="0" w:line="256" w:lineRule="auto"/>
        <w:rPr>
          <w:sz w:val="20"/>
          <w:szCs w:val="20"/>
          <w:color w:val="auto"/>
        </w:rPr>
      </w:pPr>
      <w:r>
        <w:rPr>
          <w:rFonts w:ascii="Arial" w:cs="Arial" w:eastAsia="Arial" w:hAnsi="Arial"/>
          <w:sz w:val="18"/>
          <w:szCs w:val="18"/>
          <w:color w:val="auto"/>
        </w:rPr>
        <w:t>Destination XL Retail Group, Inc. 401(k) Hourly Savings Plan EIN: 04-2623104/Plan Number: 005 Schedule H, Line 4a—Schedule of Delinquent Participant Contributions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-1095375</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88"/>
              </w:rPr>
              <w:t>Total that Constitute Non-Exempt Prohibited</w:t>
            </w:r>
          </w:p>
        </w:tc>
        <w:tc>
          <w:tcPr>
            <w:tcW w:w="1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4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Transactions</w:t>
            </w:r>
          </w:p>
        </w:tc>
        <w:tc>
          <w:tcPr>
            <w:tcW w:w="1240" w:type="dxa"/>
            <w:vAlign w:val="bottom"/>
            <w:tcBorders>
              <w:bottom w:val="single" w:sz="8" w:color="auto"/>
            </w:tcBorders>
          </w:tcPr>
          <w:p>
            <w:pPr>
              <w:spacing w:after="0"/>
              <w:rPr>
                <w:sz w:val="13"/>
                <w:szCs w:val="13"/>
                <w:color w:val="auto"/>
              </w:rPr>
            </w:pPr>
          </w:p>
        </w:tc>
        <w:tc>
          <w:tcPr>
            <w:tcW w:w="3000" w:type="dxa"/>
            <w:vAlign w:val="bottom"/>
            <w:vMerge w:val="restart"/>
          </w:tcPr>
          <w:p>
            <w:pPr>
              <w:jc w:val="center"/>
              <w:ind w:left="1692"/>
              <w:spacing w:after="0"/>
              <w:rPr>
                <w:sz w:val="20"/>
                <w:szCs w:val="20"/>
                <w:color w:val="auto"/>
              </w:rPr>
            </w:pPr>
            <w:r>
              <w:rPr>
                <w:rFonts w:ascii="Arial" w:cs="Arial" w:eastAsia="Arial" w:hAnsi="Arial"/>
                <w:sz w:val="14"/>
                <w:szCs w:val="14"/>
                <w:color w:val="auto"/>
                <w:w w:val="89"/>
              </w:rPr>
              <w:t>Total Fully Corrected</w:t>
            </w:r>
          </w:p>
        </w:tc>
        <w:tc>
          <w:tcPr>
            <w:tcW w:w="0" w:type="dxa"/>
            <w:vAlign w:val="bottom"/>
          </w:tcPr>
          <w:p>
            <w:pPr>
              <w:spacing w:after="0"/>
              <w:rPr>
                <w:sz w:val="1"/>
                <w:szCs w:val="1"/>
                <w:color w:val="auto"/>
              </w:rPr>
            </w:pPr>
          </w:p>
        </w:tc>
      </w:tr>
      <w:tr>
        <w:trPr>
          <w:trHeight w:val="131"/>
        </w:trPr>
        <w:tc>
          <w:tcPr>
            <w:tcW w:w="12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0" w:type="dxa"/>
            <w:vAlign w:val="bottom"/>
          </w:tcPr>
          <w:p>
            <w:pPr>
              <w:jc w:val="center"/>
              <w:ind w:left="1712"/>
              <w:spacing w:after="0" w:line="149" w:lineRule="exact"/>
              <w:rPr>
                <w:sz w:val="20"/>
                <w:szCs w:val="20"/>
                <w:color w:val="auto"/>
              </w:rPr>
            </w:pPr>
            <w:r>
              <w:rPr>
                <w:rFonts w:ascii="Arial" w:cs="Arial" w:eastAsia="Arial" w:hAnsi="Arial"/>
                <w:sz w:val="14"/>
                <w:szCs w:val="14"/>
                <w:color w:val="auto"/>
                <w:w w:val="88"/>
              </w:rPr>
              <w:t>Under Voluntary</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40" w:type="dxa"/>
            <w:vAlign w:val="bottom"/>
          </w:tcPr>
          <w:p>
            <w:pPr>
              <w:jc w:val="center"/>
              <w:ind w:left="432"/>
              <w:spacing w:after="0" w:line="149" w:lineRule="exact"/>
              <w:rPr>
                <w:sz w:val="20"/>
                <w:szCs w:val="20"/>
                <w:color w:val="auto"/>
              </w:rPr>
            </w:pPr>
            <w:r>
              <w:rPr>
                <w:rFonts w:ascii="Arial" w:cs="Arial" w:eastAsia="Arial" w:hAnsi="Arial"/>
                <w:sz w:val="14"/>
                <w:szCs w:val="14"/>
                <w:color w:val="auto"/>
                <w:w w:val="89"/>
              </w:rPr>
              <w:t>Contributions</w:t>
            </w:r>
          </w:p>
        </w:tc>
        <w:tc>
          <w:tcPr>
            <w:tcW w:w="3000" w:type="dxa"/>
            <w:vAlign w:val="bottom"/>
          </w:tcPr>
          <w:p>
            <w:pPr>
              <w:jc w:val="center"/>
              <w:ind w:left="1712"/>
              <w:spacing w:after="0" w:line="149" w:lineRule="exact"/>
              <w:rPr>
                <w:sz w:val="20"/>
                <w:szCs w:val="20"/>
                <w:color w:val="auto"/>
              </w:rPr>
            </w:pPr>
            <w:r>
              <w:rPr>
                <w:rFonts w:ascii="Arial" w:cs="Arial" w:eastAsia="Arial" w:hAnsi="Arial"/>
                <w:sz w:val="14"/>
                <w:szCs w:val="14"/>
                <w:color w:val="auto"/>
                <w:w w:val="90"/>
              </w:rPr>
              <w:t>Fiduciary Correction</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color w:val="auto"/>
                <w:w w:val="89"/>
              </w:rPr>
              <w:t>Contributions</w:t>
            </w:r>
          </w:p>
        </w:tc>
        <w:tc>
          <w:tcPr>
            <w:tcW w:w="1240" w:type="dxa"/>
            <w:vAlign w:val="bottom"/>
          </w:tcPr>
          <w:p>
            <w:pPr>
              <w:jc w:val="center"/>
              <w:ind w:left="412"/>
              <w:spacing w:after="0" w:line="149" w:lineRule="exact"/>
              <w:rPr>
                <w:sz w:val="20"/>
                <w:szCs w:val="20"/>
                <w:color w:val="auto"/>
              </w:rPr>
            </w:pPr>
            <w:r>
              <w:rPr>
                <w:rFonts w:ascii="Arial" w:cs="Arial" w:eastAsia="Arial" w:hAnsi="Arial"/>
                <w:sz w:val="14"/>
                <w:szCs w:val="14"/>
                <w:color w:val="auto"/>
                <w:w w:val="85"/>
              </w:rPr>
              <w:t>Pending</w:t>
            </w:r>
          </w:p>
        </w:tc>
        <w:tc>
          <w:tcPr>
            <w:tcW w:w="3000" w:type="dxa"/>
            <w:vAlign w:val="bottom"/>
          </w:tcPr>
          <w:p>
            <w:pPr>
              <w:jc w:val="center"/>
              <w:ind w:left="1692"/>
              <w:spacing w:after="0" w:line="149" w:lineRule="exact"/>
              <w:rPr>
                <w:sz w:val="20"/>
                <w:szCs w:val="20"/>
                <w:color w:val="auto"/>
              </w:rPr>
            </w:pPr>
            <w:r>
              <w:rPr>
                <w:rFonts w:ascii="Arial" w:cs="Arial" w:eastAsia="Arial" w:hAnsi="Arial"/>
                <w:sz w:val="14"/>
                <w:szCs w:val="14"/>
                <w:color w:val="auto"/>
                <w:w w:val="88"/>
              </w:rPr>
              <w:t>Program (VFCP) and</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Contributions</w:t>
            </w:r>
          </w:p>
        </w:tc>
        <w:tc>
          <w:tcPr>
            <w:tcW w:w="3380" w:type="dxa"/>
            <w:vAlign w:val="bottom"/>
          </w:tcPr>
          <w:p>
            <w:pPr>
              <w:jc w:val="center"/>
              <w:spacing w:after="0" w:line="149" w:lineRule="exact"/>
              <w:rPr>
                <w:sz w:val="20"/>
                <w:szCs w:val="20"/>
                <w:color w:val="auto"/>
              </w:rPr>
            </w:pPr>
            <w:r>
              <w:rPr>
                <w:rFonts w:ascii="Arial" w:cs="Arial" w:eastAsia="Arial" w:hAnsi="Arial"/>
                <w:sz w:val="14"/>
                <w:szCs w:val="14"/>
                <w:color w:val="auto"/>
                <w:w w:val="84"/>
              </w:rPr>
              <w:t>Corrected</w:t>
            </w:r>
          </w:p>
        </w:tc>
        <w:tc>
          <w:tcPr>
            <w:tcW w:w="1240" w:type="dxa"/>
            <w:vAlign w:val="bottom"/>
          </w:tcPr>
          <w:p>
            <w:pPr>
              <w:jc w:val="center"/>
              <w:ind w:left="412"/>
              <w:spacing w:after="0" w:line="149" w:lineRule="exact"/>
              <w:rPr>
                <w:sz w:val="20"/>
                <w:szCs w:val="20"/>
                <w:color w:val="auto"/>
              </w:rPr>
            </w:pPr>
            <w:r>
              <w:rPr>
                <w:rFonts w:ascii="Arial" w:cs="Arial" w:eastAsia="Arial" w:hAnsi="Arial"/>
                <w:sz w:val="14"/>
                <w:szCs w:val="14"/>
                <w:color w:val="auto"/>
                <w:w w:val="90"/>
              </w:rPr>
              <w:t>Correction in</w:t>
            </w:r>
          </w:p>
        </w:tc>
        <w:tc>
          <w:tcPr>
            <w:tcW w:w="3000" w:type="dxa"/>
            <w:vAlign w:val="bottom"/>
          </w:tcPr>
          <w:p>
            <w:pPr>
              <w:jc w:val="center"/>
              <w:ind w:left="1712"/>
              <w:spacing w:after="0" w:line="149" w:lineRule="exact"/>
              <w:rPr>
                <w:sz w:val="20"/>
                <w:szCs w:val="20"/>
                <w:color w:val="auto"/>
              </w:rPr>
            </w:pPr>
            <w:r>
              <w:rPr>
                <w:rFonts w:ascii="Arial" w:cs="Arial" w:eastAsia="Arial" w:hAnsi="Arial"/>
                <w:sz w:val="14"/>
                <w:szCs w:val="14"/>
                <w:color w:val="auto"/>
                <w:w w:val="88"/>
              </w:rPr>
              <w:t>prohibited Transaction</w:t>
            </w:r>
          </w:p>
        </w:tc>
        <w:tc>
          <w:tcPr>
            <w:tcW w:w="0" w:type="dxa"/>
            <w:vAlign w:val="bottom"/>
          </w:tcPr>
          <w:p>
            <w:pPr>
              <w:spacing w:after="0"/>
              <w:rPr>
                <w:sz w:val="1"/>
                <w:szCs w:val="1"/>
                <w:color w:val="auto"/>
              </w:rPr>
            </w:pPr>
          </w:p>
        </w:tc>
      </w:tr>
      <w:tr>
        <w:trPr>
          <w:trHeight w:val="172"/>
        </w:trPr>
        <w:tc>
          <w:tcPr>
            <w:tcW w:w="1240" w:type="dxa"/>
            <w:vAlign w:val="bottom"/>
          </w:tcPr>
          <w:p>
            <w:pPr>
              <w:spacing w:after="0"/>
              <w:rPr>
                <w:sz w:val="20"/>
                <w:szCs w:val="20"/>
                <w:color w:val="auto"/>
              </w:rPr>
            </w:pPr>
            <w:r>
              <w:rPr>
                <w:rFonts w:ascii="Arial" w:cs="Arial" w:eastAsia="Arial" w:hAnsi="Arial"/>
                <w:sz w:val="14"/>
                <w:szCs w:val="14"/>
                <w:u w:val="single" w:color="auto"/>
                <w:color w:val="auto"/>
              </w:rPr>
              <w:t>Not Corrected</w:t>
            </w:r>
          </w:p>
        </w:tc>
        <w:tc>
          <w:tcPr>
            <w:tcW w:w="3380" w:type="dxa"/>
            <w:vAlign w:val="bottom"/>
          </w:tcPr>
          <w:p>
            <w:pPr>
              <w:jc w:val="center"/>
              <w:spacing w:after="0"/>
              <w:rPr>
                <w:sz w:val="20"/>
                <w:szCs w:val="20"/>
                <w:color w:val="auto"/>
              </w:rPr>
            </w:pPr>
            <w:r>
              <w:rPr>
                <w:rFonts w:ascii="Arial" w:cs="Arial" w:eastAsia="Arial" w:hAnsi="Arial"/>
                <w:sz w:val="14"/>
                <w:szCs w:val="14"/>
                <w:u w:val="single" w:color="auto"/>
                <w:color w:val="auto"/>
                <w:w w:val="89"/>
              </w:rPr>
              <w:t>Outside VFCP</w:t>
            </w:r>
          </w:p>
        </w:tc>
        <w:tc>
          <w:tcPr>
            <w:tcW w:w="1240" w:type="dxa"/>
            <w:vAlign w:val="bottom"/>
          </w:tcPr>
          <w:p>
            <w:pPr>
              <w:jc w:val="center"/>
              <w:ind w:left="432"/>
              <w:spacing w:after="0"/>
              <w:rPr>
                <w:sz w:val="20"/>
                <w:szCs w:val="20"/>
                <w:color w:val="auto"/>
              </w:rPr>
            </w:pPr>
            <w:r>
              <w:rPr>
                <w:rFonts w:ascii="Arial" w:cs="Arial" w:eastAsia="Arial" w:hAnsi="Arial"/>
                <w:sz w:val="14"/>
                <w:szCs w:val="14"/>
                <w:color w:val="auto"/>
                <w:w w:val="90"/>
              </w:rPr>
              <w:t>VFCP</w:t>
            </w:r>
          </w:p>
        </w:tc>
        <w:tc>
          <w:tcPr>
            <w:tcW w:w="3000" w:type="dxa"/>
            <w:vAlign w:val="bottom"/>
          </w:tcPr>
          <w:p>
            <w:pPr>
              <w:jc w:val="center"/>
              <w:ind w:left="1692"/>
              <w:spacing w:after="0"/>
              <w:rPr>
                <w:sz w:val="20"/>
                <w:szCs w:val="20"/>
                <w:color w:val="auto"/>
              </w:rPr>
            </w:pPr>
            <w:r>
              <w:rPr>
                <w:rFonts w:ascii="Arial" w:cs="Arial" w:eastAsia="Arial" w:hAnsi="Arial"/>
                <w:sz w:val="14"/>
                <w:szCs w:val="14"/>
                <w:color w:val="auto"/>
                <w:w w:val="88"/>
              </w:rPr>
              <w:t>Exemption 2002-51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-7620</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8"/>
          <w:szCs w:val="18"/>
          <w:color w:val="auto"/>
        </w:rPr>
        <w:t>$50</w:t>
      </w:r>
    </w:p>
    <w:p>
      <w:pPr>
        <w:spacing w:after="0" w:line="15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1840" w:space="720"/>
            <w:col w:w="886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Destination XL Group, Inc. 401(k) Hourly Savings Plan</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 401(k) Hourly Savings plan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H. Stratton,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Peter H. Stratton, Jr., Senior Vice President and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-107315</wp:posOffset>
            </wp:positionV>
            <wp:extent cx="2718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Officer of Destination XL Group, Inc., the Plan Administrator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Destination XL Retail Group, Inc. 401(k) Hourly Savings Plan</w:t>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459"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333-112218) on Form S-8 of our report dated June 30, 2014, relating to the statements of net assets available for benefits of Destination XL Group, Inc. 401(k) Hourly Savings Plan as of December 31, 2013, and 2012, the related statement of changes in net assets available for benefits for the year ended December 31, 2013, and the related supplemental schedules as of and for the year ended December 31, 2013, which reports appear in the December 31, 2013 annual report on Form 11-K of Destination XL Group, Inc. 401(k) Hourly Savings Plan.</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Mayer Hoffman McCann CPAs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30, 2014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2019-12-05T23:43:06Z</dcterms:created>
  <dcterms:modified xsi:type="dcterms:W3CDTF">2019-12-05T23:43:06Z</dcterms:modified>
</cp:coreProperties>
</file>