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50)*</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March 3, 2005</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7" w:lineRule="exact"/>
        <w:rPr>
          <w:sz w:val="24"/>
          <w:szCs w:val="24"/>
          <w:color w:val="auto"/>
        </w:rPr>
      </w:pPr>
    </w:p>
    <w:p>
      <w:pPr>
        <w:ind w:left="2740" w:right="6199" w:hanging="1152"/>
        <w:spacing w:after="0" w:line="290"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5,713,038</w:t>
      </w:r>
    </w:p>
    <w:p>
      <w:pPr>
        <w:sectPr>
          <w:pgSz w:w="11900" w:h="16892"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5,713,038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2"/>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5,713,038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32"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12" w:lineRule="exact"/>
        <w:rPr>
          <w:sz w:val="20"/>
          <w:szCs w:val="20"/>
          <w:color w:val="auto"/>
        </w:rPr>
      </w:pPr>
    </w:p>
    <w:p>
      <w:pPr>
        <w:ind w:left="540" w:right="3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4,170,273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946" w:right="1440" w:bottom="0" w:gutter="0" w:footer="0" w:header="0"/>
        </w:sectPr>
      </w:pPr>
    </w:p>
    <w:bookmarkStart w:id="3" w:name="page4"/>
    <w:bookmarkEnd w:id="3"/>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Incorporated</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838" w:orient="portrait"/>
          <w:cols w:equalWidth="0" w:num="1">
            <w:col w:w="10219"/>
          </w:cols>
          <w:pgMar w:left="240" w:top="339"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238" w:lineRule="auto"/>
        <w:rPr>
          <w:sz w:val="20"/>
          <w:szCs w:val="20"/>
          <w:color w:val="auto"/>
        </w:rPr>
      </w:pPr>
      <w:r>
        <w:rPr>
          <w:rFonts w:ascii="Courier New" w:cs="Courier New" w:eastAsia="Courier New" w:hAnsi="Courier New"/>
          <w:sz w:val="18"/>
          <w:szCs w:val="18"/>
          <w:color w:val="auto"/>
        </w:rPr>
        <w:t>as amended ("Schedule 13D"), relates to the common stock (the "Common Stock")</w:t>
      </w:r>
    </w:p>
    <w:p>
      <w:pPr>
        <w:spacing w:after="0"/>
        <w:rPr>
          <w:sz w:val="20"/>
          <w:szCs w:val="20"/>
          <w:color w:val="auto"/>
        </w:rPr>
      </w:pPr>
      <w:r>
        <w:rPr>
          <w:rFonts w:ascii="Courier New" w:cs="Courier New" w:eastAsia="Courier New" w:hAnsi="Courier New"/>
          <w:sz w:val="18"/>
          <w:szCs w:val="18"/>
          <w:color w:val="auto"/>
        </w:rPr>
        <w:t>of Casual Male Retail Group, Inc., formerly known as Designs, Inc.</w:t>
      </w:r>
    </w:p>
    <w:p>
      <w:pPr>
        <w:spacing w:after="0" w:line="3"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or "Issuer"). The principal executive offices of the Company are located at 555 Turnpike Street, Canton, Massachusetts 02021.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amended and supplemented as follows:</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Seymour Holtzman received a letter on March 7, 2005 dated March 3, 2005 addressed to all 1992 Stock Incentive Plan Participants notifying that the Board of Directors of the Company authorized the accelelerated vesting of all Stock Options held by participants in the 1992 Stock Incentive Plan. A copy of the Company's SEC 8-K filing dated March 10, 2005 with respect to the accelerated vesting of all stock options is shown in Exhibit 1.</w:t>
      </w:r>
    </w:p>
    <w:p>
      <w:pPr>
        <w:spacing w:after="0" w:line="200" w:lineRule="exact"/>
        <w:rPr>
          <w:sz w:val="20"/>
          <w:szCs w:val="20"/>
          <w:color w:val="auto"/>
        </w:rPr>
      </w:pPr>
    </w:p>
    <w:p>
      <w:pPr>
        <w:spacing w:after="0" w:line="214" w:lineRule="exact"/>
        <w:rPr>
          <w:sz w:val="20"/>
          <w:szCs w:val="20"/>
          <w:color w:val="auto"/>
        </w:rPr>
      </w:pPr>
    </w:p>
    <w:p>
      <w:pPr>
        <w:ind w:right="2519" w:firstLine="1159"/>
        <w:spacing w:after="0" w:line="237" w:lineRule="auto"/>
        <w:rPr>
          <w:sz w:val="20"/>
          <w:szCs w:val="20"/>
          <w:color w:val="auto"/>
        </w:rPr>
      </w:pPr>
      <w:r>
        <w:rPr>
          <w:rFonts w:ascii="Courier New" w:cs="Courier New" w:eastAsia="Courier New" w:hAnsi="Courier New"/>
          <w:sz w:val="18"/>
          <w:szCs w:val="18"/>
          <w:color w:val="auto"/>
        </w:rPr>
        <w:t>As of March 10, 2005, the Reporting Persons owned an aggregate of 5,713,038 shares of Common Stock, representing approximately 16.7% of the outstanding shares of Common Stock based upon the 34,217,796 shares of Common Stock reported by the Issuer to be outstanding as of December 1, 2004 in its Form 10-Q filed with the SEC on December 9, 2004 for the period ending October 30, 2004.</w:t>
      </w:r>
    </w:p>
    <w:p>
      <w:pPr>
        <w:spacing w:after="0" w:line="210" w:lineRule="exact"/>
        <w:rPr>
          <w:sz w:val="20"/>
          <w:szCs w:val="20"/>
          <w:color w:val="auto"/>
        </w:rPr>
      </w:pPr>
    </w:p>
    <w:p>
      <w:pPr>
        <w:ind w:right="2419" w:firstLine="1159"/>
        <w:spacing w:after="0" w:line="237" w:lineRule="auto"/>
        <w:rPr>
          <w:sz w:val="20"/>
          <w:szCs w:val="20"/>
          <w:color w:val="auto"/>
        </w:rPr>
      </w:pPr>
      <w:r>
        <w:rPr>
          <w:rFonts w:ascii="Courier New" w:cs="Courier New" w:eastAsia="Courier New" w:hAnsi="Courier New"/>
          <w:sz w:val="18"/>
          <w:szCs w:val="18"/>
          <w:color w:val="auto"/>
        </w:rPr>
        <w:t>Seymour Holtzman's ownership includes option grants that were previously reported and have vested as a result of the accelerated vesting including: 66,666 options granted on May 1, 2002, 66,667 options granted on July 1, 2003, 133,333 options granted on July 15, 2004, and 166,667 options granted on August 31, 2004.</w:t>
      </w:r>
    </w:p>
    <w:p>
      <w:pPr>
        <w:spacing w:after="0" w:line="200" w:lineRule="exact"/>
        <w:rPr>
          <w:sz w:val="20"/>
          <w:szCs w:val="20"/>
          <w:color w:val="auto"/>
        </w:rPr>
      </w:pPr>
    </w:p>
    <w:p>
      <w:pPr>
        <w:spacing w:after="0" w:line="211" w:lineRule="exact"/>
        <w:rPr>
          <w:sz w:val="20"/>
          <w:szCs w:val="20"/>
          <w:color w:val="auto"/>
        </w:rPr>
      </w:pPr>
    </w:p>
    <w:p>
      <w:pPr>
        <w:ind w:right="2519" w:firstLine="1264"/>
        <w:spacing w:after="0" w:line="238" w:lineRule="auto"/>
        <w:rPr>
          <w:sz w:val="20"/>
          <w:szCs w:val="20"/>
          <w:color w:val="auto"/>
        </w:rPr>
      </w:pPr>
      <w:r>
        <w:rPr>
          <w:rFonts w:ascii="Courier New" w:cs="Courier New" w:eastAsia="Courier New" w:hAnsi="Courier New"/>
          <w:sz w:val="18"/>
          <w:szCs w:val="18"/>
          <w:color w:val="auto"/>
        </w:rPr>
        <w:t>As of March 10, 2005, JMI beneficially owned an aggregate of 4,170,273 shares of Common Stock, representing approximately 12.2% of the outstanding shares of Common Stock. JMI has sole voting and dispositive power over the shares of Common Stock beneficially owned by it. By virtue of the relationships described under Item 2 of this Schedule 13D, Jewelcor and SHI may both be deemed to have indirect beneficial ownership of the 4,170,273 shares of Common Stock held by JMI. In addition, by virtue of the relationships described under Item 2 of this Schedule 13D, Seymour Holtzman and Evelyn Holtzman may both be deemed to have indirect beneficial ownership of the 4,170,273 shares of Common Stock held by JMI. Seymour Holtzman has sole voting and dispositive power over the shares of Common Stock held by JMI.</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responses of the Reporting Persons to Items (7) through (11)</w:t>
      </w:r>
    </w:p>
    <w:p>
      <w:pPr>
        <w:spacing w:after="0" w:line="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of the cover pages to this Schedule 13D relating to the beneficial ownership of shares of Common Stock of the Company are incorporated herein by reference.</w:t>
      </w:r>
    </w:p>
    <w:p>
      <w:pPr>
        <w:spacing w:after="0" w:line="170"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619" w:firstLine="843"/>
        <w:spacing w:after="0" w:line="272" w:lineRule="auto"/>
        <w:rPr>
          <w:sz w:val="20"/>
          <w:szCs w:val="20"/>
          <w:color w:val="auto"/>
        </w:rPr>
      </w:pPr>
      <w:r>
        <w:rPr>
          <w:rFonts w:ascii="Courier New" w:cs="Courier New" w:eastAsia="Courier New" w:hAnsi="Courier New"/>
          <w:sz w:val="16"/>
          <w:szCs w:val="16"/>
          <w:color w:val="auto"/>
        </w:rPr>
        <w:t>The Reporting Persons are filing this Schedule 13D because such Reporting Persons may be deemed to be members of a group for purposes of Section 13(d) of the Exchange Act, as amended. Each Reporting Person disclaims beneficial ownership of any Common Stock beneficially owned by any other Reporting Person, except that Mr. Holtzman acknowledges beneficial ownership of the Common Stock owned by JMI.</w:t>
      </w:r>
    </w:p>
    <w:p>
      <w:pPr>
        <w:sectPr>
          <w:pgSz w:w="11900" w:h="16838" w:orient="portrait"/>
          <w:cols w:equalWidth="0" w:num="1">
            <w:col w:w="10219"/>
          </w:cols>
          <w:pgMar w:left="240" w:top="136" w:right="1440" w:bottom="0" w:gutter="0" w:footer="0" w:header="0"/>
        </w:sectPr>
      </w:pPr>
    </w:p>
    <w:bookmarkStart w:id="5" w:name="page6"/>
    <w:bookmarkEnd w:id="5"/>
    <w:p>
      <w:pPr>
        <w:ind w:right="2939"/>
        <w:spacing w:after="0"/>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No Amendment.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 Casual Male's March 10, 2005 SEC 8-K Filing.</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March 11, 2005</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Casual Male's March 10, 2005 SEC 8-K Filing</w:t>
      </w:r>
    </w:p>
    <w:p>
      <w:pPr>
        <w:spacing w:after="0" w:line="207" w:lineRule="exact"/>
        <w:rPr>
          <w:sz w:val="20"/>
          <w:szCs w:val="20"/>
          <w:color w:val="auto"/>
        </w:rPr>
      </w:pPr>
    </w:p>
    <w:p>
      <w:pPr>
        <w:ind w:right="1579" w:firstLine="843"/>
        <w:spacing w:after="0" w:line="237" w:lineRule="auto"/>
        <w:rPr>
          <w:sz w:val="20"/>
          <w:szCs w:val="20"/>
          <w:color w:val="auto"/>
        </w:rPr>
      </w:pPr>
      <w:r>
        <w:rPr>
          <w:rFonts w:ascii="Courier New" w:cs="Courier New" w:eastAsia="Courier New" w:hAnsi="Courier New"/>
          <w:sz w:val="18"/>
          <w:szCs w:val="18"/>
          <w:color w:val="auto"/>
        </w:rPr>
        <w:t>Effective January 27, 2005, Casual Male Retail Group, Inc. (the "Company") accelerated the vesting of all outstanding unvested options held by directors, officers and employees under the Company's 1992 Stock Incentive Plan. As a result of the acceleration, options to acquire 1,778,252 shares of the Company's common stock, which otherwise would have vested from time to time over the next 35 months, became immediately exercisable.</w:t>
      </w: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Company accelerated these options in advance of the effective date of Statement of Financial Accounting Standards No. 123 (revised 2004) "Share-Based Payment" ("SFAS 123R"). SFAS 123R will require that, beginning July 31, 2005 (the start of the Company's third fiscal quarter), the Company record as compensation expense in its statement of operations the fair value of employee stock options.</w:t>
      </w:r>
    </w:p>
    <w:p>
      <w:pPr>
        <w:spacing w:after="0" w:line="210" w:lineRule="exact"/>
        <w:rPr>
          <w:sz w:val="20"/>
          <w:szCs w:val="20"/>
          <w:color w:val="auto"/>
        </w:rPr>
      </w:pPr>
    </w:p>
    <w:p>
      <w:pPr>
        <w:ind w:right="1679" w:firstLine="843"/>
        <w:spacing w:after="0" w:line="270" w:lineRule="auto"/>
        <w:rPr>
          <w:sz w:val="20"/>
          <w:szCs w:val="20"/>
          <w:color w:val="auto"/>
        </w:rPr>
      </w:pPr>
      <w:r>
        <w:rPr>
          <w:rFonts w:ascii="Courier New" w:cs="Courier New" w:eastAsia="Courier New" w:hAnsi="Courier New"/>
          <w:sz w:val="16"/>
          <w:szCs w:val="16"/>
          <w:color w:val="auto"/>
        </w:rPr>
        <w:t>The Company has estimated that the transition expense associated with the adoption of SFAS123R for these outstanding shares would have resulted in a charge of approximately $3.6 million to be recognized over the next three fiscal years (fiscal 2005 through fiscal 2007). As a result of the Company's decision to accelerate the vesting of these options, the Company has been able to eliminate this transition expense. The Company will, however, recognize a one-time compensation expense in accordance with APB Opinion No. 25 of approximately $70,000 in the fourth quarter of fiscal 2004 with respect to its in-the-money stock options that were accelerated. In authorizing this acceleration, the Board of Directors determined that the overall effect of such action was in the best interests of the Company, its stockholders and its employees.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5"/>
      <w:numFmt w:val="bullet"/>
      <w:start w:val="1"/>
    </w:lvl>
  </w:abstractNum>
  <w:abstractNum w:abstractNumId="5">
    <w:nsid w:val="62BBD95A"/>
    <w:multiLevelType w:val="hybridMultilevel"/>
    <w:lvl w:ilvl="0">
      <w:lvlJc w:val="left"/>
      <w:lvlText w:val="6"/>
      <w:numFmt w:val="bullet"/>
      <w:start w:val="1"/>
    </w:lvl>
  </w:abstractNum>
  <w:abstractNum w:abstractNumId="6">
    <w:nsid w:val="436C6125"/>
    <w:multiLevelType w:val="hybridMultilevel"/>
    <w:lvl w:ilvl="0">
      <w:lvlJc w:val="left"/>
      <w:lvlText w:val="7"/>
      <w:numFmt w:val="bullet"/>
      <w:start w:val="1"/>
    </w:lvl>
  </w:abstractNum>
  <w:abstractNum w:abstractNumId="7">
    <w:nsid w:val="628C895D"/>
    <w:multiLevelType w:val="hybridMultilevel"/>
    <w:lvl w:ilvl="0">
      <w:lvlJc w:val="left"/>
      <w:lvlText w:val="%1"/>
      <w:numFmt w:val="decimal"/>
      <w:start w:val="1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3"/>
      <w:numFmt w:val="bullet"/>
      <w:start w:val="1"/>
    </w:lvl>
  </w:abstractNum>
  <w:abstractNum w:abstractNumId="10">
    <w:nsid w:val="2443A858"/>
    <w:multiLevelType w:val="hybridMultilevel"/>
    <w:lvl w:ilvl="0">
      <w:lvlJc w:val="left"/>
      <w:lvlText w:val="4"/>
      <w:numFmt w:val="bullet"/>
      <w:start w:val="1"/>
    </w:lvl>
  </w:abstractNum>
  <w:abstractNum w:abstractNumId="11">
    <w:nsid w:val="2D1D5AE9"/>
    <w:multiLevelType w:val="hybridMultilevel"/>
    <w:lvl w:ilvl="0">
      <w:lvlJc w:val="left"/>
      <w:lvlText w:val="5"/>
      <w:numFmt w:val="bullet"/>
      <w:start w:val="1"/>
    </w:lvl>
  </w:abstractNum>
  <w:abstractNum w:abstractNumId="12">
    <w:nsid w:val="6763845E"/>
    <w:multiLevelType w:val="hybridMultilevel"/>
    <w:lvl w:ilvl="0">
      <w:lvlJc w:val="left"/>
      <w:lvlText w:val="6"/>
      <w:numFmt w:val="bullet"/>
      <w:start w:val="1"/>
    </w:lvl>
  </w:abstractNum>
  <w:abstractNum w:abstractNumId="13">
    <w:nsid w:val="75A2A8D4"/>
    <w:multiLevelType w:val="hybridMultilevel"/>
    <w:lvl w:ilvl="0">
      <w:lvlJc w:val="left"/>
      <w:lvlText w:val="7"/>
      <w:numFmt w:val="bullet"/>
      <w:start w:val="1"/>
    </w:lvl>
  </w:abstractNum>
  <w:abstractNum w:abstractNumId="14">
    <w:nsid w:val="8EDBDAB"/>
    <w:multiLevelType w:val="hybridMultilevel"/>
    <w:lvl w:ilvl="0">
      <w:lvlJc w:val="left"/>
      <w:lvlText w:val="%1"/>
      <w:numFmt w:val="decimal"/>
      <w:start w:val="11"/>
    </w:lvl>
    <w:lvl w:ilvl="1">
      <w:lvlJc w:val="left"/>
      <w:lvlText w:val="-"/>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5"/>
      <w:numFmt w:val="bullet"/>
      <w:start w:val="1"/>
    </w:lvl>
  </w:abstractNum>
  <w:abstractNum w:abstractNumId="19">
    <w:nsid w:val="54E49EB4"/>
    <w:multiLevelType w:val="hybridMultilevel"/>
    <w:lvl w:ilvl="0">
      <w:lvlJc w:val="left"/>
      <w:lvlText w:val="6"/>
      <w:numFmt w:val="bullet"/>
      <w:start w:val="1"/>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5"/>
      <w:numFmt w:val="bullet"/>
      <w:start w:val="1"/>
    </w:lvl>
  </w:abstractNum>
  <w:abstractNum w:abstractNumId="25">
    <w:nsid w:val="8138641"/>
    <w:multiLevelType w:val="hybridMultilevel"/>
    <w:lvl w:ilvl="0">
      <w:lvlJc w:val="left"/>
      <w:lvlText w:val="6"/>
      <w:numFmt w:val="bullet"/>
      <w:start w:val="1"/>
    </w:lvl>
  </w:abstractNum>
  <w:abstractNum w:abstractNumId="26">
    <w:nsid w:val="1E7FF521"/>
    <w:multiLevelType w:val="hybridMultilevel"/>
    <w:lvl w:ilvl="0">
      <w:lvlJc w:val="left"/>
      <w:lvlText w:val="%1"/>
      <w:numFmt w:val="decimal"/>
      <w:start w:val="1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3"/>
      <w:numFmt w:val="bullet"/>
      <w:start w:val="1"/>
    </w:lvl>
  </w:abstractNum>
  <w:abstractNum w:abstractNumId="29">
    <w:nsid w:val="6CEAF087"/>
    <w:multiLevelType w:val="hybridMultilevel"/>
    <w:lvl w:ilvl="0">
      <w:lvlJc w:val="left"/>
      <w:lvlText w:val="4"/>
      <w:numFmt w:val="bullet"/>
      <w:start w:val="1"/>
    </w:lvl>
  </w:abstractNum>
  <w:abstractNum w:abstractNumId="30">
    <w:nsid w:val="22221A70"/>
    <w:multiLevelType w:val="hybridMultilevel"/>
    <w:lvl w:ilvl="0">
      <w:lvlJc w:val="left"/>
      <w:lvlText w:val="5"/>
      <w:numFmt w:val="bullet"/>
      <w:start w:val="1"/>
    </w:lvl>
  </w:abstractNum>
  <w:abstractNum w:abstractNumId="31">
    <w:nsid w:val="4516DDE9"/>
    <w:multiLevelType w:val="hybridMultilevel"/>
    <w:lvl w:ilvl="0">
      <w:lvlJc w:val="left"/>
      <w:lvlText w:val="6"/>
      <w:numFmt w:val="bullet"/>
      <w:start w:val="1"/>
    </w:lvl>
  </w:abstractNum>
  <w:abstractNum w:abstractNumId="32">
    <w:nsid w:val="3006C83E"/>
    <w:multiLevelType w:val="hybridMultilevel"/>
    <w:lvl w:ilvl="0">
      <w:lvlJc w:val="left"/>
      <w:lvlText w:val="%1"/>
      <w:numFmt w:val="decimal"/>
      <w:start w:val="11"/>
    </w:lvl>
  </w:abstractNum>
  <w:abstractNum w:abstractNumId="33">
    <w:nsid w:val="614FD4A1"/>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2019-12-20T13:37:37Z</dcterms:created>
  <dcterms:modified xsi:type="dcterms:W3CDTF">2019-12-20T13:37:37Z</dcterms:modified>
</cp:coreProperties>
</file>