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158"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Exchange Act of 1934</w:t>
      </w:r>
    </w:p>
    <w:p>
      <w:pPr>
        <w:spacing w:after="0" w:line="119" w:lineRule="exact"/>
        <w:rPr>
          <w:sz w:val="24"/>
          <w:szCs w:val="24"/>
          <w:color w:val="auto"/>
        </w:rPr>
      </w:pPr>
    </w:p>
    <w:p>
      <w:pPr>
        <w:spacing w:after="0" w:line="207" w:lineRule="exact"/>
        <w:tabs>
          <w:tab w:leader="none" w:pos="24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207" w:lineRule="exact"/>
        <w:tabs>
          <w:tab w:leader="none" w:pos="440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160" w:firstLine="8"/>
        <w:spacing w:after="0" w:line="216"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under Rule 14a-12</w:t>
      </w:r>
    </w:p>
    <w:p>
      <w:pPr>
        <w:spacing w:after="0" w:line="1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151"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35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76"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-3178175</wp:posOffset>
            </wp:positionV>
            <wp:extent cx="5629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-2724150</wp:posOffset>
            </wp:positionV>
            <wp:extent cx="5629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-2183765</wp:posOffset>
            </wp:positionV>
            <wp:extent cx="5629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-1643380</wp:posOffset>
            </wp:positionV>
            <wp:extent cx="5629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-1146175</wp:posOffset>
            </wp:positionV>
            <wp:extent cx="5629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4, 2004</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 is hereby given that the 2004 Annual Meeting of Stockholders of Casual Male Retail Group, Inc. (the “Company”) will be held at the offices of Greenberg Traurig, LLP, 200 Park Avenue, MetLife Building, 15th Floor, New York, New York at 11:00 A.M., local time, on Wednesday, August 4, 2004 for the following purposes:</w:t>
      </w:r>
    </w:p>
    <w:p>
      <w:pPr>
        <w:spacing w:after="0" w:line="127" w:lineRule="exact"/>
        <w:rPr>
          <w:sz w:val="20"/>
          <w:szCs w:val="20"/>
          <w:color w:val="auto"/>
        </w:rPr>
      </w:pPr>
    </w:p>
    <w:p>
      <w:pPr>
        <w:ind w:left="900" w:right="4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independent auditors for the Company for the fiscal year ending January 29, 2005.</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Board of Directors recommends that you vote FOR the election of all eight nominees to serve as directors of the Company and FOR the ratification of the appointment of Ernst &amp; Young LLP as the Company’s independent auditors.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the Company is sending you copies of its Annual Report on Form 10-K for the fiscal year ended January 31, 2004.</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has fixed the close of business on June 22, 2004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22, 2004 will be available for inspection by any stockholder of the Company for any purpose germane to the Annual Meeting during normal business hours at the Company’s principal executive offices, 555 Turnpike Street, Canton, Massachusetts 02021, beginning on July 22, 2004 and at the Annual Meeting.</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77"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6, 2004</w:t>
      </w:r>
    </w:p>
    <w:p>
      <w:pPr>
        <w:spacing w:after="0" w:line="15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4, 2004</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July 6, 2004, in connection with the solicitation by the Board of Directors of Casual Male Retail Group, Inc. (the “Company”) of proxies to be used at the Annual Meeting of Stockholders, to be held at the offices of Greenberg Traurig, LLP, 200 Park Avenue, MetLife Building, 15th Floor, New York, New York at 11:00 A.M., local time, on Wednesday, August 4, 2004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ratification of the appointment of Ernst</w:t>
      </w:r>
    </w:p>
    <w:p>
      <w:pPr>
        <w:ind w:right="60" w:firstLine="8"/>
        <w:spacing w:after="0" w:line="254" w:lineRule="auto"/>
        <w:tabs>
          <w:tab w:leader="none" w:pos="174"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Young LLP as the Company’s independent auditors, and (iii)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3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Only holders of the Company’s Common Stock, par value $0.01 per share (“Common Stock”), of record at the close of business on June 22, 2004, the record date for the Annual Meeting, will be entitled to notice of and to vote at the Annual Meeting. On that date, there were 34,200,943 shares of Common Stock issued and outstanding, excluding shares held by the Company in treasury. Each share is entitled to one vote at the Annual Meeting.</w:t>
      </w:r>
    </w:p>
    <w:p>
      <w:pPr>
        <w:spacing w:after="0" w:line="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plurality of the votes properly cast for the election of directors is required to elect directors, and a majority of the votes properly cast is required for all other matters, including the ratification of the appointment of the Company’s independent auditors. No votes may be taken at the Annual Meeting, other than a vote to adjourn, unless a quorum, consisting of a majority of the shares of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any matter presented at the Annual Meeting and will not count as votes for or against such matter. Votes will be tabulated by the Company’s transfer agent subject to the supervision of persons designated by the Board of Directors as inspectors.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right="2240" w:firstLine="2245"/>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 Security Ownership of Certain Beneficial Owners</w:t>
      </w:r>
    </w:p>
    <w:p>
      <w:pPr>
        <w:spacing w:after="0" w:line="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following table sets forth certain information with respect to persons known to the Company to be the beneficial owners of more than five percent of the issued and outstanding shares of Common Stock as of June 15, 2004. The Company is informed that, except as indicated, each person has sole voting and investment power with respect to all shares of Common Stock shown as beneficially owned by such person, subject to community property laws where applicable.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5980" w:type="dxa"/>
            <w:vAlign w:val="bottom"/>
          </w:tcPr>
          <w:p>
            <w:pPr>
              <w:spacing w:after="0"/>
              <w:rPr>
                <w:sz w:val="15"/>
                <w:szCs w:val="15"/>
                <w:color w:val="auto"/>
              </w:rPr>
            </w:pPr>
          </w:p>
        </w:tc>
        <w:tc>
          <w:tcPr>
            <w:tcW w:w="16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Jewelcor Management, Inc.</w:t>
            </w:r>
          </w:p>
        </w:tc>
        <w:tc>
          <w:tcPr>
            <w:tcW w:w="7640" w:type="dxa"/>
            <w:vAlign w:val="bottom"/>
            <w:gridSpan w:val="3"/>
            <w:shd w:val="clear" w:color="auto" w:fill="CCEEFF"/>
          </w:tcPr>
          <w:p>
            <w:pPr>
              <w:ind w:left="5980"/>
              <w:spacing w:after="0"/>
              <w:rPr>
                <w:sz w:val="20"/>
                <w:szCs w:val="20"/>
                <w:color w:val="auto"/>
              </w:rPr>
            </w:pPr>
            <w:r>
              <w:rPr>
                <w:rFonts w:ascii="Arial" w:cs="Arial" w:eastAsia="Arial" w:hAnsi="Arial"/>
                <w:sz w:val="18"/>
                <w:szCs w:val="18"/>
                <w:color w:val="auto"/>
              </w:rPr>
              <w:t>4,123,973(2)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5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59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40" w:type="dxa"/>
            <w:vAlign w:val="bottom"/>
            <w:gridSpan w:val="3"/>
          </w:tcPr>
          <w:p>
            <w:pPr>
              <w:spacing w:after="0"/>
              <w:rPr>
                <w:sz w:val="20"/>
                <w:szCs w:val="20"/>
                <w:color w:val="auto"/>
              </w:rPr>
            </w:pPr>
            <w:r>
              <w:rPr>
                <w:rFonts w:ascii="Arial" w:cs="Arial" w:eastAsia="Arial" w:hAnsi="Arial"/>
                <w:sz w:val="18"/>
                <w:szCs w:val="18"/>
                <w:color w:val="auto"/>
              </w:rPr>
              <w:t>The Clark Estates, Inc.</w:t>
            </w:r>
          </w:p>
        </w:tc>
        <w:tc>
          <w:tcPr>
            <w:tcW w:w="7640" w:type="dxa"/>
            <w:vAlign w:val="bottom"/>
            <w:gridSpan w:val="3"/>
          </w:tcPr>
          <w:p>
            <w:pPr>
              <w:ind w:left="5980"/>
              <w:spacing w:after="0"/>
              <w:rPr>
                <w:sz w:val="20"/>
                <w:szCs w:val="20"/>
                <w:color w:val="auto"/>
              </w:rPr>
            </w:pPr>
            <w:r>
              <w:rPr>
                <w:rFonts w:ascii="Arial" w:cs="Arial" w:eastAsia="Arial" w:hAnsi="Arial"/>
                <w:sz w:val="18"/>
                <w:szCs w:val="18"/>
                <w:color w:val="auto"/>
              </w:rPr>
              <w:t>2,446,324(3)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rPr>
              <w:t>One Rockefeller Plaza, 31st Floor</w:t>
            </w:r>
          </w:p>
        </w:tc>
        <w:tc>
          <w:tcPr>
            <w:tcW w:w="5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3"/>
          </w:tcPr>
          <w:p>
            <w:pPr>
              <w:spacing w:after="0"/>
              <w:rPr>
                <w:sz w:val="20"/>
                <w:szCs w:val="20"/>
                <w:color w:val="auto"/>
              </w:rPr>
            </w:pPr>
            <w:r>
              <w:rPr>
                <w:rFonts w:ascii="Arial" w:cs="Arial" w:eastAsia="Arial" w:hAnsi="Arial"/>
                <w:sz w:val="18"/>
                <w:szCs w:val="18"/>
                <w:color w:val="auto"/>
              </w:rPr>
              <w:t>New York, New York 10020</w:t>
            </w:r>
          </w:p>
        </w:tc>
        <w:tc>
          <w:tcPr>
            <w:tcW w:w="5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Group, LLP</w:t>
            </w:r>
          </w:p>
        </w:tc>
        <w:tc>
          <w:tcPr>
            <w:tcW w:w="7640" w:type="dxa"/>
            <w:vAlign w:val="bottom"/>
            <w:gridSpan w:val="3"/>
            <w:shd w:val="clear" w:color="auto" w:fill="CCEEFF"/>
          </w:tcPr>
          <w:p>
            <w:pPr>
              <w:ind w:left="5980"/>
              <w:spacing w:after="0"/>
              <w:rPr>
                <w:sz w:val="20"/>
                <w:szCs w:val="20"/>
                <w:color w:val="auto"/>
              </w:rPr>
            </w:pPr>
            <w:r>
              <w:rPr>
                <w:rFonts w:ascii="Arial" w:cs="Arial" w:eastAsia="Arial" w:hAnsi="Arial"/>
                <w:sz w:val="18"/>
                <w:szCs w:val="18"/>
                <w:color w:val="auto"/>
              </w:rPr>
              <w:t>2,307,300(4)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5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59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40" w:type="dxa"/>
            <w:vAlign w:val="bottom"/>
            <w:gridSpan w:val="3"/>
          </w:tcPr>
          <w:p>
            <w:pPr>
              <w:spacing w:after="0"/>
              <w:rPr>
                <w:sz w:val="20"/>
                <w:szCs w:val="20"/>
                <w:color w:val="auto"/>
              </w:rPr>
            </w:pPr>
            <w:r>
              <w:rPr>
                <w:rFonts w:ascii="Arial" w:cs="Arial" w:eastAsia="Arial" w:hAnsi="Arial"/>
                <w:sz w:val="18"/>
                <w:szCs w:val="18"/>
                <w:color w:val="auto"/>
              </w:rPr>
              <w:t>Wasatch Advisors, Inc.</w:t>
            </w:r>
          </w:p>
        </w:tc>
        <w:tc>
          <w:tcPr>
            <w:tcW w:w="7640" w:type="dxa"/>
            <w:vAlign w:val="bottom"/>
            <w:gridSpan w:val="3"/>
          </w:tcPr>
          <w:p>
            <w:pPr>
              <w:ind w:left="5980"/>
              <w:spacing w:after="0"/>
              <w:rPr>
                <w:sz w:val="20"/>
                <w:szCs w:val="20"/>
                <w:color w:val="auto"/>
              </w:rPr>
            </w:pPr>
            <w:r>
              <w:rPr>
                <w:rFonts w:ascii="Arial" w:cs="Arial" w:eastAsia="Arial" w:hAnsi="Arial"/>
                <w:sz w:val="18"/>
                <w:szCs w:val="18"/>
                <w:color w:val="auto"/>
              </w:rPr>
              <w:t>2,244,937(5)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rPr>
              <w:t>150 Social Hall Avenue 4th floor</w:t>
            </w:r>
          </w:p>
        </w:tc>
        <w:tc>
          <w:tcPr>
            <w:tcW w:w="5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3"/>
          </w:tcPr>
          <w:p>
            <w:pPr>
              <w:spacing w:after="0"/>
              <w:rPr>
                <w:sz w:val="20"/>
                <w:szCs w:val="20"/>
                <w:color w:val="auto"/>
              </w:rPr>
            </w:pPr>
            <w:r>
              <w:rPr>
                <w:rFonts w:ascii="Arial" w:cs="Arial" w:eastAsia="Arial" w:hAnsi="Arial"/>
                <w:sz w:val="18"/>
                <w:szCs w:val="18"/>
                <w:color w:val="auto"/>
              </w:rPr>
              <w:t>Salt Lake City, Utah 84111-1504</w:t>
            </w:r>
          </w:p>
        </w:tc>
        <w:tc>
          <w:tcPr>
            <w:tcW w:w="5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Husic Capital Management</w:t>
            </w:r>
          </w:p>
        </w:tc>
        <w:tc>
          <w:tcPr>
            <w:tcW w:w="7640" w:type="dxa"/>
            <w:vAlign w:val="bottom"/>
            <w:gridSpan w:val="3"/>
            <w:shd w:val="clear" w:color="auto" w:fill="CCEEFF"/>
          </w:tcPr>
          <w:p>
            <w:pPr>
              <w:ind w:left="5980"/>
              <w:spacing w:after="0"/>
              <w:rPr>
                <w:sz w:val="20"/>
                <w:szCs w:val="20"/>
                <w:color w:val="auto"/>
              </w:rPr>
            </w:pPr>
            <w:r>
              <w:rPr>
                <w:rFonts w:ascii="Arial" w:cs="Arial" w:eastAsia="Arial" w:hAnsi="Arial"/>
                <w:sz w:val="18"/>
                <w:szCs w:val="18"/>
                <w:color w:val="auto"/>
              </w:rPr>
              <w:t>2,230,284(6)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555 California Street, Suite 2900</w:t>
            </w:r>
          </w:p>
        </w:tc>
        <w:tc>
          <w:tcPr>
            <w:tcW w:w="5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Francisco, California 94104</w:t>
            </w:r>
          </w:p>
        </w:tc>
        <w:tc>
          <w:tcPr>
            <w:tcW w:w="59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40" w:type="dxa"/>
            <w:vAlign w:val="bottom"/>
            <w:gridSpan w:val="3"/>
          </w:tcPr>
          <w:p>
            <w:pPr>
              <w:spacing w:after="0"/>
              <w:rPr>
                <w:sz w:val="20"/>
                <w:szCs w:val="20"/>
                <w:color w:val="auto"/>
              </w:rPr>
            </w:pPr>
            <w:r>
              <w:rPr>
                <w:rFonts w:ascii="Arial" w:cs="Arial" w:eastAsia="Arial" w:hAnsi="Arial"/>
                <w:sz w:val="18"/>
                <w:szCs w:val="18"/>
                <w:color w:val="auto"/>
              </w:rPr>
              <w:t>Baron Capital Group, Inc.</w:t>
            </w:r>
          </w:p>
        </w:tc>
        <w:tc>
          <w:tcPr>
            <w:tcW w:w="7640" w:type="dxa"/>
            <w:vAlign w:val="bottom"/>
            <w:gridSpan w:val="3"/>
          </w:tcPr>
          <w:p>
            <w:pPr>
              <w:ind w:left="5980"/>
              <w:spacing w:after="0"/>
              <w:rPr>
                <w:sz w:val="20"/>
                <w:szCs w:val="20"/>
                <w:color w:val="auto"/>
              </w:rPr>
            </w:pPr>
            <w:r>
              <w:rPr>
                <w:rFonts w:ascii="Arial" w:cs="Arial" w:eastAsia="Arial" w:hAnsi="Arial"/>
                <w:sz w:val="18"/>
                <w:szCs w:val="18"/>
                <w:color w:val="auto"/>
              </w:rPr>
              <w:t>2,257,353(7)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rPr>
              <w:t>767 Fifth Avenue</w:t>
            </w:r>
          </w:p>
        </w:tc>
        <w:tc>
          <w:tcPr>
            <w:tcW w:w="5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3"/>
          </w:tcPr>
          <w:p>
            <w:pPr>
              <w:spacing w:after="0"/>
              <w:rPr>
                <w:sz w:val="20"/>
                <w:szCs w:val="20"/>
                <w:color w:val="auto"/>
              </w:rPr>
            </w:pPr>
            <w:r>
              <w:rPr>
                <w:rFonts w:ascii="Arial" w:cs="Arial" w:eastAsia="Arial" w:hAnsi="Arial"/>
                <w:sz w:val="18"/>
                <w:szCs w:val="18"/>
                <w:color w:val="auto"/>
              </w:rPr>
              <w:t>New York, New York 10153</w:t>
            </w:r>
          </w:p>
        </w:tc>
        <w:tc>
          <w:tcPr>
            <w:tcW w:w="5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Gardner Lewis Asset Management, L.P.</w:t>
            </w:r>
          </w:p>
        </w:tc>
        <w:tc>
          <w:tcPr>
            <w:tcW w:w="7640" w:type="dxa"/>
            <w:vAlign w:val="bottom"/>
            <w:gridSpan w:val="3"/>
            <w:shd w:val="clear" w:color="auto" w:fill="CCEEFF"/>
          </w:tcPr>
          <w:p>
            <w:pPr>
              <w:ind w:left="5980"/>
              <w:spacing w:after="0"/>
              <w:rPr>
                <w:sz w:val="20"/>
                <w:szCs w:val="20"/>
                <w:color w:val="auto"/>
              </w:rPr>
            </w:pPr>
            <w:r>
              <w:rPr>
                <w:rFonts w:ascii="Arial" w:cs="Arial" w:eastAsia="Arial" w:hAnsi="Arial"/>
                <w:sz w:val="18"/>
                <w:szCs w:val="18"/>
                <w:color w:val="auto"/>
              </w:rPr>
              <w:t>2,027,900(8)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285 Wilmington West Chester Pike</w:t>
            </w:r>
          </w:p>
        </w:tc>
        <w:tc>
          <w:tcPr>
            <w:tcW w:w="5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Chadds Ford, PA 19317</w:t>
            </w:r>
          </w:p>
        </w:tc>
        <w:tc>
          <w:tcPr>
            <w:tcW w:w="59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5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00" w:hanging="452"/>
        <w:spacing w:after="0" w:line="28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Securities and Exchange Commission (the “SEC”)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34,199,109 shares of Common Stock outstanding as of June 15, 2004, plus securities deemed to be outstanding with respect to individual stockholders pursuant to Rule 13d-3(d)(1) under the Securities Exchange Act of 1934, as amended (the “Exchange Act”).</w:t>
      </w:r>
    </w:p>
    <w:p>
      <w:pPr>
        <w:spacing w:after="0" w:line="1" w:lineRule="exact"/>
        <w:rPr>
          <w:rFonts w:ascii="Arial" w:cs="Arial" w:eastAsia="Arial" w:hAnsi="Arial"/>
          <w:sz w:val="16"/>
          <w:szCs w:val="16"/>
          <w:color w:val="auto"/>
        </w:rPr>
      </w:pPr>
    </w:p>
    <w:p>
      <w:pPr>
        <w:ind w:left="460" w:right="32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Jewelcor Management, Inc. (“JMI”) has indicated to the Company that it is the beneficial owner of 4,123,973 shares of the Company’s Common Stock. Includes 227,059 shares subject to warrants exercisable within 60 days. Excludes 809,432 shares (which includes 796,667 shares subject to options exercisable within 60 days) owned individually by Seymour Holtzman, the Chairman of the Board of Directors of the Company. Mr. Holtzman is the chairman, president and chief executive officer and, indirectly with his wife, the primary shareholder of JMI.</w:t>
      </w:r>
    </w:p>
    <w:p>
      <w:pPr>
        <w:spacing w:after="0" w:line="2" w:lineRule="exact"/>
        <w:rPr>
          <w:rFonts w:ascii="Arial" w:cs="Arial" w:eastAsia="Arial" w:hAnsi="Arial"/>
          <w:sz w:val="16"/>
          <w:szCs w:val="16"/>
          <w:color w:val="auto"/>
        </w:rPr>
      </w:pPr>
    </w:p>
    <w:p>
      <w:pPr>
        <w:ind w:left="460" w:right="3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Clark Estates, Inc. has indicated to the Company that, as of June 15, 2004, it was the beneficial owner of 2,446,324 shares of Common Stock, all of which are held of record by Clark Partners I, L.P. Includes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left="460" w:right="44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247,059 shares of Common Stock subject to warrants exercisable within 60 days. Stephen Duff, a director of the Company until February 26, 2004, is Treasurer of Ninth Floor Corporation, the general partner of Clark Partners L.P. and he is also Senior Investment Manager at The Clark Estates, Inc.</w:t>
      </w:r>
    </w:p>
    <w:p>
      <w:pPr>
        <w:ind w:left="460" w:right="5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Wellington Management Group, LLP has indicated to the Company that, as of June 15, 2004, it was the beneficial owner of the number of shares of Common Stock set forth opposite its name in the table.</w:t>
      </w:r>
    </w:p>
    <w:p>
      <w:pPr>
        <w:ind w:left="460" w:right="2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Wasatch Advisors, Inc. has indicated to the Company that, as of June 15, 2004, it was the beneficial owner of the number of shares of Common Stock set forth opposite its name in the table.</w:t>
      </w:r>
    </w:p>
    <w:p>
      <w:pPr>
        <w:jc w:val="both"/>
        <w:ind w:left="460" w:right="1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received Amendment No. 4 to Schedule 13G dated February 10, 2004, stating that Husic Capital Management was the beneficial owner of the number of shares of Common Stock set forth opposite its name in the table. Frank J. Husic, a director of the Company, is the sole shareholder of the general partner of Husic Capital Management. The amount shown excludes (i) 21,763 shares (which includes 20,000 shares subject to options exercisable within 60 days) owned individually by Mr. Husic and (ii) 20,000 shares subject to warrants exercisable within 60 days held by the Frank J. Husic Rollover IRA.</w:t>
      </w:r>
    </w:p>
    <w:p>
      <w:pPr>
        <w:spacing w:after="0" w:line="2" w:lineRule="exact"/>
        <w:rPr>
          <w:rFonts w:ascii="Arial" w:cs="Arial" w:eastAsia="Arial" w:hAnsi="Arial"/>
          <w:sz w:val="18"/>
          <w:szCs w:val="18"/>
          <w:color w:val="auto"/>
        </w:rPr>
      </w:pPr>
    </w:p>
    <w:p>
      <w:pPr>
        <w:ind w:left="460" w:hanging="452"/>
        <w:spacing w:after="0" w:line="30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 has received Amendment No. 1 to Schedule 13G dated February 12, 2004, stating that Baron Capital Group, Inc. was the beneficial owner of the number of shares of Common Stock set forth opposite its name in the table. Includes 1,507,353 shares subject to warrants exercisable within 60 days.</w:t>
      </w:r>
    </w:p>
    <w:p>
      <w:pPr>
        <w:ind w:left="460" w:right="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Gardner Lewis Asset Management has indicated to the Company that, as of June 15, 2004, it was the beneficial owner of the number of shares of Common Stock set forth opposite its name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sets forth certain information as of June 15, 2004, with respect to the directors of the Company, the Named Executive Officers (as defined below under “Executive Compensation”)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9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Name and Title(1)</w:t>
            </w:r>
          </w:p>
        </w:tc>
        <w:tc>
          <w:tcPr>
            <w:tcW w:w="1380" w:type="dxa"/>
            <w:vAlign w:val="bottom"/>
          </w:tcPr>
          <w:p>
            <w:pPr>
              <w:spacing w:after="0"/>
              <w:rPr>
                <w:sz w:val="15"/>
                <w:szCs w:val="15"/>
                <w:color w:val="auto"/>
              </w:rPr>
            </w:pPr>
          </w:p>
        </w:tc>
        <w:tc>
          <w:tcPr>
            <w:tcW w:w="19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5"/>
              </w:rPr>
              <w:t>Owned</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Class(2)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332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4,933,405(3)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1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320" w:type="dxa"/>
            <w:vAlign w:val="bottom"/>
            <w:gridSpan w:val="3"/>
          </w:tcPr>
          <w:p>
            <w:pPr>
              <w:jc w:val="right"/>
              <w:ind w:right="1040"/>
              <w:spacing w:after="0"/>
              <w:rPr>
                <w:sz w:val="20"/>
                <w:szCs w:val="20"/>
                <w:color w:val="auto"/>
              </w:rPr>
            </w:pPr>
            <w:r>
              <w:rPr>
                <w:rFonts w:ascii="Arial" w:cs="Arial" w:eastAsia="Arial" w:hAnsi="Arial"/>
                <w:sz w:val="18"/>
                <w:szCs w:val="18"/>
                <w:color w:val="auto"/>
              </w:rPr>
              <w:t>735,136(4)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332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337,200(5)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and Treasurer</w:t>
            </w:r>
          </w:p>
        </w:tc>
        <w:tc>
          <w:tcPr>
            <w:tcW w:w="1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Linda B. Carlo</w:t>
            </w:r>
          </w:p>
        </w:tc>
        <w:tc>
          <w:tcPr>
            <w:tcW w:w="3320" w:type="dxa"/>
            <w:vAlign w:val="bottom"/>
            <w:gridSpan w:val="3"/>
          </w:tcPr>
          <w:p>
            <w:pPr>
              <w:jc w:val="right"/>
              <w:ind w:right="1040"/>
              <w:spacing w:after="0"/>
              <w:rPr>
                <w:sz w:val="20"/>
                <w:szCs w:val="20"/>
                <w:color w:val="auto"/>
              </w:rPr>
            </w:pPr>
            <w:r>
              <w:rPr>
                <w:rFonts w:ascii="Arial" w:cs="Arial" w:eastAsia="Arial" w:hAnsi="Arial"/>
                <w:sz w:val="18"/>
                <w:szCs w:val="18"/>
                <w:color w:val="auto"/>
              </w:rPr>
              <w:t>16,667(6)</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General Merchandise Manager of Casual Male division</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 Cornely III</w:t>
            </w:r>
          </w:p>
        </w:tc>
        <w:tc>
          <w:tcPr>
            <w:tcW w:w="332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35,669(7)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Store Development</w:t>
            </w:r>
          </w:p>
        </w:tc>
        <w:tc>
          <w:tcPr>
            <w:tcW w:w="1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Alan S. Bernikow, Director</w:t>
            </w:r>
          </w:p>
        </w:tc>
        <w:tc>
          <w:tcPr>
            <w:tcW w:w="3320" w:type="dxa"/>
            <w:vAlign w:val="bottom"/>
            <w:gridSpan w:val="3"/>
          </w:tcPr>
          <w:p>
            <w:pPr>
              <w:jc w:val="right"/>
              <w:ind w:right="1040"/>
              <w:spacing w:after="0"/>
              <w:rPr>
                <w:sz w:val="20"/>
                <w:szCs w:val="20"/>
                <w:color w:val="auto"/>
              </w:rPr>
            </w:pPr>
            <w:r>
              <w:rPr>
                <w:rFonts w:ascii="Arial" w:cs="Arial" w:eastAsia="Arial" w:hAnsi="Arial"/>
                <w:sz w:val="18"/>
                <w:szCs w:val="18"/>
                <w:color w:val="auto"/>
              </w:rPr>
              <w:t>26,802(8)</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 Director</w:t>
            </w:r>
          </w:p>
        </w:tc>
        <w:tc>
          <w:tcPr>
            <w:tcW w:w="332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122,589(9)</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James P. Frain, Director</w:t>
            </w:r>
          </w:p>
        </w:tc>
        <w:tc>
          <w:tcPr>
            <w:tcW w:w="3320" w:type="dxa"/>
            <w:vAlign w:val="bottom"/>
            <w:gridSpan w:val="3"/>
          </w:tcPr>
          <w:p>
            <w:pPr>
              <w:jc w:val="right"/>
              <w:ind w:right="960"/>
              <w:spacing w:after="0"/>
              <w:rPr>
                <w:sz w:val="20"/>
                <w:szCs w:val="20"/>
                <w:color w:val="auto"/>
              </w:rPr>
            </w:pPr>
            <w:r>
              <w:rPr>
                <w:rFonts w:ascii="Arial" w:cs="Arial" w:eastAsia="Arial" w:hAnsi="Arial"/>
                <w:sz w:val="18"/>
                <w:szCs w:val="18"/>
                <w:color w:val="auto"/>
              </w:rPr>
              <w:t>5,412(10)</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Husic, Director</w:t>
            </w:r>
          </w:p>
        </w:tc>
        <w:tc>
          <w:tcPr>
            <w:tcW w:w="33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2,272,047(11)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Joseph Pennacchio, Director</w:t>
            </w:r>
          </w:p>
        </w:tc>
        <w:tc>
          <w:tcPr>
            <w:tcW w:w="3320" w:type="dxa"/>
            <w:vAlign w:val="bottom"/>
            <w:gridSpan w:val="3"/>
          </w:tcPr>
          <w:p>
            <w:pPr>
              <w:jc w:val="right"/>
              <w:ind w:right="960"/>
              <w:spacing w:after="0"/>
              <w:rPr>
                <w:sz w:val="20"/>
                <w:szCs w:val="20"/>
                <w:color w:val="auto"/>
              </w:rPr>
            </w:pPr>
            <w:r>
              <w:rPr>
                <w:rFonts w:ascii="Arial" w:cs="Arial" w:eastAsia="Arial" w:hAnsi="Arial"/>
                <w:sz w:val="18"/>
                <w:szCs w:val="18"/>
                <w:color w:val="auto"/>
              </w:rPr>
              <w:t>133,682(12)</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33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159,408(13)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(11 persons)</w:t>
            </w:r>
          </w:p>
        </w:tc>
        <w:tc>
          <w:tcPr>
            <w:tcW w:w="3320" w:type="dxa"/>
            <w:vAlign w:val="bottom"/>
            <w:gridSpan w:val="3"/>
          </w:tcPr>
          <w:p>
            <w:pPr>
              <w:jc w:val="right"/>
              <w:ind w:right="960"/>
              <w:spacing w:after="0"/>
              <w:rPr>
                <w:sz w:val="20"/>
                <w:szCs w:val="20"/>
                <w:color w:val="auto"/>
              </w:rPr>
            </w:pPr>
            <w:r>
              <w:rPr>
                <w:rFonts w:ascii="Arial" w:cs="Arial" w:eastAsia="Arial" w:hAnsi="Arial"/>
                <w:sz w:val="18"/>
                <w:szCs w:val="18"/>
                <w:color w:val="auto"/>
              </w:rPr>
              <w:t>8,778,017(14)</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24.14%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60" w:right="200" w:hanging="552"/>
        <w:spacing w:after="0" w:line="261"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Stephen Gatsik, former President of the Casual Male division, is not included in the above table since his employment with the Company terminated on May 2, 2003.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 w:name="page6"/>
    <w:bookmarkEnd w:id="5"/>
    <w:p>
      <w:pPr>
        <w:ind w:left="552" w:hanging="552"/>
        <w:spacing w:after="0" w:line="283" w:lineRule="auto"/>
        <w:tabs>
          <w:tab w:leader="none" w:pos="552"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ownership is determined in accordance with the rules of the SEC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34,199,109 shares of Common Stock outstanding as of June 15, 2004, plus securities deemed to be outstanding with respect to individual stockholders pursuant to Rule 13d-3(d)(1) under the Exchange Act.</w:t>
      </w:r>
    </w:p>
    <w:p>
      <w:pPr>
        <w:spacing w:after="0" w:line="1" w:lineRule="exact"/>
        <w:rPr>
          <w:rFonts w:ascii="Arial" w:cs="Arial" w:eastAsia="Arial" w:hAnsi="Arial"/>
          <w:sz w:val="16"/>
          <w:szCs w:val="16"/>
          <w:color w:val="auto"/>
        </w:rPr>
      </w:pPr>
    </w:p>
    <w:p>
      <w:pPr>
        <w:ind w:left="552" w:right="320" w:hanging="552"/>
        <w:spacing w:after="0" w:line="250" w:lineRule="auto"/>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4,933,405 shares of Common Stock, which include 4,123,973 shares beneficially owned by JMI, of which Mr. Holtzman is the chairman, president and chief executive officer and indirectly, with his wife, the primary shareholder, and include 227,059 shares subject to warrants exercisable within 60 days, as well as 809,432 shares owned individually, which include 796,667 shares subject to stock options exercisable within 60 days.</w:t>
      </w:r>
    </w:p>
    <w:p>
      <w:pPr>
        <w:spacing w:after="0" w:line="1" w:lineRule="exact"/>
        <w:rPr>
          <w:rFonts w:ascii="Arial" w:cs="Arial" w:eastAsia="Arial" w:hAnsi="Arial"/>
          <w:sz w:val="18"/>
          <w:szCs w:val="18"/>
          <w:color w:val="auto"/>
        </w:rPr>
      </w:pPr>
    </w:p>
    <w:p>
      <w:pPr>
        <w:ind w:left="552" w:hanging="552"/>
        <w:spacing w:after="0"/>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525,000 shares subject to stock options exercisable within 60 days.</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260,000 shares subject to stock options exercisable within 60 days.</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16,667 shares subject to stock options exercisable within 60 days.</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35,669 shares subject to stock options exercisable within 60 days.</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20,000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552" w:hanging="552"/>
        <w:spacing w:after="0"/>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70,000 shares subject to stock options exercisable within 60 days.</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5,000 shares subject to stock options exercisable within 60 days.</w:t>
      </w:r>
    </w:p>
    <w:p>
      <w:pPr>
        <w:spacing w:after="0" w:line="9" w:lineRule="exact"/>
        <w:rPr>
          <w:rFonts w:ascii="Arial" w:cs="Arial" w:eastAsia="Arial" w:hAnsi="Arial"/>
          <w:sz w:val="18"/>
          <w:szCs w:val="18"/>
          <w:color w:val="auto"/>
        </w:rPr>
      </w:pPr>
    </w:p>
    <w:p>
      <w:pPr>
        <w:ind w:left="552" w:right="20" w:hanging="552"/>
        <w:spacing w:after="0" w:line="281" w:lineRule="auto"/>
        <w:tabs>
          <w:tab w:leader="none" w:pos="5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Amendment No. 4 to Schedule 13G jointly filed with the SEC on February 10, 2004 by (a) Husic Capital Management, a California limited partnership and registered investment advisor with discretionary authority to buy, sell and vote 2,230,284 shares of Common Stock for its investment advisory clients (the “Investment Advisor”), (b) Frank J. Husic and Co., a California corporation and sole general partner of the Investment Advisor (the “General Partner”), and (c) Mr. Husic, the sole shareholder of the General Partner. Such shares are indirectly beneficially owned by Mr. Husic, based on the relationship of Mr. Husic to the Investment Advisor and the General Partner, and Mr. Husic has sole voting and dispositive power with respect to such shares. Accordingly, such shares are included in this table. Also includes (i) 21,763 shares (which includes 20,000 shares subject to stock options exercisable within 60 days) owned individually by Mr. Husic and (ii) 20,000 shares subject to warrants exercisable within 60 days held by the Frank J. Husic Rollover IRA, for which Mr. Husic claims beneficial ownership.</w:t>
      </w:r>
    </w:p>
    <w:p>
      <w:pPr>
        <w:spacing w:after="0" w:line="5" w:lineRule="exact"/>
        <w:rPr>
          <w:rFonts w:ascii="Arial" w:cs="Arial" w:eastAsia="Arial" w:hAnsi="Arial"/>
          <w:sz w:val="16"/>
          <w:szCs w:val="16"/>
          <w:color w:val="auto"/>
        </w:rPr>
      </w:pPr>
    </w:p>
    <w:p>
      <w:pPr>
        <w:ind w:left="552" w:hanging="552"/>
        <w:spacing w:after="0"/>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70,000 shares subject to stock options exercisable within 60 days.</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100,000 shares subject to stock options exercisable within 60 days.</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2,170,062 shares subject to stock options and warrants exercisable within 60 days.</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Board of Directors, in accordance with the By-Laws of the Company, as amended (the “By-Laws”), has set the number of members of the Company’s Board of Directors at nine. There is currently one vacancy on the Board of Directors. At the Annual Meeting, eight nominees, each of whom currently serves as a member of the Board of Directors of the Company, are to be elected to serve on the Board until the 2005 Annual Meeting of Stockholders and until their respective successors have been duly elected and qualified. Unless a proxy shall specify that it is not to be voted for a nominee, it is intended that the shares represented by each duly executed and returned proxy will be voted in favor of the election as directors of Seymour Holtzman, David A. Levin, Alan S. Bernikow, Jesse Choper, James P. Frain, Frank J. Husic, Joseph Pennacchio and George T. Porter, Jr. The Board of Directors does not intend to nominate a ninth director at this time, although, in accordance with the Company’s By-Laws, a new director could be named at a later date following the Annual Meeting. Any such director would serve on the Board until the 2005 Annual Meeting and until his or her successor has been duly elected and qualified. Although management expects all nominees to accept nomination and to serve if elected, proxies will be voted for a substitute if a nominee is unable or unwilling to accept nomination or election. Cumulative voting is not permitted.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that you vote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eight individuals named below as directors of the Company.</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Set forth below is certain information regarding the Company’s nominees for directors, including information furnished by them as to their principal occupations and business experience for the past five years, certain directorships held by each director, their respective ages as of June 15, 2004 and the year in which each became a director of the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74"/>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Name(1)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540" w:type="dxa"/>
            <w:vAlign w:val="bottom"/>
          </w:tcPr>
          <w:p>
            <w:pPr>
              <w:spacing w:after="0"/>
              <w:rPr>
                <w:sz w:val="15"/>
                <w:szCs w:val="15"/>
                <w:color w:val="auto"/>
              </w:rPr>
            </w:pPr>
          </w:p>
        </w:tc>
        <w:tc>
          <w:tcPr>
            <w:tcW w:w="3160" w:type="dxa"/>
            <w:vAlign w:val="bottom"/>
            <w:gridSpan w:val="2"/>
          </w:tcPr>
          <w:p>
            <w:pPr>
              <w:ind w:left="80"/>
              <w:spacing w:after="0"/>
              <w:rPr>
                <w:sz w:val="20"/>
                <w:szCs w:val="20"/>
                <w:color w:val="auto"/>
              </w:rPr>
            </w:pPr>
            <w:r>
              <w:rPr>
                <w:rFonts w:ascii="Arial" w:cs="Arial" w:eastAsia="Arial" w:hAnsi="Arial"/>
                <w:sz w:val="14"/>
                <w:szCs w:val="14"/>
                <w:b w:val="1"/>
                <w:bCs w:val="1"/>
                <w:color w:val="auto"/>
              </w:rPr>
              <w:t>Position</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w:t>
            </w:r>
          </w:p>
        </w:tc>
        <w:tc>
          <w:tcPr>
            <w:tcW w:w="5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Chairman of the Board and Director(2)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President, Chief Executive Officer and Director</w:t>
            </w:r>
          </w:p>
        </w:tc>
        <w:tc>
          <w:tcPr>
            <w:tcW w:w="4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5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Director(3), (4)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Director(3), (4), (5)</w:t>
            </w:r>
          </w:p>
        </w:tc>
        <w:tc>
          <w:tcPr>
            <w:tcW w:w="48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Frain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5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Frank J. Husic</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62</w:t>
            </w: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Director(2)</w:t>
            </w:r>
          </w:p>
        </w:tc>
        <w:tc>
          <w:tcPr>
            <w:tcW w:w="480" w:type="dxa"/>
            <w:vAlign w:val="bottom"/>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Pennacchio</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w:t>
            </w:r>
          </w:p>
        </w:tc>
        <w:tc>
          <w:tcPr>
            <w:tcW w:w="5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Director(2), (3), (5)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57</w:t>
            </w: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Director(5)</w:t>
            </w:r>
          </w:p>
        </w:tc>
        <w:tc>
          <w:tcPr>
            <w:tcW w:w="48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Stephen M. Duff, a director of the Company since May 14, 2002, resigned his position effective February 26, 2004.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member of the Investor Relations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Frain was appointed a director of the Company on April 2, 2004.</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Seymour Holtzman </w:t>
      </w:r>
      <w:r>
        <w:rPr>
          <w:rFonts w:ascii="Arial" w:cs="Arial" w:eastAsia="Arial" w:hAnsi="Arial"/>
          <w:sz w:val="16"/>
          <w:szCs w:val="16"/>
          <w:color w:val="auto"/>
        </w:rPr>
        <w:t>has been a director of the Company since April 7, 2000 and Chairman of the Board since April 11, 2000. On May 25, 2001,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the Company hired Mr. Holtzman as an officer and an employee of the Company. Mr. Holtzman has been involved in the retail business for over 30 years. For many years, he has been the President and Chief Executive Officer of Jewelcor, Inc., a former New York Stock Exchange listed company that operated a chain of retail stores. From 1986 to 1988, Mr. Holtzman was Chairman of the Board and Chief Executive Officer of Gruen Marketing Corporation, an American Stock Exchange listed company involved in the nationwide distribution of watches. For at least the last five years, Mr. Holtzman has served as Chairman and Chief Executive Officer of each of Jewelcor Management, Inc., a company primarily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jc w:val="both"/>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involved in investment and management services; C.D. Peacock, Inc., a Chicago, Illinois retail jewelry establishment; and S.A. Peck &amp; Company, a retail and mail order jewelry company based in Chicago, Illinois. Mr. Holtzman is currently Chairman of the Board of MM Companies, Inc. (OTCBB: “MMCO”). Mr. Holtzman is a well-known shareholder activist who specializes in the banking industry and the retail industry.</w:t>
      </w:r>
    </w:p>
    <w:p>
      <w:pPr>
        <w:spacing w:after="0" w:line="93"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President and Chief Executive Officer of the Company since April 10, 2000 and a director of the Company since April 11, 2000.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1999 to 2000, he served as 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more than 30 years.</w:t>
      </w:r>
    </w:p>
    <w:p>
      <w:pPr>
        <w:spacing w:after="0" w:line="9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of the Company since June 29, 2003. From 1998 until his retirement in May 2003, Mr. Bernikow was the Deputy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at Deloitte &amp; Touche LLP where he was responsible for assisting the firm on special projects such as firm mergers and acquisitions and partner affairs and litigation matters. Mr. Bernikow joined Touche Ross, the predecessor firm of Deloitte &amp; Touche LLP, in 1977, prior to which Mr. Bernikow was the National Administrative Partner in Charge for the accounting firm of J.K. Lasser &amp; Company. Mr. Bernikow is currently a member of the board of directors of Revlon, Inc. and Revlon Consumer Products Corporation and is a member of the audit committee of Revlon, Inc., and also serves as a member of the board of directors of Mack-Cali Realty Corp. These companies are the only other public companies that Mr. Bernikow serves on the board of directors or any committee of the board of directors. Mr. Bernikow is also a member of the board of directors and chairman of the audit committee of the FOJP Service Corporation and of the Jewish Communal Fund; a member of the board of directors and executive committee of the United Jewish Communities—The Federations of North America; chairman of the board of directors of The Heart Institute of Staten Island; and a member of the board of directors of Saint Vincent Catholic Medical Centers, where he also serves as a member of the finance committee and as chairman of the audit &amp; compliance committee. Mr. Bernikow has a B.B.A. degree from Baruch College and is a member of the American Institute of Certified Public Accountants and the New York State Society of Certified Public Accountants.</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of the Company since October 8, 1999. Mr. Choper is the Earl Warren Professor of Public Law at the University of California at</w:t>
      </w:r>
      <w:r>
        <w:rPr>
          <w:rFonts w:ascii="Arial" w:cs="Arial" w:eastAsia="Arial" w:hAnsi="Arial"/>
          <w:sz w:val="18"/>
          <w:szCs w:val="18"/>
          <w:i w:val="1"/>
          <w:iCs w:val="1"/>
          <w:color w:val="auto"/>
        </w:rPr>
        <w:t xml:space="preserve"> </w:t>
      </w:r>
      <w:r>
        <w:rPr>
          <w:rFonts w:ascii="Arial" w:cs="Arial" w:eastAsia="Arial" w:hAnsi="Arial"/>
          <w:sz w:val="18"/>
          <w:szCs w:val="18"/>
          <w:color w:val="auto"/>
        </w:rPr>
        <w:t>Berkeley School of Law, where he has taught since 1965. From 1960 to 1961, Professor Choper was a law clerk for Supreme Court Chief Justice Earl Warren. Mr. Choper is also on the Board of Directors of MM Companies, Inc.</w:t>
      </w:r>
    </w:p>
    <w:p>
      <w:pPr>
        <w:spacing w:after="0" w:line="12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James P. Frain </w:t>
      </w:r>
      <w:r>
        <w:rPr>
          <w:rFonts w:ascii="Arial" w:cs="Arial" w:eastAsia="Arial" w:hAnsi="Arial"/>
          <w:sz w:val="16"/>
          <w:szCs w:val="16"/>
          <w:color w:val="auto"/>
        </w:rPr>
        <w:t>was appointed a director of the Company on April 2, 2004. Since June 1999, Mr. Frain has been with Chico’s, a specialty retailer of women’s</w:t>
      </w:r>
      <w:r>
        <w:rPr>
          <w:rFonts w:ascii="Arial" w:cs="Arial" w:eastAsia="Arial" w:hAnsi="Arial"/>
          <w:sz w:val="16"/>
          <w:szCs w:val="16"/>
          <w:i w:val="1"/>
          <w:iCs w:val="1"/>
          <w:color w:val="auto"/>
        </w:rPr>
        <w:t xml:space="preserve"> </w:t>
      </w:r>
      <w:r>
        <w:rPr>
          <w:rFonts w:ascii="Arial" w:cs="Arial" w:eastAsia="Arial" w:hAnsi="Arial"/>
          <w:sz w:val="16"/>
          <w:szCs w:val="16"/>
          <w:color w:val="auto"/>
        </w:rPr>
        <w:t>apparel. Mr. Frain started with Chico’s as the Marketing Director and most recently Mr. Frain was promoted to Senior Vice President of Marketing for Chico’s.</w:t>
      </w:r>
    </w:p>
    <w:p>
      <w:pPr>
        <w:spacing w:after="0" w:line="72"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i w:val="1"/>
          <w:iCs w:val="1"/>
          <w:color w:val="auto"/>
        </w:rPr>
        <w:t xml:space="preserve">Frank J. Husic </w:t>
      </w:r>
      <w:r>
        <w:rPr>
          <w:rFonts w:ascii="Arial" w:cs="Arial" w:eastAsia="Arial" w:hAnsi="Arial"/>
          <w:sz w:val="15"/>
          <w:szCs w:val="15"/>
          <w:color w:val="auto"/>
        </w:rPr>
        <w:t>has been a director of the Company since June 29, 2003. Mr. Husic is the Managing Partner and Chief Investment Officer of Husic Capital</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a company he formed in June 1986. From 1978 to 1986, Mr. Husic was Senior Vice President and Director of Alliance Capital Management.</w:t>
      </w:r>
    </w:p>
    <w:p>
      <w:pPr>
        <w:spacing w:after="0" w:line="4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Joseph Pennacchio </w:t>
      </w:r>
      <w:r>
        <w:rPr>
          <w:rFonts w:ascii="Arial" w:cs="Arial" w:eastAsia="Arial" w:hAnsi="Arial"/>
          <w:sz w:val="16"/>
          <w:szCs w:val="16"/>
          <w:color w:val="auto"/>
        </w:rPr>
        <w:t>has been a director of the Company since October 8, 1999. Mr. Pennacchio has been Chief Executive Officer of Aurafin LLC, a privately held</w:t>
      </w:r>
      <w:r>
        <w:rPr>
          <w:rFonts w:ascii="Arial" w:cs="Arial" w:eastAsia="Arial" w:hAnsi="Arial"/>
          <w:sz w:val="16"/>
          <w:szCs w:val="16"/>
          <w:i w:val="1"/>
          <w:iCs w:val="1"/>
          <w:color w:val="auto"/>
        </w:rPr>
        <w:t xml:space="preserve"> </w:t>
      </w:r>
      <w:r>
        <w:rPr>
          <w:rFonts w:ascii="Arial" w:cs="Arial" w:eastAsia="Arial" w:hAnsi="Arial"/>
          <w:sz w:val="16"/>
          <w:szCs w:val="16"/>
          <w:color w:val="auto"/>
        </w:rPr>
        <w:t>jewelry manufacturer and wholesaler, since 1997. From May 1994 to May 1996, Mr. Pennacchio was President of Jan Bell Marketing, a $250 million jewelry retailer, which is listed on the American Stock Exchange. Mr. Pennacchio was also President of Jordan Marsh Department Stores from 1992 to 1994.</w:t>
      </w:r>
    </w:p>
    <w:p>
      <w:pPr>
        <w:spacing w:after="0" w:line="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of the Company since October 28, 1999. Mr. Porter was President of Levi’s USA for Levi Strauss &amp; Co. from 1994 to</w:t>
      </w:r>
      <w:r>
        <w:rPr>
          <w:rFonts w:ascii="Arial" w:cs="Arial" w:eastAsia="Arial" w:hAnsi="Arial"/>
          <w:sz w:val="18"/>
          <w:szCs w:val="18"/>
          <w:i w:val="1"/>
          <w:iCs w:val="1"/>
          <w:color w:val="auto"/>
        </w:rPr>
        <w:t xml:space="preserve"> </w:t>
      </w: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to 1998.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 w:name="page9"/>
    <w:bookmarkEnd w:id="8"/>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Non-Director Executive Officers</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Dennis R. Hernreich</w:t>
      </w:r>
      <w:r>
        <w:rPr>
          <w:rFonts w:ascii="Arial" w:cs="Arial" w:eastAsia="Arial" w:hAnsi="Arial"/>
          <w:sz w:val="16"/>
          <w:szCs w:val="16"/>
          <w:color w:val="auto"/>
        </w:rPr>
        <w:t>, 48, has been the Executive Vice President, Chief Operating Officer and Chief Financial Officer of the Company since September 2002.</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that, Mr. Hernreich served as the Senior Vice President, Chief Financial Officer and Treasurer upon joining the Company on September 5, 2000. Prior to joining the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0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Linda B. Carlo</w:t>
      </w:r>
      <w:r>
        <w:rPr>
          <w:rFonts w:ascii="Arial" w:cs="Arial" w:eastAsia="Arial" w:hAnsi="Arial"/>
          <w:sz w:val="16"/>
          <w:szCs w:val="16"/>
          <w:color w:val="auto"/>
        </w:rPr>
        <w:t>, 57, has been the Executive Vice President, General Merchandise Manager of the Casual Male division since August 2003. Prior to joining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2002 to 2003, Ms. Carlo served as the General Manager for the Jessica London Catalog, a division of Chadwick of Boston/Brylane. Prior to that, Ms. Carlo was the Vice President, Divisional Merchandise Manager at Lane Bryant, a division of The Limited, Inc. from 1998 to 2002.</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Joseph H. Cornely III</w:t>
      </w:r>
      <w:r>
        <w:rPr>
          <w:rFonts w:ascii="Arial" w:cs="Arial" w:eastAsia="Arial" w:hAnsi="Arial"/>
          <w:sz w:val="18"/>
          <w:szCs w:val="18"/>
          <w:color w:val="auto"/>
        </w:rPr>
        <w:t>, 52, is currently the Company’s Executive Vice President of Store Development. Mr. Cornely began his career with Casual Male Corp. in</w:t>
      </w:r>
      <w:r>
        <w:rPr>
          <w:rFonts w:ascii="Arial" w:cs="Arial" w:eastAsia="Arial" w:hAnsi="Arial"/>
          <w:sz w:val="18"/>
          <w:szCs w:val="18"/>
          <w:i w:val="1"/>
          <w:iCs w:val="1"/>
          <w:color w:val="auto"/>
        </w:rPr>
        <w:t xml:space="preserve"> </w:t>
      </w:r>
      <w:r>
        <w:rPr>
          <w:rFonts w:ascii="Arial" w:cs="Arial" w:eastAsia="Arial" w:hAnsi="Arial"/>
          <w:sz w:val="18"/>
          <w:szCs w:val="18"/>
          <w:color w:val="auto"/>
        </w:rPr>
        <w:t>1972 and joined the Company in May 2002 as part of the Company’s acquisition of Casual Male.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serve at the discretion of the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Company’s directors and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Board of Directors met 10 times during the Company’s fiscal year ended January 31, 2004 (“fiscal 2003”). Each of Messrs. Holtzman, Bernikow, Choper, Husic, Levin and Pennacchio attended at least 75 percent of the aggregate of the total meetings of the Board and the total meetings of the committees of the Board on which such director served. Due to a series of special meetings of the Board of Directors held in November, 2003, which were held while Mr. Porter was out of the country, Mr. Porter attended less than 75 percent of the aggregate of the total meetings of the Board and the total meetings of the committees on which he served. Stephen Duff, who resigned from the Board on February 26, 2004, attended at least 75 percent of the aggregate of the total meetings of the Board and the total meetings of the committees on which he served. Because Mr. Frain was appointed a director of the Company after January 31, 2004, he did not attend any Board or committee meetings in fiscal 2003.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jc w:val="both"/>
        <w:ind w:right="740"/>
        <w:spacing w:after="0" w:line="306" w:lineRule="auto"/>
        <w:rPr>
          <w:sz w:val="20"/>
          <w:szCs w:val="20"/>
          <w:color w:val="auto"/>
        </w:rPr>
      </w:pPr>
      <w:r>
        <w:rPr>
          <w:rFonts w:ascii="Arial" w:cs="Arial" w:eastAsia="Arial" w:hAnsi="Arial"/>
          <w:sz w:val="16"/>
          <w:szCs w:val="16"/>
          <w:color w:val="auto"/>
        </w:rPr>
        <w:t>The Board of Directors has four standing committees: the Nominating and Corporate Governance Committee, the Audit Committee, the Compensation Committee and the Investor Relations Committee. The Nominating and Corporate Governance Committee, the Audit Committee and the Compensation Committee are each comprised of directors who are “independent” under the rules of the Nasdaq National Market (“Nasdaq”).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2003, the Company established a Nominating Committee. As a result of the changing regulatory environment, including changes to the rules of the SEC and Nasdaq adopted in response to the Sarbanes-Oxley Act of 2002, in April 2004, the Board of Directors redefined the committee as the Nominating and Corporate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Governance Committee. The Nominating and Corporate Governance Committee has a written charter, which can be found under “Corporate Governance” on the Investor Relations page of the Company’s website at </w:t>
      </w:r>
      <w:r>
        <w:rPr>
          <w:rFonts w:ascii="Arial" w:cs="Arial" w:eastAsia="Arial" w:hAnsi="Arial"/>
          <w:sz w:val="16"/>
          <w:szCs w:val="16"/>
          <w:i w:val="1"/>
          <w:iCs w:val="1"/>
          <w:color w:val="auto"/>
        </w:rPr>
        <w:t>www.casualmale.com/investor</w:t>
      </w:r>
      <w:r>
        <w:rPr>
          <w:rFonts w:ascii="Arial" w:cs="Arial" w:eastAsia="Arial" w:hAnsi="Arial"/>
          <w:sz w:val="16"/>
          <w:szCs w:val="16"/>
          <w:color w:val="auto"/>
        </w:rPr>
        <w:t>. The Committee was established to perform functions related to governance of the Company, including, but not limited to, planning for the succession of the CEO and such other officers of the Company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the Company. The present members of the Nominating and Corporate Governance Committee are Messrs. Choper and Bernikow, both of whom are “independent” under the rules of Nasdaq.</w:t>
      </w:r>
    </w:p>
    <w:p>
      <w:pPr>
        <w:spacing w:after="0" w:line="10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60" w:hanging="326"/>
        <w:spacing w:after="0" w:line="325"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nominee should have demonstrated business acumen, experience and ability to exercise sound judgments in matters that relate to the current and long-term objectives of the Company and should be willing and able to contribute positively to the decision-making process of the Company.</w:t>
      </w:r>
    </w:p>
    <w:p>
      <w:pPr>
        <w:spacing w:after="0" w:line="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the Company and its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25"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nominee should have the interest and ability to understand the sometimes conflicting interests of the various constituencies of the Company, which include stockholders, employees, customers, governmental units, creditors and the general public, and to act in the interests of all stakeholders.</w:t>
      </w:r>
    </w:p>
    <w:p>
      <w:pPr>
        <w:spacing w:after="0" w:line="1"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the Company’s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160" w:firstLine="443"/>
        <w:spacing w:after="0" w:line="325" w:lineRule="auto"/>
        <w:tabs>
          <w:tab w:leader="none" w:pos="107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of the Company at the Company’s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00" w:firstLine="443"/>
        <w:spacing w:after="0" w:line="325" w:lineRule="auto"/>
        <w:tabs>
          <w:tab w:leader="none" w:pos="107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Company not less than 120 calendar days prior to the date on which the Company’s proxy statement was released to stockholders in connection with the previous year’s annual meeting.</w:t>
      </w:r>
    </w:p>
    <w:p>
      <w:pPr>
        <w:spacing w:after="0" w:line="1" w:lineRule="exact"/>
        <w:rPr>
          <w:rFonts w:ascii="Arial" w:cs="Arial" w:eastAsia="Arial" w:hAnsi="Arial"/>
          <w:sz w:val="16"/>
          <w:szCs w:val="16"/>
          <w:color w:val="auto"/>
        </w:rPr>
      </w:pPr>
    </w:p>
    <w:p>
      <w:pPr>
        <w:ind w:left="1080" w:hanging="177"/>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80" w:firstLine="421"/>
        <w:spacing w:after="0" w:line="268" w:lineRule="auto"/>
        <w:tabs>
          <w:tab w:leader="none" w:pos="15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the Company’s securities, or if the stockholder is not a record holder, evidence of ownership in accordance with Rule 14a-8(b)(2) of the Exchange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ind w:left="920" w:right="600" w:firstLine="42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sz w:val="20"/>
          <w:szCs w:val="20"/>
          <w:color w:val="auto"/>
        </w:rPr>
      </w:pPr>
    </w:p>
    <w:p>
      <w:pPr>
        <w:ind w:left="920" w:right="20" w:firstLine="420"/>
        <w:spacing w:after="0" w:line="268" w:lineRule="auto"/>
        <w:rPr>
          <w:sz w:val="20"/>
          <w:szCs w:val="20"/>
          <w:color w:val="auto"/>
        </w:rPr>
      </w:pPr>
      <w:r>
        <w:rPr>
          <w:rFonts w:ascii="Arial" w:cs="Arial" w:eastAsia="Arial" w:hAnsi="Arial"/>
          <w:sz w:val="18"/>
          <w:szCs w:val="18"/>
          <w:color w:val="auto"/>
        </w:rPr>
        <w:t>d. A description of the qualifications and background of the proposed director candidate which addresses the minimum qualifications and other criteria for Board membership approved by the Board from time to time.</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 A description of all arrangements or understandings between the stockholder and the proposed director candidate.</w:t>
      </w:r>
    </w:p>
    <w:p>
      <w:pPr>
        <w:spacing w:after="0" w:line="77" w:lineRule="exact"/>
        <w:rPr>
          <w:sz w:val="20"/>
          <w:szCs w:val="20"/>
          <w:color w:val="auto"/>
        </w:rPr>
      </w:pPr>
    </w:p>
    <w:p>
      <w:pPr>
        <w:ind w:left="920" w:right="740" w:firstLine="420"/>
        <w:spacing w:after="0" w:line="268" w:lineRule="auto"/>
        <w:rPr>
          <w:sz w:val="20"/>
          <w:szCs w:val="20"/>
          <w:color w:val="auto"/>
        </w:rPr>
      </w:pPr>
      <w:r>
        <w:rPr>
          <w:rFonts w:ascii="Arial" w:cs="Arial" w:eastAsia="Arial" w:hAnsi="Arial"/>
          <w:sz w:val="18"/>
          <w:szCs w:val="18"/>
          <w:color w:val="auto"/>
        </w:rPr>
        <w:t>f. The consent of the proposed director candidate (i) to be named in the proxy statement relating to the Company’s annual meeting of stockholders and (ii) to serve as a director if elected at such annual meeting.</w:t>
      </w:r>
    </w:p>
    <w:p>
      <w:pPr>
        <w:spacing w:after="0" w:line="37" w:lineRule="exact"/>
        <w:rPr>
          <w:sz w:val="20"/>
          <w:szCs w:val="20"/>
          <w:color w:val="auto"/>
        </w:rPr>
      </w:pPr>
    </w:p>
    <w:p>
      <w:pPr>
        <w:ind w:left="920" w:right="300" w:firstLine="420"/>
        <w:spacing w:after="0" w:line="268" w:lineRule="auto"/>
        <w:rPr>
          <w:sz w:val="20"/>
          <w:szCs w:val="20"/>
          <w:color w:val="auto"/>
        </w:rPr>
      </w:pPr>
      <w:r>
        <w:rPr>
          <w:rFonts w:ascii="Arial" w:cs="Arial" w:eastAsia="Arial" w:hAnsi="Arial"/>
          <w:sz w:val="18"/>
          <w:szCs w:val="18"/>
          <w:color w:val="auto"/>
        </w:rPr>
        <w:t>g. 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the Corporation is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has a separately-designated standing Audit Committee established in accordance with section 3(a)(58)(A) of the Exchange Act. The Audit Committee is currently comprised of three directors, Messrs. Choper, Bernikow and Pennacchio, each of whom is “independent,” as independence for audit committee members is defined under the rules of Nasdaq. The Board has determined that Mr. Bernikow is an “audit committee financial expert” under the rules of the SEC.</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Audit Committee operates under a written charter adopted by the Board of Directors and the Audit Committee. This written charter was revised on April 28, 2004 to help ensure compliance with the Sarbanes-Oxley Act of 2002 and related rule changes by the SEC and Nasdaq. A copy of the charter of the Audit Committee is included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purpose of the Audit Committee is to (i) assist the Board of Directors in fulfilling its oversight responsibilities to the shareholders, potential shareholders and the investment community; (ii) oversee the accounting and financial reporting processes of the Company and the audits of the financial statements of the Company; (iii) promote and further the integrity of the Company’s financial statements and oversee the qualifications, independence and performance of the Company’s independent auditors; and (iv) provide the Board of Directors, the independent auditors and the internal auditors direct, unfiltered access to each other on a regular basis. The Audit Committee meets at least quarterly and as often as it deems necessary in order to perform its responsibilities. During fiscal 2003, the Audit Committee met five times.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ind w:right="118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Compensation Committee meets periodically to review executive and employee compensation and benefits (including stock-based compensation awards under the Company’s 1992 Stock Incentive Plan), supervises benefit plans and makes recommendations regarding compensation, benefits and benefit plans to the Board of Directors. The Compensation Committee met seven times during fiscal 2003. The present members of the Compensation Committee are Messrs. Pennacchio, Choper and Porter, each of whom is “independent” under the rules of Nasdaq.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Relations Committee</w:t>
      </w:r>
    </w:p>
    <w:p>
      <w:pPr>
        <w:spacing w:after="0" w:line="7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Investor Relations Committee was formed by the Board of Directors on July 1, 2003 and consists of three members, Messrs. Holtzman, Husic and Pennacchio. The purpose of the Investor Relations Committee is to assist the Company in strengthening its presence among the investment community and to provide general guidance on investor related issues. The Investors Relations Committee did not meet during fiscal 2003.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fiscal 2003, non-employee directors of the Company were paid $3,000 plus expenses for each meeting of the Board of Directors which they attended. During fiscal 2003, non-employee directors of the Company were also paid $3,000 plus expenses for meetings of committees of the Board which they attended. Non-employee directors received $500 for certain telephonic board or committee meetings. In addition, the Chairman of the Audit Committee receives an additional $10,000 on an annual basis for serving in such capacity.</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fiscal 2003, non-employee directors of the Company were also eligible to participate in the Company’s 1992 Stock Incentive Plan, as amended (the “1992 Plan”). Pursuant to the 1992 Plan, each non-employee director of the Company is entitled to receive a stock option to purchase 15,000 shares of Common Stock upon such director’s election and a stock option to purchase 15,000 shares of Common Stock upon such director’s re-election. Such stock options become exercisable in three equal annual installments commencing with the date of grant. All options are granted with a term of ten years.</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1992 Plan provides that non-employee directors of the Company may elect to receive all or a portion of their directors’ fees, on a current or deferred basis, in shares of Common Stock that are free of any restrictions under the 1992 Plan. A director wishing to receive Common Stock in lieu of cash would enter into an irrevocable agreement with the Company in advance of the beginning of a calendar year. During fiscal 2003, all non-employee directors elected to receive their directors’ fees in Common Stock.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b w:val="1"/>
          <w:bCs w:val="1"/>
          <w:color w:val="auto"/>
        </w:rPr>
        <w:t>Summary Compensation Table</w:t>
      </w:r>
      <w:r>
        <w:rPr>
          <w:rFonts w:ascii="Arial" w:cs="Arial" w:eastAsia="Arial" w:hAnsi="Arial"/>
          <w:sz w:val="16"/>
          <w:szCs w:val="16"/>
          <w:color w:val="auto"/>
        </w:rPr>
        <w:t>. The following Summary Compensation Table sets forth certain information regarding compensation paid or accrued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respect to the Chairman of the Board, the Chief Executive Officer, the Chief Financial Officer, the General Merchandise Manager of the Casual Male division, the Executive Vice President of Store Development and the former President of the Company’s Casual Male division (collectively, the “Named Executive Officers”), for fiscal 2003 and for the fiscal years ended February 1, 2003 (“fiscal 2002”) and February 2, 2002 (“fiscal 2001”).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Annual Compensation</w:t>
            </w:r>
          </w:p>
        </w:tc>
        <w:tc>
          <w:tcPr>
            <w:tcW w:w="52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Long-Term</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0" w:type="dxa"/>
            <w:vAlign w:val="bottom"/>
            <w:gridSpan w:val="4"/>
          </w:tcPr>
          <w:p>
            <w:pPr>
              <w:ind w:left="520"/>
              <w:spacing w:after="0" w:line="135" w:lineRule="exact"/>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Fiscal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74"/>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 (at January 31, 2004)</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Salary</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Bonus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Board(1)</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5"/>
        </w:trPr>
        <w:tc>
          <w:tcPr>
            <w:tcW w:w="552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2003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513,846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62,500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23"/>
                <w:szCs w:val="23"/>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2002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468,596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270,000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16,031(3)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2001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382,374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14,485(4)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7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385,385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Chief Financial Officer, Chief Operating</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323,885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8,020(3)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 and Treasurer</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232,398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6,828(4)</w:t>
            </w:r>
          </w:p>
        </w:tc>
        <w:tc>
          <w:tcPr>
            <w:tcW w:w="0" w:type="dxa"/>
            <w:vAlign w:val="bottom"/>
          </w:tcPr>
          <w:p>
            <w:pPr>
              <w:spacing w:after="0"/>
              <w:rPr>
                <w:sz w:val="1"/>
                <w:szCs w:val="1"/>
                <w:color w:val="auto"/>
              </w:rPr>
            </w:pPr>
          </w:p>
        </w:tc>
      </w:tr>
      <w:tr>
        <w:trPr>
          <w:trHeight w:val="275"/>
        </w:trPr>
        <w:tc>
          <w:tcPr>
            <w:tcW w:w="5520" w:type="dxa"/>
            <w:vAlign w:val="bottom"/>
            <w:gridSpan w:val="3"/>
          </w:tcPr>
          <w:p>
            <w:pPr>
              <w:spacing w:after="0"/>
              <w:rPr>
                <w:sz w:val="20"/>
                <w:szCs w:val="20"/>
                <w:color w:val="auto"/>
              </w:rPr>
            </w:pPr>
            <w:r>
              <w:rPr>
                <w:rFonts w:ascii="Arial" w:cs="Arial" w:eastAsia="Arial" w:hAnsi="Arial"/>
                <w:sz w:val="18"/>
                <w:szCs w:val="18"/>
                <w:color w:val="auto"/>
              </w:rPr>
              <w:t>Linda B. Carlo(5)</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2003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133,846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23"/>
                <w:szCs w:val="23"/>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General Merchandise Manager of the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Casual Male division</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 Cornely III(6)</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262,019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Store Development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200,230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5,000(3)</w:t>
            </w:r>
          </w:p>
        </w:tc>
        <w:tc>
          <w:tcPr>
            <w:tcW w:w="0" w:type="dxa"/>
            <w:vAlign w:val="bottom"/>
          </w:tcPr>
          <w:p>
            <w:pPr>
              <w:spacing w:after="0"/>
              <w:rPr>
                <w:sz w:val="1"/>
                <w:szCs w:val="1"/>
                <w:color w:val="auto"/>
              </w:rPr>
            </w:pPr>
          </w:p>
        </w:tc>
      </w:tr>
      <w:tr>
        <w:trPr>
          <w:trHeight w:val="275"/>
        </w:trPr>
        <w:tc>
          <w:tcPr>
            <w:tcW w:w="5520" w:type="dxa"/>
            <w:vAlign w:val="bottom"/>
            <w:gridSpan w:val="3"/>
          </w:tcPr>
          <w:p>
            <w:pPr>
              <w:spacing w:after="0"/>
              <w:rPr>
                <w:sz w:val="20"/>
                <w:szCs w:val="20"/>
                <w:color w:val="auto"/>
              </w:rPr>
            </w:pPr>
            <w:r>
              <w:rPr>
                <w:rFonts w:ascii="Arial" w:cs="Arial" w:eastAsia="Arial" w:hAnsi="Arial"/>
                <w:sz w:val="18"/>
                <w:szCs w:val="18"/>
                <w:color w:val="auto"/>
              </w:rPr>
              <w:t>Stephen Gatsik(7)</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2003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140,448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70,000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141,827(2)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Former President of the Casual Male division</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2002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186,154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70,000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right="12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May 2001, Mr. Holtzman, who was serving as the Company’s non-employee Chairman of the Board, was hired by the Company as an executive officer of the Company. The principal portion of Mr. Holtzman’s compensation as an officer of the Company is in the form of Company options. See “Employment Agreements” below for more discussion.</w:t>
      </w:r>
    </w:p>
    <w:p>
      <w:pPr>
        <w:ind w:left="460" w:right="1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Compensation with respect to fiscal 2003 represents: (i) payments by the Company of insurance premiums for term life insurance for the benefit of the executive officers (Mr. Levin $2,571 and Ms. Carlo $458); (ii) matching contributions made by the Company for the benefit of each of the following executive officers to the Company’s retirement plan (the “401(k) Plan”) established pursuant to Section 401(k) of the Internal Revenue Code of 1986, as amended (Mr. Levin $6,000, Mr. Hernreich $6,000 and Mr. Cornely $6,000); (iii) car allowances (Mr. Levin $9,600, Mr. Hernreich $8,400 and Ms. Carlo $2,077); and (iv) severance payments (Mr. Gatsik $141,827).</w:t>
      </w:r>
    </w:p>
    <w:p>
      <w:pPr>
        <w:spacing w:after="0" w:line="3"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Compensation with respect to fiscal 2002 represents: (i) payments by the Company of insurance premiums for term life insurance for the benefit of the executive officers (Mr. Holtzman $34, Mr. Levin $3,245, Mr. Hernreich $466 and Mr. Gatsik $870); (ii) matching contributions made by the Company for the benefit of each of the following executive officers to the 401(k) Plan (Mr. Levin $4,426, Mr. Hernreich $5,131, Mr. Cornely $5,500 and Mr. Gatsik $5,500); and (iii) car allowances (Mr. Levin $8,360 and Mr. Hernreich $2,423).</w:t>
      </w:r>
    </w:p>
    <w:p>
      <w:pPr>
        <w:spacing w:after="0" w:line="1"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Compensation with respect to fiscal 2001 represents: (i) payments by the Company of insurance premiums for term life insurance for the benefit of the executive officers (Mr. Levin $3,131, Mr. Hernreich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ind w:left="46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$411 and Mr. Batts $124); (ii) matching contributions made by the Company for the benefit of each of the following executive officers to the 401(k) Plan (Mr. Levin $4,482 and Mr. Hernreich $469); (iii) car allowances (Mr. Levin $6,872 and Mr. Hernreich $2,771); and (iv) reimbursement for relocation costs (Mr. Hernreich $3,177).</w:t>
      </w:r>
    </w:p>
    <w:p>
      <w:pPr>
        <w:spacing w:after="0" w:line="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Ms. Carlo joined the Company is August 2003 as the Executive Vice President, General Merchandise Manager of the Casual Male division.</w:t>
      </w:r>
    </w:p>
    <w:p>
      <w:pPr>
        <w:spacing w:after="0" w:line="38" w:lineRule="exact"/>
        <w:rPr>
          <w:rFonts w:ascii="Arial" w:cs="Arial" w:eastAsia="Arial" w:hAnsi="Arial"/>
          <w:sz w:val="16"/>
          <w:szCs w:val="16"/>
          <w:color w:val="auto"/>
        </w:rPr>
      </w:pPr>
    </w:p>
    <w:p>
      <w:pPr>
        <w:jc w:val="both"/>
        <w:ind w:left="460" w:right="1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Cornely was promoted to Executive Vice President, Store Development and therefore became an executive officer of the Company on April 26, 2003. Mr. Cornely joined the Company on May 15, 2002 as a result of the Company’s Casual Male acquisition. Compensation paid by Casual Male Corp. to Mr. Cornely prior to May 15, 2002 is not included in this schedule.</w:t>
      </w:r>
    </w:p>
    <w:p>
      <w:pPr>
        <w:spacing w:after="0" w:line="1" w:lineRule="exact"/>
        <w:rPr>
          <w:rFonts w:ascii="Arial" w:cs="Arial" w:eastAsia="Arial" w:hAnsi="Arial"/>
          <w:sz w:val="18"/>
          <w:szCs w:val="18"/>
          <w:color w:val="auto"/>
        </w:rPr>
      </w:pPr>
    </w:p>
    <w:p>
      <w:pPr>
        <w:jc w:val="both"/>
        <w:ind w:left="460" w:right="26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Gatsik joined the Company on May 15, 2002 as a result of the Company’s Casual Male acquisition and served as an employee of the Company until May 2, 2003, when his employment with the Company terminated. Compensation paid by Casual Male Corp. to Mr. Gatsik prior to May 15, 2002 is not included in this schedule.</w:t>
      </w:r>
    </w:p>
    <w:p>
      <w:pPr>
        <w:spacing w:after="0" w:line="125"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Option Grants Table</w:t>
      </w:r>
      <w:r>
        <w:rPr>
          <w:rFonts w:ascii="Arial" w:cs="Arial" w:eastAsia="Arial" w:hAnsi="Arial"/>
          <w:sz w:val="18"/>
          <w:szCs w:val="18"/>
          <w:color w:val="auto"/>
        </w:rPr>
        <w:t>. The following Option Grants table sets forth certain information as of January 31, 2004 regarding stock options granted during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2003 by the Company to the Named Executive Officers.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Fiscal 2003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gridSpan w:val="4"/>
          </w:tcPr>
          <w:p>
            <w:pPr>
              <w:ind w:left="320"/>
              <w:spacing w:after="0"/>
              <w:rPr>
                <w:sz w:val="20"/>
                <w:szCs w:val="20"/>
                <w:color w:val="auto"/>
              </w:rPr>
            </w:pPr>
            <w:r>
              <w:rPr>
                <w:rFonts w:ascii="Arial" w:cs="Arial" w:eastAsia="Arial" w:hAnsi="Arial"/>
                <w:sz w:val="14"/>
                <w:szCs w:val="14"/>
                <w:b w:val="1"/>
                <w:bCs w:val="1"/>
                <w:color w:val="auto"/>
                <w:w w:val="90"/>
              </w:rPr>
              <w:t>Individual Grants</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6"/>
              </w:rPr>
              <w:t>Potential Realizable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gridSpan w:val="5"/>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Value of Assumed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8"/>
                <w:szCs w:val="8"/>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4"/>
              </w:rPr>
              <w:t>Percent of</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54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left="504"/>
              <w:spacing w:after="0" w:line="149" w:lineRule="exact"/>
              <w:rPr>
                <w:sz w:val="20"/>
                <w:szCs w:val="20"/>
                <w:color w:val="auto"/>
              </w:rPr>
            </w:pPr>
            <w:r>
              <w:rPr>
                <w:rFonts w:ascii="Arial" w:cs="Arial" w:eastAsia="Arial" w:hAnsi="Arial"/>
                <w:sz w:val="14"/>
                <w:szCs w:val="14"/>
                <w:b w:val="1"/>
                <w:bCs w:val="1"/>
                <w:color w:val="auto"/>
                <w:w w:val="86"/>
              </w:rPr>
              <w:t>Stock Price</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54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Appreciation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54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Granted to</w:t>
            </w:r>
          </w:p>
        </w:tc>
        <w:tc>
          <w:tcPr>
            <w:tcW w:w="26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Option Term(2)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1040" w:type="dxa"/>
            <w:vAlign w:val="bottom"/>
            <w:gridSpan w:val="2"/>
          </w:tcPr>
          <w:p>
            <w:pPr>
              <w:jc w:val="center"/>
              <w:ind w:right="420"/>
              <w:spacing w:after="0" w:line="114" w:lineRule="exact"/>
              <w:rPr>
                <w:sz w:val="20"/>
                <w:szCs w:val="20"/>
                <w:color w:val="auto"/>
              </w:rPr>
            </w:pPr>
            <w:r>
              <w:rPr>
                <w:rFonts w:ascii="Arial" w:cs="Arial" w:eastAsia="Arial" w:hAnsi="Arial"/>
                <w:sz w:val="12"/>
                <w:szCs w:val="12"/>
                <w:b w:val="1"/>
                <w:bCs w:val="1"/>
                <w:color w:val="auto"/>
                <w:w w:val="97"/>
              </w:rPr>
              <w:t>Employees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19"/>
              <w:spacing w:after="0" w:line="114" w:lineRule="exact"/>
              <w:rPr>
                <w:sz w:val="20"/>
                <w:szCs w:val="20"/>
                <w:color w:val="auto"/>
              </w:rPr>
            </w:pPr>
            <w:r>
              <w:rPr>
                <w:rFonts w:ascii="Arial" w:cs="Arial" w:eastAsia="Arial" w:hAnsi="Arial"/>
                <w:sz w:val="12"/>
                <w:szCs w:val="12"/>
                <w:b w:val="1"/>
                <w:bCs w:val="1"/>
                <w:color w:val="auto"/>
              </w:rPr>
              <w:t>Price</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Options</w:t>
            </w:r>
          </w:p>
        </w:tc>
        <w:tc>
          <w:tcPr>
            <w:tcW w:w="540" w:type="dxa"/>
            <w:vAlign w:val="bottom"/>
          </w:tcPr>
          <w:p>
            <w:pPr>
              <w:spacing w:after="0"/>
              <w:rPr>
                <w:sz w:val="12"/>
                <w:szCs w:val="12"/>
                <w:color w:val="auto"/>
              </w:rPr>
            </w:pPr>
          </w:p>
        </w:tc>
        <w:tc>
          <w:tcPr>
            <w:tcW w:w="104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89"/>
              </w:rPr>
              <w:t>in Fiscal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Per</w:t>
            </w:r>
          </w:p>
        </w:tc>
        <w:tc>
          <w:tcPr>
            <w:tcW w:w="520" w:type="dxa"/>
            <w:vAlign w:val="bottom"/>
          </w:tcPr>
          <w:p>
            <w:pPr>
              <w:spacing w:after="0"/>
              <w:rPr>
                <w:sz w:val="12"/>
                <w:szCs w:val="12"/>
                <w:color w:val="auto"/>
              </w:rPr>
            </w:pPr>
          </w:p>
        </w:tc>
        <w:tc>
          <w:tcPr>
            <w:tcW w:w="1200" w:type="dxa"/>
            <w:vAlign w:val="bottom"/>
            <w:gridSpan w:val="2"/>
          </w:tcPr>
          <w:p>
            <w:pPr>
              <w:jc w:val="center"/>
              <w:ind w:right="520"/>
              <w:spacing w:after="0" w:line="143" w:lineRule="exact"/>
              <w:rPr>
                <w:sz w:val="20"/>
                <w:szCs w:val="20"/>
                <w:color w:val="auto"/>
              </w:rPr>
            </w:pPr>
            <w:r>
              <w:rPr>
                <w:rFonts w:ascii="Arial" w:cs="Arial" w:eastAsia="Arial" w:hAnsi="Arial"/>
                <w:sz w:val="14"/>
                <w:szCs w:val="14"/>
                <w:b w:val="1"/>
                <w:bCs w:val="1"/>
                <w:color w:val="auto"/>
                <w:w w:val="93"/>
              </w:rPr>
              <w:t>Expiration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Granted(1)</w:t>
            </w:r>
          </w:p>
        </w:tc>
        <w:tc>
          <w:tcPr>
            <w:tcW w:w="54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Year</w:t>
            </w:r>
          </w:p>
        </w:tc>
        <w:tc>
          <w:tcPr>
            <w:tcW w:w="260" w:type="dxa"/>
            <w:vAlign w:val="bottom"/>
          </w:tcPr>
          <w:p>
            <w:pPr>
              <w:spacing w:after="0"/>
              <w:rPr>
                <w:sz w:val="15"/>
                <w:szCs w:val="15"/>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Share</w:t>
            </w:r>
          </w:p>
        </w:tc>
        <w:tc>
          <w:tcPr>
            <w:tcW w:w="52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5"/>
                <w:szCs w:val="15"/>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rPr>
              <w:t>5%</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7/1/13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630,152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1,596,930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780" w:type="dxa"/>
            <w:vAlign w:val="bottom"/>
          </w:tcPr>
          <w:p>
            <w:pPr>
              <w:jc w:val="right"/>
              <w:spacing w:after="0"/>
              <w:rPr>
                <w:sz w:val="20"/>
                <w:szCs w:val="20"/>
                <w:color w:val="auto"/>
              </w:rPr>
            </w:pPr>
            <w:r>
              <w:rPr>
                <w:rFonts w:ascii="Arial" w:cs="Arial" w:eastAsia="Arial" w:hAnsi="Arial"/>
                <w:sz w:val="18"/>
                <w:szCs w:val="18"/>
                <w:color w:val="auto"/>
              </w:rPr>
              <w:t>75,000</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8.1%</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5.01</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7/1/13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236,307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7/1/13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236,307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Linda B. Carlo</w:t>
            </w: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5.36%</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6.21</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8/4/13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85,844</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217,546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 Cornely III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3/03/13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195,272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40" w:hanging="452"/>
        <w:spacing w:after="0" w:line="28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Holtzman’s grant of 200,000 options vested one-third immediately, and a following third on each of the two anniversaries from the date of grant. All other options granted in the table become exercisable over a three year period, with one-third vesting on each anniversary from the date of grant.</w:t>
      </w:r>
    </w:p>
    <w:p>
      <w:pPr>
        <w:ind w:left="460" w:right="100" w:hanging="452"/>
        <w:spacing w:after="0" w:line="29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amounts shown on these columns represent hypothetical gains that could be achieved for the options if exercised at the end of the option term. These gains are based on assumed rates of stock appreciation as mandated by the Securities and Exchange Commission (based on the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ind w:right="2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and Fiscal Year-End Option Value Table</w:t>
      </w:r>
      <w:r>
        <w:rPr>
          <w:rFonts w:ascii="Arial" w:cs="Arial" w:eastAsia="Arial" w:hAnsi="Arial"/>
          <w:sz w:val="16"/>
          <w:szCs w:val="16"/>
          <w:color w:val="auto"/>
        </w:rPr>
        <w:t>. The following table sets forth information for the Named Executive Officers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exercise of stock options during the fiscal year ended January 31, 2004 and the year-end value of unexercised options.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Fiscal 2003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520" w:type="dxa"/>
            <w:vAlign w:val="bottom"/>
          </w:tcPr>
          <w:p>
            <w:pPr>
              <w:spacing w:after="0"/>
              <w:rPr>
                <w:sz w:val="14"/>
                <w:szCs w:val="14"/>
                <w:color w:val="auto"/>
              </w:rPr>
            </w:pPr>
          </w:p>
        </w:tc>
        <w:tc>
          <w:tcPr>
            <w:tcW w:w="2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520" w:type="dxa"/>
            <w:vAlign w:val="bottom"/>
          </w:tcPr>
          <w:p>
            <w:pPr>
              <w:spacing w:after="0"/>
              <w:rPr>
                <w:sz w:val="12"/>
                <w:szCs w:val="12"/>
                <w:color w:val="auto"/>
              </w:rPr>
            </w:pPr>
          </w:p>
        </w:tc>
        <w:tc>
          <w:tcPr>
            <w:tcW w:w="23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Options at Year-End</w:t>
            </w:r>
          </w:p>
        </w:tc>
        <w:tc>
          <w:tcPr>
            <w:tcW w:w="520" w:type="dxa"/>
            <w:vAlign w:val="bottom"/>
          </w:tcPr>
          <w:p>
            <w:pPr>
              <w:spacing w:after="0"/>
              <w:rPr>
                <w:sz w:val="12"/>
                <w:szCs w:val="12"/>
                <w:color w:val="auto"/>
              </w:rPr>
            </w:pPr>
          </w:p>
        </w:tc>
        <w:tc>
          <w:tcPr>
            <w:tcW w:w="23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at Year 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 of Shares</w:t>
            </w:r>
          </w:p>
        </w:tc>
        <w:tc>
          <w:tcPr>
            <w:tcW w:w="520" w:type="dxa"/>
            <w:vAlign w:val="bottom"/>
          </w:tcPr>
          <w:p>
            <w:pPr>
              <w:spacing w:after="0"/>
              <w:rPr>
                <w:sz w:val="15"/>
                <w:szCs w:val="15"/>
                <w:color w:val="auto"/>
              </w:rPr>
            </w:pPr>
          </w:p>
        </w:tc>
        <w:tc>
          <w:tcPr>
            <w:tcW w:w="23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Value of Shares(1)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2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5"/>
              </w:rPr>
              <w:t>Acquired on</w:t>
            </w:r>
          </w:p>
        </w:tc>
        <w:tc>
          <w:tcPr>
            <w:tcW w:w="520" w:type="dxa"/>
            <w:vAlign w:val="bottom"/>
          </w:tcPr>
          <w:p>
            <w:pPr>
              <w:spacing w:after="0"/>
              <w:rPr>
                <w:sz w:val="3"/>
                <w:szCs w:val="3"/>
                <w:color w:val="auto"/>
              </w:rPr>
            </w:pPr>
          </w:p>
        </w:tc>
        <w:tc>
          <w:tcPr>
            <w:tcW w:w="680" w:type="dxa"/>
            <w:vAlign w:val="bottom"/>
            <w:vMerge w:val="restart"/>
          </w:tcPr>
          <w:p>
            <w:pPr>
              <w:jc w:val="right"/>
              <w:ind w:right="98"/>
              <w:spacing w:after="0" w:line="149" w:lineRule="exact"/>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6"/>
              </w:rPr>
              <w:t>Exercise (#)</w:t>
            </w:r>
          </w:p>
        </w:tc>
        <w:tc>
          <w:tcPr>
            <w:tcW w:w="5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Realized ($)</w:t>
            </w:r>
          </w:p>
        </w:tc>
        <w:tc>
          <w:tcPr>
            <w:tcW w:w="520" w:type="dxa"/>
            <w:vAlign w:val="bottom"/>
          </w:tcPr>
          <w:p>
            <w:pPr>
              <w:spacing w:after="0"/>
              <w:rPr>
                <w:sz w:val="15"/>
                <w:szCs w:val="15"/>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Exercisable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2"/>
              </w:rPr>
              <w:t>Unexercisable</w:t>
            </w:r>
          </w:p>
        </w:tc>
        <w:tc>
          <w:tcPr>
            <w:tcW w:w="520" w:type="dxa"/>
            <w:vAlign w:val="bottom"/>
          </w:tcPr>
          <w:p>
            <w:pPr>
              <w:spacing w:after="0"/>
              <w:rPr>
                <w:sz w:val="15"/>
                <w:szCs w:val="15"/>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Exercisable</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563,334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566,666</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$ 1,764,735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$ 1,573,665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408,333</w:t>
            </w:r>
          </w:p>
        </w:tc>
        <w:tc>
          <w:tcPr>
            <w:tcW w:w="800" w:type="dxa"/>
            <w:vAlign w:val="bottom"/>
          </w:tcPr>
          <w:p>
            <w:pPr>
              <w:jc w:val="right"/>
              <w:spacing w:after="0"/>
              <w:rPr>
                <w:sz w:val="20"/>
                <w:szCs w:val="20"/>
                <w:color w:val="auto"/>
              </w:rPr>
            </w:pPr>
            <w:r>
              <w:rPr>
                <w:rFonts w:ascii="Arial" w:cs="Arial" w:eastAsia="Arial" w:hAnsi="Arial"/>
                <w:sz w:val="18"/>
                <w:szCs w:val="18"/>
                <w:color w:val="auto"/>
              </w:rPr>
              <w:t>166,667</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1,994,832</w:t>
            </w:r>
          </w:p>
        </w:tc>
        <w:tc>
          <w:tcPr>
            <w:tcW w:w="900" w:type="dxa"/>
            <w:vAlign w:val="bottom"/>
          </w:tcPr>
          <w:p>
            <w:pPr>
              <w:jc w:val="right"/>
              <w:spacing w:after="0"/>
              <w:rPr>
                <w:sz w:val="20"/>
                <w:szCs w:val="20"/>
                <w:color w:val="auto"/>
              </w:rPr>
            </w:pPr>
            <w:r>
              <w:rPr>
                <w:rFonts w:ascii="Arial" w:cs="Arial" w:eastAsia="Arial" w:hAnsi="Arial"/>
                <w:sz w:val="18"/>
                <w:szCs w:val="18"/>
                <w:color w:val="auto"/>
              </w:rPr>
              <w:t>371,918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176,667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158,333</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650,343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Linda B. Carlo</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H. Cornely III</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2,334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54,666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6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value of unexercised in-the-money options at fiscal year end is the difference between the closing price of the Company’s Common Stock on January 30, 2004 of $6.83 per share and the exercise price of the respective options.</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including warrants held in the name of Jewelcor Management, Inc.</w:t>
      </w:r>
    </w:p>
    <w:p>
      <w:pPr>
        <w:spacing w:after="0" w:line="14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the Company’s equity compensation plans as of January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200" w:type="dxa"/>
            <w:vAlign w:val="bottom"/>
          </w:tcPr>
          <w:p>
            <w:pPr>
              <w:spacing w:after="0"/>
              <w:rPr>
                <w:sz w:val="12"/>
                <w:szCs w:val="12"/>
                <w:color w:val="auto"/>
              </w:rPr>
            </w:pPr>
          </w:p>
        </w:tc>
        <w:tc>
          <w:tcPr>
            <w:tcW w:w="238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200" w:type="dxa"/>
            <w:vAlign w:val="bottom"/>
          </w:tcPr>
          <w:p>
            <w:pPr>
              <w:spacing w:after="0"/>
              <w:rPr>
                <w:sz w:val="12"/>
                <w:szCs w:val="12"/>
                <w:color w:val="auto"/>
              </w:rPr>
            </w:pPr>
          </w:p>
        </w:tc>
        <w:tc>
          <w:tcPr>
            <w:tcW w:w="2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200" w:type="dxa"/>
            <w:vAlign w:val="bottom"/>
          </w:tcPr>
          <w:p>
            <w:pPr>
              <w:spacing w:after="0"/>
              <w:rPr>
                <w:sz w:val="12"/>
                <w:szCs w:val="12"/>
                <w:color w:val="auto"/>
              </w:rPr>
            </w:pPr>
          </w:p>
        </w:tc>
        <w:tc>
          <w:tcPr>
            <w:tcW w:w="2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warrants and rights</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gridSpan w:val="2"/>
          </w:tcPr>
          <w:p>
            <w:pPr>
              <w:ind w:left="100"/>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(b)</w:t>
            </w: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holders(1)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2,219,869</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w:t>
            </w: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4"/>
          </w:tcPr>
          <w:p>
            <w:pPr>
              <w:ind w:left="200"/>
              <w:spacing w:after="0"/>
              <w:rPr>
                <w:sz w:val="20"/>
                <w:szCs w:val="20"/>
                <w:color w:val="auto"/>
              </w:rPr>
            </w:pPr>
            <w:r>
              <w:rPr>
                <w:rFonts w:ascii="Arial" w:cs="Arial" w:eastAsia="Arial" w:hAnsi="Arial"/>
                <w:sz w:val="18"/>
                <w:szCs w:val="18"/>
                <w:color w:val="auto"/>
              </w:rPr>
              <w:t>security holders(2)</w:t>
            </w:r>
          </w:p>
        </w:tc>
        <w:tc>
          <w:tcPr>
            <w:tcW w:w="1520" w:type="dxa"/>
            <w:vAlign w:val="bottom"/>
          </w:tcPr>
          <w:p>
            <w:pPr>
              <w:jc w:val="right"/>
              <w:spacing w:after="0"/>
              <w:rPr>
                <w:sz w:val="20"/>
                <w:szCs w:val="20"/>
                <w:color w:val="auto"/>
              </w:rPr>
            </w:pPr>
            <w:r>
              <w:rPr>
                <w:rFonts w:ascii="Arial" w:cs="Arial" w:eastAsia="Arial" w:hAnsi="Arial"/>
                <w:sz w:val="18"/>
                <w:szCs w:val="18"/>
                <w:color w:val="auto"/>
              </w:rPr>
              <w:t>1,140,000</w:t>
            </w: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1200" w:type="dxa"/>
            <w:vAlign w:val="bottom"/>
          </w:tcPr>
          <w:p>
            <w:pPr>
              <w:spacing w:after="0"/>
              <w:rPr>
                <w:sz w:val="19"/>
                <w:szCs w:val="19"/>
                <w:color w:val="auto"/>
              </w:rPr>
            </w:pP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3,359,869</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3,673,813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-172720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-172720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-172720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-172720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38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January 31, 2004, the Company’s only approved equity compensation plan is its 1992 Stock Incentive Plan which provides for the issuance of up to 6,250,000 shares of the Company’s Common Stock.</w:t>
      </w:r>
    </w:p>
    <w:p>
      <w:pPr>
        <w:ind w:left="460" w:right="20" w:hanging="452"/>
        <w:spacing w:after="0" w:line="25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Board of Directors and the Compensation Committee of the Board of Directors have the reasonable discretion to issue shares outside of the 1992 Plan, subject to the rules of the Nasdaq National Market. Accordingly, at January 31, 2004 there were outstanding options to purchase up to 1,140,000 shares of Common Stock which were issued outside of the 1992 Plan, with exercise prices ranging from $1.19 to $5.35 per share. These options represent grants to consultants of the Company and also options granted to its executives in excess of the 1992 Plan’s annual maximum. At January 31, 2004, 850,000 of these options were exercisable.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part of the Casual Male acquisition, the Company assumed Casual Male Corp.’s obligations under its Pension Plan and its Supplemental Plan. The following table shows the aggregate annual benefits payable under both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Pension Plan and Supplemental Plan to persons in specified compensation and years of service classifications, based on a straight line annuity form of retirement income: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Average of Highest Five Years of Compensation</w:t>
            </w:r>
          </w:p>
        </w:tc>
        <w:tc>
          <w:tcPr>
            <w:tcW w:w="4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1"/>
              </w:rPr>
              <w:t>Representative Years of Service</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10yrs</w:t>
            </w:r>
          </w:p>
        </w:tc>
        <w:tc>
          <w:tcPr>
            <w:tcW w:w="580" w:type="dxa"/>
            <w:vAlign w:val="bottom"/>
          </w:tcPr>
          <w:p>
            <w:pPr>
              <w:spacing w:after="0"/>
              <w:rPr>
                <w:sz w:val="22"/>
                <w:szCs w:val="22"/>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20yrs</w:t>
            </w:r>
          </w:p>
        </w:tc>
        <w:tc>
          <w:tcPr>
            <w:tcW w:w="13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30yrs(maximum)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8"/>
              </w:rPr>
              <w:t>$ 50,000</w:t>
            </w:r>
          </w:p>
        </w:tc>
        <w:tc>
          <w:tcPr>
            <w:tcW w:w="23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$ 4,977</w:t>
            </w: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$ 9,953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100,000</w:t>
            </w:r>
          </w:p>
        </w:tc>
        <w:tc>
          <w:tcPr>
            <w:tcW w:w="2320" w:type="dxa"/>
            <w:vAlign w:val="bottom"/>
          </w:tcPr>
          <w:p>
            <w:pPr>
              <w:spacing w:after="0"/>
              <w:rPr>
                <w:sz w:val="18"/>
                <w:szCs w:val="18"/>
                <w:color w:val="auto"/>
              </w:rPr>
            </w:pPr>
          </w:p>
        </w:tc>
        <w:tc>
          <w:tcPr>
            <w:tcW w:w="5040" w:type="dxa"/>
            <w:vAlign w:val="bottom"/>
            <w:gridSpan w:val="3"/>
          </w:tcPr>
          <w:p>
            <w:pPr>
              <w:jc w:val="right"/>
              <w:ind w:right="160"/>
              <w:spacing w:after="0"/>
              <w:rPr>
                <w:sz w:val="20"/>
                <w:szCs w:val="20"/>
                <w:color w:val="auto"/>
              </w:rPr>
            </w:pPr>
            <w:r>
              <w:rPr>
                <w:rFonts w:ascii="Arial" w:cs="Arial" w:eastAsia="Arial" w:hAnsi="Arial"/>
                <w:sz w:val="18"/>
                <w:szCs w:val="18"/>
                <w:color w:val="auto"/>
              </w:rPr>
              <w:t>11,977</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23,953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5"/>
              </w:rPr>
              <w:t>150,000</w:t>
            </w:r>
          </w:p>
        </w:tc>
        <w:tc>
          <w:tcPr>
            <w:tcW w:w="23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37,953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200,000</w:t>
            </w:r>
          </w:p>
        </w:tc>
        <w:tc>
          <w:tcPr>
            <w:tcW w:w="2320" w:type="dxa"/>
            <w:vAlign w:val="bottom"/>
          </w:tcPr>
          <w:p>
            <w:pPr>
              <w:spacing w:after="0"/>
              <w:rPr>
                <w:sz w:val="18"/>
                <w:szCs w:val="18"/>
                <w:color w:val="auto"/>
              </w:rPr>
            </w:pP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25,977</w:t>
            </w:r>
          </w:p>
        </w:tc>
        <w:tc>
          <w:tcPr>
            <w:tcW w:w="160" w:type="dxa"/>
            <w:vAlign w:val="bottom"/>
          </w:tcPr>
          <w:p>
            <w:pPr>
              <w:spacing w:after="0"/>
              <w:rPr>
                <w:sz w:val="18"/>
                <w:szCs w:val="18"/>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51,953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250,000*</w:t>
            </w:r>
          </w:p>
        </w:tc>
        <w:tc>
          <w:tcPr>
            <w:tcW w:w="23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65,953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w w:val="99"/>
              </w:rPr>
              <w:t>267,326*</w:t>
            </w:r>
          </w:p>
        </w:tc>
        <w:tc>
          <w:tcPr>
            <w:tcW w:w="2320" w:type="dxa"/>
            <w:vAlign w:val="bottom"/>
          </w:tcPr>
          <w:p>
            <w:pPr>
              <w:spacing w:after="0"/>
              <w:rPr>
                <w:sz w:val="18"/>
                <w:szCs w:val="18"/>
                <w:color w:val="auto"/>
              </w:rPr>
            </w:pP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35,402</w:t>
            </w:r>
          </w:p>
        </w:tc>
        <w:tc>
          <w:tcPr>
            <w:tcW w:w="160" w:type="dxa"/>
            <w:vAlign w:val="bottom"/>
          </w:tcPr>
          <w:p>
            <w:pPr>
              <w:spacing w:after="0"/>
              <w:rPr>
                <w:sz w:val="18"/>
                <w:szCs w:val="18"/>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70,805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300,000*</w:t>
            </w:r>
          </w:p>
        </w:tc>
        <w:tc>
          <w:tcPr>
            <w:tcW w:w="23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79,953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the Company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for retirees at age 65, prior to the offset, if any, for benefits accrued under the retirement plan of Casual Male Corp. and for Social Security benefits.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of January 31, 2004, Mr. Cornely was the only Named Executive Officers of the Company who was a participant in the Pension Plan and Supplemental Plan. As such, Mr. Cornely will be entitled to an accrued benefit under the Pension Plan upon turning 65 year of age of $11,981.38 and a benefit of $4,715.07 under the Supplemental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has a 401(k) Plan for which all eligible employees of the Company may participate. The 401(k) Plan, which is a defined contribution plan, permits each participant to defer up to 15% of such participant’s annual salary up to a maximum annual amount ($12,000 in calendar 2003, $11,000 in calendar year 2002 and $11,000 in calendar year 2001). The Board of Directors of the Company may determine, from fiscal year to fiscal year, whether and to what extent the Company will contribute to the 401(k) Plan by matching contributions made to such plan by eligible employees. During fiscal 2003, the matching contribution by the Company continued to be 50% of contributions by eligible employees up to a maximum of six percent of salary.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fiscal 2000, the Company obtained a key man life insurance policy in the amount of $2,000,000 on the life of Mr. Levin. In fiscal 2001, the Company obtained a key man life insurance policy in the amount of $2,000,000 on the life of Mr. Hernreich.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Agreements</w:t>
      </w:r>
    </w:p>
    <w:p>
      <w:pPr>
        <w:spacing w:after="0" w:line="8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has employment agreements, which were most recently amended effective May 1, 2004 (collectively, the “Employment Agreements”), with David A. Levin and Dennis R. Hernreich. The Employment Agreements are for three-year terms, which automatically renew on each anniversary of the agreement’s commencement date for additional one-year periods, unless ninety-day notice by either party is otherwise given. The initial three-year term of Mr. Levin’s Employment Agreement was from April 10, 2000 until April 10, 2003. On each anniversary of the agreement’s commencement date, the term was extended for a one-year period. Accordingly, as of April 10, 2004, the most recent anniversary of Mr. Levin’s agreement’s commencement date, Mr. Levin’s employment with the Company was extended for an additional one-year period thereby extending the agreement to April 10, 2007. The initial three-year term of Mr. Hernreich’s Employment Agreement was from September 4, 2000 until September 4, 2003. On each anniversary of the agreement’s commencement date, the term was extended for a one-year period. Accordingly, as of September 4, 2003, the most recent anniversary of Mr. Hernreich’s agreement’s commencement date, Mr. Hernreich’s Employment Agreement with the Company was extended for an additional one-year period thereby extending the agreement to September 4, 2006.</w:t>
      </w:r>
    </w:p>
    <w:p>
      <w:pPr>
        <w:spacing w:after="0" w:line="10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These Employment Agreements require each executive officer to devote substantially all of the executive officer’s time and attention to the business of the Company as necessary to fulfill his respective duties. The Employment Agreements, as amended, provide that Messrs. Levin and Hernreich would be paid base salaries at annual rates of $575,000 and $440,000, respectively. The Employment Agreements provide that the annual rate of base salary for the renewal term may be increased by the Compensation Committee of the Board of Directors in its sole discretion.</w:t>
      </w:r>
    </w:p>
    <w:p>
      <w:pPr>
        <w:spacing w:after="0" w:line="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Employment Agreements also provide for the payment of bonuses in such amounts as may be determined by the Compensation Committee. While Messrs. Levin and Hernreich are employed by the Company, the Company will provide each executive an automobile allowance in the amount of $800 and $700 per month, respectively.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0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Employment Agreement for Mr. Hernreich also provided for reimbursement of expenses associated with his relocation to the Boston area. In accordance with his agreement, Mr. Hernreich was entitled to receive a total amount of $85,000 for relocation costs, which Mr. Hernreich received, less applicable taxes, in fiscal 2000. In addition, Mr. Hernreich was entitled to receive reimbursement for reasonable expenses associated with his temporary living arrangements.</w:t>
      </w:r>
    </w:p>
    <w:p>
      <w:pPr>
        <w:spacing w:after="0" w:line="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Mr. Levin is entitled to receive an annual bonus of up to 50% and Mr. Hernreich is entitled to receive an annual bonus of up to 45% of their respective annual base salaries depending on the performance of the Company. The Compensation Committee of the Board of Directors shall determine, in its sole discretion, the amount of bonus to be paid to the executive officers. Mr. Levin is entitled to receive an additional annual bonus of 10% of his annual salary base if the Company meets its annual projections for its fiscal budget plan, as approved by the Board of Directors. In July 2003, the Compensation Committee approved a $125,000 bonus for Mr. Levin and a $93,750 bonus for Mr. Hernreich, of which 50% became payable immediately. The remaining 50% was contingent upon the Company’s Casual Male business achieving certain performance targets for the fourth quarter of fiscal 2003. Also in July 2003, the Compensation Committee granted to each of Mr. Levin and Mr. Hernreich options to purchase 75,000 shares of the Company’s Common Stock. These options were scheduled to vest on the sixth anniversary of the date of grant but would accelerate and become exercisable over a three-year period, with one-third vesting on each of the first, second, and third anniversaries of the date of grant if, as with the bonuses, the Casual Male business achieved certain performance targets for the fourth quarter of fiscal 2003. The Company did achieve such performance targets in the fourth quarter of fiscal 2003 and, accordingly, Mr. Levin and Mr. Hernreich received the remaining 50% portion of their respective bonuses on March 4, 2004 and the options were accelerated to a three-year vesting schedule.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7" w:name="page18"/>
    <w:bookmarkEnd w:id="17"/>
    <w:p>
      <w:pPr>
        <w:ind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Employment Agreements provide that in the event the executive officer’s employment is terminated by the Company at any time for any reason other than “justifiable cause” (as defined in the Employment Agreements), disability or death, the Company is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the Company. The Employment Agreements also provide that if the executive is terminated without justifiable cause within one year after a Change of Control of the Company (as defined below) has occurred, the executive officer shall receive a lump sum payment in an amount equal to the greater of (1) the base salary for the remaining term of the related Employment Agreement or (2) the current base salary for one year.</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competes with the business of the Company.</w:t>
      </w:r>
    </w:p>
    <w:p>
      <w:pPr>
        <w:spacing w:after="0" w:line="13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When the Company acquired the Casual Male business in May 2002, the Company agreed to abide by the terms of Mr. Cornely’s Severance Compensation Agreement, which was entered into with Casual Male Corp. Pursuant to the terms of this Severance Compensation Agreement, in the event that Mr. Cornely’s employment with the Company is terminated for reasons defined in the agreement, the Company shall pay to Mr. Cornely a severance payment of up to 14 months of his annual salary. The amount actually paid would be dependent on the reason for termination decreased by the amount earned as the result of any subsequent employment obtained during the severance period.</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July 9, 2003, the Company entered into an employment agreement with Ms. Carlo for a one-year term ending on August 4, 2004. Pursuant to that agreement, Ms. Carlo will receive an annual salary of $290,000 and shall be entitled to participate in the Company’s bonus program at a bonus incentive rate of 40% of her annual base salary, depending on the performance of the Company and at the sole discretion of the Compensation Committee. Ms. Carlo will receive an automobile allowance in the amount of $600 per month and will be entitled to vacation and to participate in and receive any other benefits customarily provided by the Company to its senior executives. On August 4, 2003, Ms. Carlo also received options to purchase 50,000 shares of Common Stock at an exercise price of $6.21 per share which vest one-third on the first anniversary of the date of grant and one-third on each of the remaining two anniversaries. Effective May 1, 2004, Ms. Carlo’s annual salary was increased to $303,000.</w:t>
      </w:r>
    </w:p>
    <w:p>
      <w:pPr>
        <w:spacing w:after="0" w:line="10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On March 29, 2004, the Company granted each of Ms. Carlo and Mr. Cornely options to purchase 25,000 shares of Common Stock at an exercise price of $10.15 per share. The options vest ratably over a three year period, with the first one-third vesting on the first anniversary of the date of grant.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 w:name="page19"/>
    <w:bookmarkEnd w:id="18"/>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2001, Seymour Holtzman, who was serving as the Company’s non-employee Chairman of the Board, was hired by the Company as an executive officer of the Company. The principal portion of Mr. Holtzman’s compensation as an employee of the Company is in the form of Company options. Below is a summary of the grants issued to Mr. Holtzman by the Compensation Committee as compensation for his services: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Options</w:t>
            </w:r>
          </w:p>
        </w:tc>
        <w:tc>
          <w:tcPr>
            <w:tcW w:w="2520" w:type="dxa"/>
            <w:vAlign w:val="bottom"/>
            <w:gridSpan w:val="3"/>
          </w:tcPr>
          <w:p>
            <w:pPr>
              <w:ind w:left="1100"/>
              <w:spacing w:after="0"/>
              <w:rPr>
                <w:sz w:val="20"/>
                <w:szCs w:val="20"/>
                <w:color w:val="auto"/>
              </w:rPr>
            </w:pPr>
            <w:r>
              <w:rPr>
                <w:rFonts w:ascii="Arial" w:cs="Arial" w:eastAsia="Arial" w:hAnsi="Arial"/>
                <w:sz w:val="14"/>
                <w:szCs w:val="14"/>
                <w:b w:val="1"/>
                <w:bCs w:val="1"/>
                <w:color w:val="auto"/>
                <w:w w:val="84"/>
              </w:rPr>
              <w:t>Exercise Price 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25, 2001</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300,000</w:t>
            </w:r>
          </w:p>
        </w:tc>
        <w:tc>
          <w:tcPr>
            <w:tcW w:w="17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May 1, 2002</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200,000</w:t>
            </w:r>
          </w:p>
        </w:tc>
        <w:tc>
          <w:tcPr>
            <w:tcW w:w="17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16, 2002</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400,000</w:t>
            </w:r>
          </w:p>
        </w:tc>
        <w:tc>
          <w:tcPr>
            <w:tcW w:w="17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July 1, 2003</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200,000</w:t>
            </w:r>
          </w:p>
        </w:tc>
        <w:tc>
          <w:tcPr>
            <w:tcW w:w="17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Mr. Holtzman also received $24,000 in cash compensation as an employee during fiscal 2003. Mr. Holtzman is otherwise subject to an employment arrangement on terms substantially similar to those of the Employment Agreements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Jewelcor Management, Inc.</w:t>
      </w:r>
    </w:p>
    <w:p>
      <w:pPr>
        <w:spacing w:after="0" w:line="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14.01% of the outstanding Common Stock (principally held by JMI). He is also the chairman, president and chief executive officer and, indirectly with his wife, the primary shareholder of JMI.</w:t>
      </w:r>
    </w:p>
    <w:p>
      <w:pPr>
        <w:spacing w:after="0" w:line="9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April 28, 2003, the Board approved the extension of the consulting agreement with JMI for an additional three-year term commencing on April 29, 2003 and ending on April 28, 2006. The extension of the consulting agreement will automatically renew each year thereafter on its anniversary date for additional one-year terms, unless either party notifies the other at least ninety days prior to such anniversary date that it will not renew such agreement. The Company issued to JMI 70,769 non-forfeitable and fully vested shares of Common Stock as payment for services to be rendered under this agreement through April 28, 2004 and makes certain expense reimbursement payments to JMI in cash. The fair value of the issued shares as of April 28, 2003 was $276,000 or $3.90 per share. The Company’s ongoing consulting agreement with JMI includes a significant disincentive for non-performance, which would require JMI to pay to the Company a penalty equal to 150% of any unearned consulting services.</w:t>
      </w:r>
    </w:p>
    <w:p>
      <w:pPr>
        <w:spacing w:after="0" w:line="10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Company increased the annual compensation to JMI, effective May 1, 2003, by $50,000 to $326,000. The increase of $50,000 for fiscal 2003 was paid to JMI through the issuance of 12,820 non-forfeitable and fully vested shares of Common Stock, valued at $3.90 per share, the closing price of the Company’s Common Stock on April 28, 2003. In addition, on July 1, 2003, JMI received a $150,000 bonus payable in cash.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 of 12% Senior Subordinated Notes due 2007</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fourth quarter of fiscal 2003 the Company prepaid in full $24.5 million in principal on its 12% senior subordinated notes due 2007. Included in this prepayment were approximately $5.8 million of such notes which were held by JMI, and another $11.3 million which were held by Clark Partners I, L.P. Stephen Duff, a director of the Company until February 26, 2004, is Treasurer of Ninth Floor Corporation, the general partner of Clark Partners I, L.P., and he is also Senior Investment Manager at The Clark Estates, Inc. In connection with its purchase of these notes in May 2002, JMI had received warrants to purchase 402,500 shares of Common Stock at an exercise price of $0.01 per share and warrants to purchase 147,059 shares of Common Stock at an exercise price of $8.50 per share. In connection with its purchase of these notes, Clark Partners I, L.P. had received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9" w:name="page20"/>
    <w:bookmarkEnd w:id="19"/>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warrants to purchase 787,500 shares of Common Stock at an exercise price of $0.01 per share and warrants to purchase 147,059 shares of Common Stock at an exercise price of $8.50. Both JMI and Clark Partners I, L.P. exercised their $0.01 per share warrants in August 2002. At January 31, 2004, the warrants to purchase 147,059 shares of Common Stock at an exercise price $8.50 per share remained outstanding for each of JMI and Clark Partners I, L.P.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Debt Issuance-12% Senior Subordinated Notes due 2010</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second and third quarters of fiscal 2003, the Company issued through private placements approximately $29.6 million principal amount of 12% senior subordinated notes due 2010 (the “2010 Notes”), of which approximately $21.8 million of such notes were redeemed, subject to prepayment penalties, in the fourth quarter of fiscal 2003. Together with the 2010 Notes, the Company also issued detachable warrants to purchase 1.18 million shares of the Company’s Common Stock. The following is a listing of the participation by related parties in both the issuance and early redemption of the 2010 Notes.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gridSpan w:val="2"/>
          </w:tcPr>
          <w:p>
            <w:pPr>
              <w:jc w:val="center"/>
              <w:ind w:left="895"/>
              <w:spacing w:after="0"/>
              <w:rPr>
                <w:sz w:val="20"/>
                <w:szCs w:val="20"/>
                <w:color w:val="auto"/>
              </w:rPr>
            </w:pPr>
            <w:r>
              <w:rPr>
                <w:rFonts w:ascii="Arial" w:cs="Arial" w:eastAsia="Arial" w:hAnsi="Arial"/>
                <w:sz w:val="14"/>
                <w:szCs w:val="14"/>
                <w:b w:val="1"/>
                <w:bCs w:val="1"/>
                <w:color w:val="auto"/>
                <w:w w:val="83"/>
              </w:rPr>
              <w:t>2010</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Exercise</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2010 Notes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Notes</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Price of</w:t>
            </w:r>
          </w:p>
        </w:tc>
        <w:tc>
          <w:tcPr>
            <w:tcW w:w="92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rPr>
              <w:t>2010 Notes</w:t>
            </w:r>
          </w:p>
        </w:tc>
        <w:tc>
          <w:tcPr>
            <w:tcW w:w="4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Prepayment</w:t>
            </w:r>
          </w:p>
        </w:tc>
        <w:tc>
          <w:tcPr>
            <w:tcW w:w="42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0" w:type="dxa"/>
            <w:vAlign w:val="bottom"/>
          </w:tcPr>
          <w:p>
            <w:pPr>
              <w:spacing w:after="0"/>
              <w:rPr>
                <w:sz w:val="1"/>
                <w:szCs w:val="1"/>
                <w:color w:val="auto"/>
              </w:rPr>
            </w:pPr>
          </w:p>
        </w:tc>
      </w:tr>
      <w:tr>
        <w:trPr>
          <w:trHeight w:val="174"/>
        </w:trPr>
        <w:tc>
          <w:tcPr>
            <w:tcW w:w="3220" w:type="dxa"/>
            <w:vAlign w:val="bottom"/>
            <w:gridSpan w:val="4"/>
          </w:tcPr>
          <w:p>
            <w:pPr>
              <w:spacing w:after="0"/>
              <w:rPr>
                <w:sz w:val="20"/>
                <w:szCs w:val="20"/>
                <w:color w:val="auto"/>
              </w:rPr>
            </w:pPr>
            <w:r>
              <w:rPr>
                <w:rFonts w:ascii="Arial" w:cs="Arial" w:eastAsia="Arial" w:hAnsi="Arial"/>
                <w:sz w:val="14"/>
                <w:szCs w:val="14"/>
                <w:b w:val="1"/>
                <w:bCs w:val="1"/>
                <w:color w:val="auto"/>
              </w:rPr>
              <w:t>Related Party-Note holders</w:t>
            </w:r>
          </w:p>
        </w:tc>
        <w:tc>
          <w:tcPr>
            <w:tcW w:w="98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Purchased</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Issued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Warrants</w:t>
            </w:r>
          </w:p>
        </w:tc>
        <w:tc>
          <w:tcPr>
            <w:tcW w:w="920" w:type="dxa"/>
            <w:vAlign w:val="bottom"/>
          </w:tcPr>
          <w:p>
            <w:pPr>
              <w:jc w:val="right"/>
              <w:ind w:right="77"/>
              <w:spacing w:after="0"/>
              <w:rPr>
                <w:sz w:val="20"/>
                <w:szCs w:val="20"/>
                <w:color w:val="auto"/>
              </w:rPr>
            </w:pPr>
            <w:r>
              <w:rPr>
                <w:rFonts w:ascii="Arial" w:cs="Arial" w:eastAsia="Arial" w:hAnsi="Arial"/>
                <w:sz w:val="14"/>
                <w:szCs w:val="14"/>
                <w:b w:val="1"/>
                <w:bCs w:val="1"/>
                <w:color w:val="auto"/>
              </w:rPr>
              <w:t>Redeemed</w:t>
            </w:r>
          </w:p>
        </w:tc>
        <w:tc>
          <w:tcPr>
            <w:tcW w:w="420" w:type="dxa"/>
            <w:vAlign w:val="bottom"/>
          </w:tcPr>
          <w:p>
            <w:pPr>
              <w:spacing w:after="0"/>
              <w:rPr>
                <w:sz w:val="15"/>
                <w:szCs w:val="15"/>
                <w:color w:val="auto"/>
              </w:rPr>
            </w:pPr>
          </w:p>
        </w:tc>
        <w:tc>
          <w:tcPr>
            <w:tcW w:w="780" w:type="dxa"/>
            <w:vAlign w:val="bottom"/>
          </w:tcPr>
          <w:p>
            <w:pPr>
              <w:jc w:val="right"/>
              <w:ind w:right="20"/>
              <w:spacing w:after="0"/>
              <w:rPr>
                <w:sz w:val="20"/>
                <w:szCs w:val="20"/>
                <w:color w:val="auto"/>
              </w:rPr>
            </w:pPr>
            <w:r>
              <w:rPr>
                <w:rFonts w:ascii="Arial" w:cs="Arial" w:eastAsia="Arial" w:hAnsi="Arial"/>
                <w:sz w:val="14"/>
                <w:szCs w:val="14"/>
                <w:b w:val="1"/>
                <w:bCs w:val="1"/>
                <w:color w:val="auto"/>
                <w:w w:val="98"/>
              </w:rPr>
              <w:t>Penalty(1)</w:t>
            </w:r>
          </w:p>
        </w:tc>
        <w:tc>
          <w:tcPr>
            <w:tcW w:w="142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87"/>
              </w:rPr>
              <w:t>January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JMI(2)</w:t>
            </w:r>
          </w:p>
        </w:tc>
        <w:tc>
          <w:tcPr>
            <w:tcW w:w="2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$ 2,000,000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4.76</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Clark Partners(3)</w:t>
            </w:r>
          </w:p>
        </w:tc>
        <w:tc>
          <w:tcPr>
            <w:tcW w:w="2280" w:type="dxa"/>
            <w:vAlign w:val="bottom"/>
            <w:gridSpan w:val="3"/>
          </w:tcPr>
          <w:p>
            <w:pPr>
              <w:jc w:val="right"/>
              <w:ind w:right="400"/>
              <w:spacing w:after="0"/>
              <w:rPr>
                <w:sz w:val="20"/>
                <w:szCs w:val="20"/>
                <w:color w:val="auto"/>
              </w:rPr>
            </w:pPr>
            <w:r>
              <w:rPr>
                <w:rFonts w:ascii="Arial" w:cs="Arial" w:eastAsia="Arial" w:hAnsi="Arial"/>
                <w:sz w:val="18"/>
                <w:szCs w:val="18"/>
                <w:color w:val="auto"/>
              </w:rPr>
              <w:t>2,500,000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4.76</w:t>
            </w:r>
          </w:p>
        </w:tc>
        <w:tc>
          <w:tcPr>
            <w:tcW w:w="920" w:type="dxa"/>
            <w:vAlign w:val="bottom"/>
          </w:tcPr>
          <w:p>
            <w:pPr>
              <w:jc w:val="right"/>
              <w:spacing w:after="0"/>
              <w:rPr>
                <w:sz w:val="20"/>
                <w:szCs w:val="20"/>
                <w:color w:val="auto"/>
              </w:rPr>
            </w:pPr>
            <w:r>
              <w:rPr>
                <w:rFonts w:ascii="Arial" w:cs="Arial" w:eastAsia="Arial" w:hAnsi="Arial"/>
                <w:sz w:val="18"/>
                <w:szCs w:val="18"/>
                <w:color w:val="auto"/>
                <w:w w:val="94"/>
              </w:rPr>
              <w:t>$ 2,500,000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162,500</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Baron Asset Fund(4)</w:t>
            </w:r>
          </w:p>
        </w:tc>
        <w:tc>
          <w:tcPr>
            <w:tcW w:w="2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Marc Holtzman(5)</w:t>
            </w:r>
          </w:p>
        </w:tc>
        <w:tc>
          <w:tcPr>
            <w:tcW w:w="2280" w:type="dxa"/>
            <w:vAlign w:val="bottom"/>
            <w:gridSpan w:val="3"/>
          </w:tcPr>
          <w:p>
            <w:pPr>
              <w:jc w:val="right"/>
              <w:ind w:right="400"/>
              <w:spacing w:after="0"/>
              <w:rPr>
                <w:sz w:val="20"/>
                <w:szCs w:val="20"/>
                <w:color w:val="auto"/>
              </w:rPr>
            </w:pPr>
            <w:r>
              <w:rPr>
                <w:rFonts w:ascii="Arial" w:cs="Arial" w:eastAsia="Arial" w:hAnsi="Arial"/>
                <w:sz w:val="18"/>
                <w:szCs w:val="18"/>
                <w:color w:val="auto"/>
              </w:rPr>
              <w:t>500,000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4.76-6.83</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Alan Bernikow(6)</w:t>
            </w:r>
          </w:p>
        </w:tc>
        <w:tc>
          <w:tcPr>
            <w:tcW w:w="2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Frank J. Husic Rollover IRA(7)</w:t>
            </w:r>
          </w:p>
        </w:tc>
        <w:tc>
          <w:tcPr>
            <w:tcW w:w="2280" w:type="dxa"/>
            <w:vAlign w:val="bottom"/>
            <w:gridSpan w:val="3"/>
          </w:tcPr>
          <w:p>
            <w:pPr>
              <w:jc w:val="right"/>
              <w:ind w:right="400"/>
              <w:spacing w:after="0"/>
              <w:rPr>
                <w:sz w:val="20"/>
                <w:szCs w:val="20"/>
                <w:color w:val="auto"/>
              </w:rPr>
            </w:pPr>
            <w:r>
              <w:rPr>
                <w:rFonts w:ascii="Arial" w:cs="Arial" w:eastAsia="Arial" w:hAnsi="Arial"/>
                <w:sz w:val="18"/>
                <w:szCs w:val="18"/>
                <w:color w:val="auto"/>
              </w:rPr>
              <w:t>500,000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5.88</w:t>
            </w: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28,750</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Ecko(8)</w:t>
            </w:r>
          </w:p>
        </w:tc>
        <w:tc>
          <w:tcPr>
            <w:tcW w:w="2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5.10-6.83</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8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was obligated to pay a prepayment penalty on all early redemptions of its 2010 Notes equal to 6.5% of the principal amount of the respective notes redeemed in November 2003 and December 2003 and 5.75% of the principal amount of the respective notes redeemed in January 2004.</w:t>
      </w:r>
    </w:p>
    <w:p>
      <w:pPr>
        <w:ind w:left="460" w:right="32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Seymour Holtzman, the Chairman of the Board of Directors of the Company, is President and Chief Executive Officer, and indirectly, with his wife, the primary shareholder of JMI. JMI beneficially owns approximately 11.67% of the outstanding Common Stock of the Company.</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Stephen Duff, a director of the Company until February 26, 2004, is Treasurer of Ninth Floor Corporation, the general partner of Clark Partners I, L.P. and he is also Senior Investment Manager at The Clark Estates, Inc. The Clark Estates, Inc. beneficially owns approximately 6.92% of the outstanding Common Stock of the Company.</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Baron Asset Fund is an affiliate of Baron Capital Group, Inc., which is the beneficial holder of approximately 6.2% of the outstanding Common Stock of the Company.</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Marc Holtzman is the son of Seymour Holtzman, the Chairman of the Company’s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Alan Bernikow is a director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Frank J. Husic is a director of the Company.</w:t>
      </w:r>
    </w:p>
    <w:p>
      <w:pPr>
        <w:spacing w:after="0" w:line="9" w:lineRule="exact"/>
        <w:rPr>
          <w:rFonts w:ascii="Arial" w:cs="Arial" w:eastAsia="Arial" w:hAnsi="Arial"/>
          <w:sz w:val="18"/>
          <w:szCs w:val="18"/>
          <w:color w:val="auto"/>
        </w:rPr>
      </w:pPr>
    </w:p>
    <w:p>
      <w:pPr>
        <w:ind w:left="460" w:right="60" w:hanging="452"/>
        <w:spacing w:after="0" w:line="23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certain principal officers of Ecko.Complex, LLC and certain of their family members. The Company operates its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under a joint venture with Ecko.Complex, LLC. On May 19, 2004, the Company agreed to sell to Ecko its 50.5% interest in the joint venture; the sale is expected to close on or before July 30, 2004.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to Executive</w:t>
      </w:r>
    </w:p>
    <w:p>
      <w:pPr>
        <w:spacing w:after="0" w:line="7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On June 26, 2000, the Company extended a loan to David A. Levin, the President and Chief Executive Officer of the Company, in the amount of $196,875 in order for Mr. Levin to acquire from the Company 150,000 newly issued shares of Common Stock at the closing price of the Common Stock on that day. The Company and Mr. Levin entered into a secured promissory note, whereby Mr. Levin agreed to pay to the Company the principal sum of $196,875 plus interest due and payable on June 26, 2003. The promissory note provided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at a rate of 6.53% per annum and was secured by the 150,000 acquired shares of Common Stock. On April 30, 2003, Mr. Levin satisfied his obligations under the promissory note through the delivery to the Company of 52,694 shares of the Company’s Common Stock with a fair market value of $233,435, which represented the outstanding principal and interest through April 30, 2003. The Company accounted for the 52,694 shares received from Mr. Levin as treasury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fiscal 2003, the members of the Compensation Committee were Messrs. Pennacchio, Choper and Porter. Persons serving on the Compensation Committee had no relationships with the Company in fiscal 2003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a registered class of the Company’s equity securities (collectively, the “Reporting Persons”), to file reports of ownership and changes in ownership with the Securities and Exchange Commission. The Reporting Persons are required to furnish the Company with copies of all Section 16(a) reports they file. Based solely upon a review of Forms 3, 4 and 5 and amendments thereto furnished to the Company during fiscal 2003, the Company believes that the current Reporting Persons complied with all applicable Section 16(a) reporting requirements and that all required reports were filed in a timely manner, with the exception of the following filings:</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Bernikow filed a Form 4 late with respect to the acquisition of warrants to purchase the Company’s Common Stock. Ms. Carlo and Mr. Cornely both filed late Form 3’s in December 2003. Messrs. Choper, Pennacchio and Porter each filed a late Form 4 for stock compensation received for audit committee meetings held in June 2003 and January 2004. Mr. Husic filed a late Form 4 in August 2003 modifying his indirect ownership and Mr. Holtzman filed a late Form 4 in July 2003 modifying his indirect ownership.</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6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Decisions concerning the compensation of the Company’s executive officers generally are made by the Compensation Committee of the Board of Directors. The Compensation Committee currently consists of three members, Joseph Pennacchio, Jesse Choper and George Porter, each of whom is independent under the rules of Nasdaq. This Compensation Committee Report summarizes the Company’s executive officer compensation practices and policies for fiscal year 2003, as well as compensation changes for fiscal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83"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policies with respect to each of these elements, as well as the bases for determining the compensation of the Company’s executives,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Annual Component: Base Salary and Annual Incentive Bonus</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Long-Term Component: Stock Options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the Company’s financial and operational performance,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Discussion of 2003 Compensation for the Chief Executive Officer</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Since the acquisition of Casual Male in fiscal 2002, the Company has been working on a three-year strategic plan to grow its Casual Male business, improve its infrastructure and re-establish the Casual Male brand within the marketplace. In determining Mr. Levin’s compensation for 2003, the Compensation Committee considered not only the Company’s financial performance but also the progress the Company has achieved toward its strategic plan. During fiscal 2003, several accomplishments factored into Mr. Levin’s overall compensation for fiscal 2003, including, but not limited to, improving comparable store sales and the addition of George Foreman as the Company’s spokesperson for its Big &amp; Tall Casual Male business. In addition, the Company also considered other qualitative factors, such as enhancement of shareholder value, expanding the Company’s exposure in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community and the overall strength of the Company and its employees. The Committee also considered salary information for chief executive officers of other apparel retailers of similar size and direction that the Committee believes are comparable.</w:t>
      </w:r>
    </w:p>
    <w:p>
      <w:pPr>
        <w:spacing w:after="0" w:line="11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For fiscal 2003, Mr. Levin received a base salary of $525,000. In July 2003, the Compensation Committee approved a $125,000 bonus for Mr. Levin, of which 50% became payable immediately. The remaining 50% was contingent upon the Company’s Casual Male business achieving certain performance targets for the fourth quarter of fiscal 2003. Also in July 2003, the Compensation Committee granted to Mr. Levin options to purchase 75,000 shares of the Company’s Common Stock. These options were scheduled to vest on the sixth anniversary of the date of grant but would accelerate and become exercisable over a three-year period, with one-third vesting on each of the first, second, and third anniversaries of the date of grant if, as with the bonuses, the Casual Male business achieved certain performance targets for the fourth quarter of fiscal 2003. The Company did achieve such performance targets in the fourth quarter of fiscal 2003 and, accordingly, Mr. Levin received the remaining 50% portion of his respective bonuses on March 4, 2004 and the options were accelerated to a three-year vesting schedule.</w:t>
      </w:r>
    </w:p>
    <w:p>
      <w:pPr>
        <w:spacing w:after="0" w:line="92" w:lineRule="exact"/>
        <w:rPr>
          <w:sz w:val="20"/>
          <w:szCs w:val="20"/>
          <w:color w:val="auto"/>
        </w:rPr>
      </w:pPr>
    </w:p>
    <w:p>
      <w:pPr>
        <w:ind w:right="1680"/>
        <w:spacing w:after="0" w:line="375" w:lineRule="auto"/>
        <w:rPr>
          <w:sz w:val="20"/>
          <w:szCs w:val="20"/>
          <w:color w:val="auto"/>
        </w:rPr>
      </w:pPr>
      <w:r>
        <w:rPr>
          <w:rFonts w:ascii="Arial" w:cs="Arial" w:eastAsia="Arial" w:hAnsi="Arial"/>
          <w:sz w:val="18"/>
          <w:szCs w:val="18"/>
          <w:color w:val="auto"/>
        </w:rPr>
        <w:t xml:space="preserve">The Committee believes Mr. Levin’s compensation is commensurate with the overall financial and strategic performance of the Company. </w:t>
      </w:r>
      <w:r>
        <w:rPr>
          <w:rFonts w:ascii="Arial" w:cs="Arial" w:eastAsia="Arial" w:hAnsi="Arial"/>
          <w:sz w:val="18"/>
          <w:szCs w:val="18"/>
          <w:i w:val="1"/>
          <w:iCs w:val="1"/>
          <w:color w:val="auto"/>
        </w:rPr>
        <w:t>Fiscal 2004 Compensation Changes</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Effective May 1, 2004, the Compensation Committee increased the annual base salaries of Mr. Levin and Mr. Hernreich to $575,000 and $440,000, respectively. At the same time, the Compensation Committee also established an incentive bonus plan based on the Company achieving certain thresholds. Accordingly, if the Company is able to meet certain performance thresholds, each Messrs. Levin and Hernreich will receive an annual incentive bonus up to 100% of their salary, depending on Company’s performance and levels achieved.</w:t>
      </w:r>
    </w:p>
    <w:p>
      <w:pPr>
        <w:spacing w:after="0" w:line="13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May 24, 2004, Messrs. Levin and Hernreich received options to purchase 75,000 shares and 60,000 shares, respectively, of the Company’s Common Stock. These options, which have an exercise price of $6.24 per share, will vest over a three year period, with one-third vesting on each anniversary from the date of grant. On June 16, 2004, Messrs. Levin and Hernreich received additional options to purchase 75,000 shares and 60,000 shares, respectively, of the Company’s Common Stock. These options, which have an exercise price of $7.28 per share, are scheduled to fully vest on the sixth anniversary of the date of grant, but become exercisable over a three year period, with one-third vesting on each anniversary from the date of grant, if the Company achieves certain performance targets in fiscal 2004.</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Securities and Exchange Commission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COMPENSATION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Joseph Pennacchio, Chairman of the Compensation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George T. Porter, Jr.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16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following Performance Graph compares the Company’s cumulative stockholder return with that of a broad market index (Standard &amp; Poor’s Industrials Index) and one published industry index (Standard &amp; Poor’s 500—Composite Retail Index) for each of the most recent five years ended January 31. The cumulative stockholder return for shares of the Company’s Common Stock (“CMRG”) and each of the indices is calculated assuming that $100 was invested on January 31, 1999.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 and Composite Retail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73025</wp:posOffset>
            </wp:positionV>
            <wp:extent cx="5085715" cy="3078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85715"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ectPr>
          <w:pgSz w:w="11900" w:h="16838" w:orient="portrait"/>
          <w:cols w:equalWidth="0" w:num="1">
            <w:col w:w="11420"/>
          </w:cols>
          <w:pgMar w:left="240" w:top="274"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71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Jan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90805</wp:posOffset>
            </wp:positionV>
            <wp:extent cx="3086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83185</wp:posOffset>
            </wp:positionV>
            <wp:extent cx="3086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Years Ending</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Jan 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60325</wp:posOffset>
            </wp:positionV>
            <wp:extent cx="3086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83185</wp:posOffset>
            </wp:positionV>
            <wp:extent cx="3086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83185</wp:posOffset>
            </wp:positionV>
            <wp:extent cx="4286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6">
            <w:col w:w="6360" w:space="720"/>
            <w:col w:w="360" w:space="560"/>
            <w:col w:w="380" w:space="460"/>
            <w:col w:w="760" w:space="260"/>
            <w:col w:w="380" w:space="660"/>
            <w:col w:w="520"/>
          </w:cols>
          <w:pgMar w:left="240" w:top="274" w:right="2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w:t>
            </w: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(46.67)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77.78</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(17.75)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16.12</w:t>
            </w:r>
          </w:p>
        </w:tc>
        <w:tc>
          <w:tcPr>
            <w:tcW w:w="4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(8.48)</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(18.56)</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(25.23)</w:t>
            </w:r>
          </w:p>
        </w:tc>
        <w:tc>
          <w:tcPr>
            <w:tcW w:w="680" w:type="dxa"/>
            <w:vAlign w:val="bottom"/>
          </w:tcPr>
          <w:p>
            <w:pPr>
              <w:jc w:val="right"/>
              <w:spacing w:after="0"/>
              <w:rPr>
                <w:sz w:val="20"/>
                <w:szCs w:val="20"/>
                <w:color w:val="auto"/>
              </w:rPr>
            </w:pPr>
            <w:r>
              <w:rPr>
                <w:rFonts w:ascii="Arial" w:cs="Arial" w:eastAsia="Arial" w:hAnsi="Arial"/>
                <w:sz w:val="18"/>
                <w:szCs w:val="18"/>
                <w:color w:val="auto"/>
              </w:rPr>
              <w:t>32.13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RETAIL- 500</w:t>
            </w: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3.46</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4.13</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(72.84)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Indexed Returns</w:t>
            </w:r>
          </w:p>
        </w:tc>
        <w:tc>
          <w:tcPr>
            <w:tcW w:w="244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Base</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Period</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Company/Index</w:t>
            </w:r>
          </w:p>
        </w:tc>
        <w:tc>
          <w:tcPr>
            <w:tcW w:w="24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Jan 99</w:t>
            </w:r>
          </w:p>
        </w:tc>
        <w:tc>
          <w:tcPr>
            <w:tcW w:w="34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Jan 00</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Jan 01</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Jan 02</w:t>
            </w: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Jan 03</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 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80.00</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142.22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116.98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116.12</w:t>
            </w:r>
          </w:p>
        </w:tc>
        <w:tc>
          <w:tcPr>
            <w:tcW w:w="4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106.28</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86.55</w:t>
            </w:r>
          </w:p>
        </w:tc>
        <w:tc>
          <w:tcPr>
            <w:tcW w:w="480" w:type="dxa"/>
            <w:vAlign w:val="bottom"/>
          </w:tcPr>
          <w:p>
            <w:pPr>
              <w:jc w:val="right"/>
              <w:spacing w:after="0"/>
              <w:rPr>
                <w:sz w:val="20"/>
                <w:szCs w:val="20"/>
                <w:color w:val="auto"/>
              </w:rPr>
            </w:pPr>
            <w:r>
              <w:rPr>
                <w:rFonts w:ascii="Arial" w:cs="Arial" w:eastAsia="Arial" w:hAnsi="Arial"/>
                <w:sz w:val="18"/>
                <w:szCs w:val="18"/>
                <w:color w:val="auto"/>
              </w:rPr>
              <w:t>64.71</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- 500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101.75</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105.96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Pr>
          <w:p>
            <w:pPr>
              <w:jc w:val="right"/>
              <w:ind w:right="39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ratification by the stockholders of the Company, the Audit Committee has appointed Ernst &amp; Young LLP as independent auditors for the Company for the fiscal year ending January 29, 2005. Ernst &amp; Young LLP has served as the Company’s auditors since October 2000. Stockholder ratification of the Company’s independent auditors is not required by the Company’s bylaws or otherwise. However, the Company is submitting the selection of Ernst &amp; Young LLP to the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the best interest of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Ernst &amp; Young LLP billed the Company an aggregate of $628,200 and $794,000 in fees for fiscal years 2003 and 2002, respectively, for professional services rendered in connection with the audits of the Company’s financial statements for the fiscal years ended January 31, 2004 and February 1, 2003 included in the Company’s Annual Reports on Form 10-K, the reviews of the financial statements included in each of the Company’s Quarterly Reports on Form 10-Q and the filing of SEC registration statements. Also included in such fees for fiscal years 2003 and 2002 were $226,000 and $135,000 of fees, respectively, for the stand-alone audit of the Company’s majority-owned subsidiary LP Innovations, Inc.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Ernst &amp; Young LLP billed the Company an aggregate of $110,500 and $428,000 in fees in fiscal years 2003 and 2002, respectively, for assurance and related services, including services related to benefit plan audits. Fees for fiscal year 2003 include approximately $67,000 of fees for services incurred in connection with the Company’s issuance of $100 million of convertible notes. Fees for fiscal year 2002 primarily relate to costs incurred in connection with the Company’s acquisition of Casual Male in May 2002.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Ernst &amp; Young LLP billed the Company an aggregate of $412,000 and $482,000 in fees in fiscal years 2003 and 2002, respectively, for professional services related to tax compliance, tax planning and tax advice. Tax compliance services consisted of preparation of original and amended income tax, sales and use tax, property, and all other tax returns; claims for refunds; and tax payment planning services. Tax advisory services consisted of a wide range of services, including assistance with tax audits and appeals, tax advice related to mergers and acquisitions, and requests for rulings or technical advice from taxing authorities.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billed the Company an aggregate of $64,000 in fees in fiscal 2002 for other permissible services rendered to the Company and its affiliates.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such fees were billed in fiscal 2003.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Audit Committee has adopted a policy governing the provision of audit and non-audit services by the Company’s independent auditors. Pursuant to this policy, the Audit Committee will consider annually and, if appropriate, approve the provision of audit services (including audit review and attest services) by its independent auditors and consider and, if appropriate, pre-approve the provision of certain defined permitted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5" w:name="page26"/>
    <w:bookmarkEnd w:id="2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non-audit services within a specified dollar limit. It will also consider on a case-by-case basis and, if appropriate, approve specific engagements that do not fit within the definition of pre-approved services or established fee limits.</w:t>
      </w:r>
    </w:p>
    <w:p>
      <w:pPr>
        <w:spacing w:after="0" w:line="11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the Company by the independent auditors.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 Related Fees, Tax Fees and All Other Fees were approved by the Audit Committee.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and will have the opportunity to make a statement if they desire to do so and to respond to appropriate questions.</w:t>
      </w:r>
    </w:p>
    <w:p>
      <w:pPr>
        <w:spacing w:after="0" w:line="112" w:lineRule="exact"/>
        <w:rPr>
          <w:sz w:val="20"/>
          <w:szCs w:val="20"/>
          <w:color w:val="auto"/>
        </w:rPr>
      </w:pPr>
    </w:p>
    <w:p>
      <w:pPr>
        <w:jc w:val="center"/>
        <w:ind w:left="300" w:right="120"/>
        <w:spacing w:after="0" w:line="275" w:lineRule="auto"/>
        <w:rPr>
          <w:sz w:val="20"/>
          <w:szCs w:val="20"/>
          <w:color w:val="auto"/>
        </w:rPr>
      </w:pPr>
      <w:r>
        <w:rPr>
          <w:rFonts w:ascii="Arial" w:cs="Arial" w:eastAsia="Arial" w:hAnsi="Arial"/>
          <w:sz w:val="18"/>
          <w:szCs w:val="18"/>
          <w:b w:val="1"/>
          <w:bCs w:val="1"/>
          <w:color w:val="auto"/>
        </w:rPr>
        <w:t>The Audit Committee and the Board of Directors unanimously recommend that you vote FOR the ratification of the appointment of Ernst &amp; Young LLP as independent auditors of the Company.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Management has the primary responsibility for the financial statements and the reporting process, including the system of internal control. In fulfilling its oversight responsibilities, the Audit Committee reviewed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Audit Committee reviewed with Ernst &amp; Young LLP, the Company’s independent auditors, who are responsible for expressing an opinion on the conformity of the Company’s audited financial statements for the fiscal year ended January 31, 2004 with generally accepted accounting principles, their judgments as to the quality, not just the acceptability, of the Company’s accounting principles and such other matters as are required to be discussed with the Audit Committee by Statement on Auditing Standards No. 61, as amended by Statement on Auditing Standards No. 90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w:t>
      </w:r>
    </w:p>
    <w:p>
      <w:pPr>
        <w:spacing w:after="0" w:line="99"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 xml:space="preserve">The Audit Committee received the written disclosures and letter from Ernst &amp; Young LLP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and discussed with Ernst &amp; Young LLP its independence from management and the Company. The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also considered whether non-audit services provided during fiscal 2003 were compatible with maintaining auditor independence.</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Audit Committee discussed with the Company’s independent auditors the overall scope and plans for their audit. The Audit Committee meets with the independent auditors, with and without management present, to discuss the results of their examinations, their evaluations of the Company’s internal controls, and the overall quality of the Company’s financial reporting. The Audit Committee held five meetings during the fiscal year ended January 31, 2004.</w:t>
      </w:r>
    </w:p>
    <w:p>
      <w:pPr>
        <w:spacing w:after="0" w:line="9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financial statements be included in the Annual Report on Form 10-K for the fiscal year ended January 31, 2004 for filing with the SEC.</w:t>
      </w:r>
    </w:p>
    <w:p>
      <w:pPr>
        <w:spacing w:after="0" w:line="7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 xml:space="preserve">The Audit Committee is governed by a charter (see </w:t>
      </w:r>
      <w:r>
        <w:rPr>
          <w:rFonts w:ascii="Arial" w:cs="Arial" w:eastAsia="Arial" w:hAnsi="Arial"/>
          <w:sz w:val="16"/>
          <w:szCs w:val="16"/>
          <w:i w:val="1"/>
          <w:iCs w:val="1"/>
          <w:color w:val="auto"/>
        </w:rPr>
        <w:t>Appendix A</w:t>
      </w:r>
      <w:r>
        <w:rPr>
          <w:rFonts w:ascii="Arial" w:cs="Arial" w:eastAsia="Arial" w:hAnsi="Arial"/>
          <w:sz w:val="16"/>
          <w:szCs w:val="16"/>
          <w:color w:val="auto"/>
        </w:rPr>
        <w:t>). The members of the Audit Committee are considered independent because they satisfy the independence requirements for Board members prescribed by the Nasdaq listing standards and Rule 10A-3 of the Exchange Act.</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Joseph Pennacchio</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July 6, 2004</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files annual, quarterly and special reports, proxy statements and other information with the Securities and Exchange Commission under the Securities Exchange Act of 1934, as amended. You may read and copy these reports and other information filed by the Company at the Public Reference Section of the SEC, 450 Fifth Street, N.W., Room 1024, Washington, D.C. 20549, at prescribed rates. You may obtain information on the operation of the Public Reference Room by calling the SEC at 1-800-SEC-0330.</w:t>
      </w:r>
    </w:p>
    <w:p>
      <w:pPr>
        <w:spacing w:after="0" w:line="13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the Company,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the Company is also available on the Company’s website at </w:t>
      </w:r>
      <w:r>
        <w:rPr>
          <w:rFonts w:ascii="Arial" w:cs="Arial" w:eastAsia="Arial" w:hAnsi="Arial"/>
          <w:sz w:val="18"/>
          <w:szCs w:val="18"/>
          <w:i w:val="1"/>
          <w:iCs w:val="1"/>
          <w:color w:val="auto"/>
        </w:rPr>
        <w:t>http://www.casualmale.com</w:t>
      </w:r>
      <w:r>
        <w:rPr>
          <w:rFonts w:ascii="Arial" w:cs="Arial" w:eastAsia="Arial" w:hAnsi="Arial"/>
          <w:sz w:val="18"/>
          <w:szCs w:val="18"/>
          <w:color w:val="auto"/>
        </w:rPr>
        <w:t xml:space="preserve"> and clicking on “Investor Relations.”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will bear the cost of solicitation of proxies. In addition to the use of the mails, proxies may be solicited by certain officers, directors and employees of the Company without extra compensation, by telephone, facsimile or personal interview. D.F. King &amp; Company, Inc. has been retained by the Company for a fee not to exceed $5,000 to aid in solicitation of proxies.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Only one copy of the Proxy Statement is being delivered to multiple stockholders sharing an address unless the Company has received contrary instructions from one or more of the stockholders in question. If you are one of a number of stockholders sharing a single address and would like to receive a separate copy of the Proxy Statement or if you would like to request that the Company send you a separate copy of annual reports or proxy statements, as applicable, in the future, please contact the Company at 555 Turnpike Street, Canton Massachusetts 02021. The Company will send you a copy of the Proxy Statement promptly after it receives your written or oral request.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Under the rules of the SEC, in order for any stockholder proposal to be included in the Company’s proxy statement and proxy card for presentation at the 2005 Annual Meeting of Stockholders, the proposal must be received by the Secretary of the Company at the Company’s principal executive offices by March 8, 2005 (120 days before the anniversary of the date this Proxy Statement is being mailed to the Company’s stockholders).</w:t>
      </w:r>
    </w:p>
    <w:p>
      <w:pPr>
        <w:spacing w:after="0" w:line="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Company’s By-Laws. A stockholder’s notice will be timely if delivered to, or mailed to and received by, the Company not less than 75 days nor more than 120 days prior to the anniversary date of the immediately preceding Annual Meeting (the “Anniversary Date”). To bring an item of business before the 2005 Annual Meeting, a stockholder must deliver the requisite notice of such item to the Secretary of the Company not before April 6, 2005 or after May 21, 2005. In the event the Annual Meeting is scheduled to be held on a date more than 30 days before the Anniversary Date or more than 60 days after the Anniversary Date, however, a stockholder’s notice will be timely delivered to, or mailed to, and received by, the Company not later than the close of business on the later of (a) the 75th day prior to the scheduled date of such Annual Meeting or (b) the 15th day following the day on which public announcement of the date of such Annual Meeting is first made by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Board of Directors maintains a process for stockholders to communicate with the Board of Directors. Stockholders wishing to communicate with the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POLICY REGARDING DIRECTOR ATTENDANCE AT ANNUAL MEETINGS</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believes that it is important for and encourages the members of the Board of Directors to attend Annual Meetings of Stockholders. Last year, all members of the Board of Directors attended the Annual Meeting of Stockholders held on August 7, 2003.</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this date,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Annual Meeting of Stockholders, which was held on August 8, 2002, the stockholders of the Company voted to approve the change of the Company’s state of incorporation from Delaware to Nevada through a reincorporation merger. The principal reason why the Board of Directors of the Company unanimously approved that a proposal for reincorporation to Nevada be presented to the stockholders was that the franchise tax and related fees that the Company pays as a Delaware corporation are significantly higher than the comparable fees for a Nevada corporation. The merger agreement presented to the stockholders provided that the reincorporation to Nevada could be deferred or abandoned by the Company’s Board of Directors if they were unable to obtain material third-party consents. As of June 22, 2004, the Company had not received all material third-party consents and therefore had not finalized its reincorporation in Nevada. The Company is proceeding with the intention to reincorporate in Nevada, once all material third-party consents are obtained. If the Company is unable to obtain these consents in a reasonable time frame, the Company’s Board of Directors has the right to abandon the proposed reincorporation merger.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5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purpose of the Audit Committee (the “Committee”) is to:</w:t>
      </w:r>
    </w:p>
    <w:p>
      <w:pPr>
        <w:spacing w:after="0" w:line="77" w:lineRule="exact"/>
        <w:rPr>
          <w:sz w:val="20"/>
          <w:szCs w:val="20"/>
          <w:color w:val="auto"/>
        </w:rPr>
      </w:pPr>
    </w:p>
    <w:p>
      <w:pPr>
        <w:ind w:left="780" w:right="20" w:hanging="326"/>
        <w:spacing w:after="0" w:line="268" w:lineRule="auto"/>
        <w:tabs>
          <w:tab w:leader="none" w:pos="7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assist the Board of Directors of Casual Male Retail Group, Inc. (the “Company”) in fulfilling its oversight responsibilities to the shareholders, potential shareholders and the investment community;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oversee the accounting and financial reporting processes of the Company and the audits of the financial statements of the Company;</w:t>
      </w:r>
    </w:p>
    <w:p>
      <w:pPr>
        <w:spacing w:after="0" w:line="103" w:lineRule="exact"/>
        <w:rPr>
          <w:rFonts w:ascii="Arial" w:cs="Arial" w:eastAsia="Arial" w:hAnsi="Arial"/>
          <w:sz w:val="18"/>
          <w:szCs w:val="18"/>
          <w:color w:val="auto"/>
        </w:rPr>
      </w:pPr>
    </w:p>
    <w:p>
      <w:pPr>
        <w:ind w:left="780" w:right="740" w:hanging="326"/>
        <w:spacing w:after="0" w:line="268" w:lineRule="auto"/>
        <w:tabs>
          <w:tab w:leader="none" w:pos="7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promote and further the integrity of the Company’s financial statements and oversee the qualifications, independence and performance of the Company’s independent auditors; and</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provide the Board of Directors (the “Board”), the independent auditors and the internal auditors direct, unfiltered access to each other on a regular basis.</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Composition</w:t>
      </w:r>
    </w:p>
    <w:p>
      <w:pPr>
        <w:spacing w:after="0" w:line="82" w:lineRule="exact"/>
        <w:rPr>
          <w:rFonts w:ascii="Arial" w:cs="Arial" w:eastAsia="Arial" w:hAnsi="Arial"/>
          <w:sz w:val="18"/>
          <w:szCs w:val="18"/>
          <w:color w:val="auto"/>
        </w:rPr>
      </w:pPr>
    </w:p>
    <w:p>
      <w:pPr>
        <w:ind w:left="660" w:hanging="301"/>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Number</w:t>
      </w:r>
      <w:r>
        <w:rPr>
          <w:rFonts w:ascii="Arial" w:cs="Arial" w:eastAsia="Arial" w:hAnsi="Arial"/>
          <w:sz w:val="18"/>
          <w:szCs w:val="18"/>
          <w:color w:val="auto"/>
        </w:rPr>
        <w:t>.  The Committee shall consist of at least three members of the Board.</w:t>
      </w:r>
    </w:p>
    <w:p>
      <w:pPr>
        <w:spacing w:after="0" w:line="157" w:lineRule="exact"/>
        <w:rPr>
          <w:rFonts w:ascii="Arial" w:cs="Arial" w:eastAsia="Arial" w:hAnsi="Arial"/>
          <w:sz w:val="18"/>
          <w:szCs w:val="18"/>
          <w:color w:val="auto"/>
        </w:rPr>
      </w:pPr>
    </w:p>
    <w:p>
      <w:pPr>
        <w:ind w:right="60" w:firstLine="359"/>
        <w:spacing w:after="0" w:line="335" w:lineRule="auto"/>
        <w:tabs>
          <w:tab w:leader="none" w:pos="658" w:val="left"/>
        </w:tabs>
        <w:numPr>
          <w:ilvl w:val="1"/>
          <w:numId w:val="22"/>
        </w:numPr>
        <w:rPr>
          <w:rFonts w:ascii="Arial" w:cs="Arial" w:eastAsia="Arial" w:hAnsi="Arial"/>
          <w:sz w:val="15"/>
          <w:szCs w:val="15"/>
          <w:color w:val="auto"/>
        </w:rPr>
      </w:pPr>
      <w:r>
        <w:rPr>
          <w:rFonts w:ascii="Arial" w:cs="Arial" w:eastAsia="Arial" w:hAnsi="Arial"/>
          <w:sz w:val="15"/>
          <w:szCs w:val="15"/>
          <w:i w:val="1"/>
          <w:iCs w:val="1"/>
          <w:color w:val="auto"/>
        </w:rPr>
        <w:t>Independence</w:t>
      </w:r>
      <w:r>
        <w:rPr>
          <w:rFonts w:ascii="Arial" w:cs="Arial" w:eastAsia="Arial" w:hAnsi="Arial"/>
          <w:sz w:val="15"/>
          <w:szCs w:val="15"/>
          <w:color w:val="auto"/>
        </w:rPr>
        <w:t>. Except as otherwise permitted by the Sarbanes-Oxley Act of 2002 (the “Act”) and the rules of Securities and Exchange Commission</w:t>
      </w:r>
      <w:r>
        <w:rPr>
          <w:rFonts w:ascii="Arial" w:cs="Arial" w:eastAsia="Arial" w:hAnsi="Arial"/>
          <w:sz w:val="15"/>
          <w:szCs w:val="15"/>
          <w:i w:val="1"/>
          <w:iCs w:val="1"/>
          <w:color w:val="auto"/>
        </w:rPr>
        <w:t xml:space="preserve"> </w:t>
      </w:r>
      <w:r>
        <w:rPr>
          <w:rFonts w:ascii="Arial" w:cs="Arial" w:eastAsia="Arial" w:hAnsi="Arial"/>
          <w:sz w:val="15"/>
          <w:szCs w:val="15"/>
          <w:color w:val="auto"/>
        </w:rPr>
        <w:t>(the “SEC”) and The Nasdaq Stock Market (“Nasdaq”), each member of the Committee shall be “independent” as defined by the Act and such rules and shall not have participated in the preparation of the financial statements of the Company or any current subsidiary of the Company at any time during the past three years.</w:t>
      </w:r>
    </w:p>
    <w:p>
      <w:pPr>
        <w:spacing w:after="0" w:line="74" w:lineRule="exact"/>
        <w:rPr>
          <w:rFonts w:ascii="Arial" w:cs="Arial" w:eastAsia="Arial" w:hAnsi="Arial"/>
          <w:sz w:val="15"/>
          <w:szCs w:val="15"/>
          <w:color w:val="auto"/>
        </w:rPr>
      </w:pPr>
    </w:p>
    <w:p>
      <w:pPr>
        <w:ind w:right="100" w:firstLine="359"/>
        <w:spacing w:after="0" w:line="253"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Financial Literacy</w:t>
      </w:r>
      <w:r>
        <w:rPr>
          <w:rFonts w:ascii="Arial" w:cs="Arial" w:eastAsia="Arial" w:hAnsi="Arial"/>
          <w:sz w:val="18"/>
          <w:szCs w:val="18"/>
          <w:color w:val="auto"/>
        </w:rPr>
        <w:t>. Each member of the Committee shall be able to read and understand fundamental financial statements, including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income statement and cash flow statement at the time of his or her appointment to the Committee. In addition, at least one member must have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 Unless otherwise determined by the Board of Directors (in which case disclosure of such determination shall be made in the Company’s annual report filed with the SEC), at least one member of the Committee shall be a “audit committee financial expert” as defined by applicable SEC rules. All members of the Committee shall participate in continuing education programs as set forth in the rules developed by the Nasdaq Listing and Hearings Review Council.</w:t>
      </w:r>
    </w:p>
    <w:p>
      <w:pPr>
        <w:spacing w:after="0" w:line="131" w:lineRule="exact"/>
        <w:rPr>
          <w:rFonts w:ascii="Arial" w:cs="Arial" w:eastAsia="Arial" w:hAnsi="Arial"/>
          <w:sz w:val="18"/>
          <w:szCs w:val="18"/>
          <w:color w:val="auto"/>
        </w:rPr>
      </w:pPr>
    </w:p>
    <w:p>
      <w:pPr>
        <w:ind w:left="660" w:hanging="301"/>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Chair</w:t>
      </w:r>
      <w:r>
        <w:rPr>
          <w:rFonts w:ascii="Arial" w:cs="Arial" w:eastAsia="Arial" w:hAnsi="Arial"/>
          <w:sz w:val="18"/>
          <w:szCs w:val="18"/>
          <w:color w:val="auto"/>
        </w:rPr>
        <w:t>.  The Board shall designate one member of the Committee to be Chairperson of the Committee.</w:t>
      </w:r>
    </w:p>
    <w:p>
      <w:pPr>
        <w:spacing w:after="0" w:line="157" w:lineRule="exact"/>
        <w:rPr>
          <w:rFonts w:ascii="Arial" w:cs="Arial" w:eastAsia="Arial" w:hAnsi="Arial"/>
          <w:sz w:val="18"/>
          <w:szCs w:val="18"/>
          <w:color w:val="auto"/>
        </w:rPr>
      </w:pPr>
    </w:p>
    <w:p>
      <w:pPr>
        <w:ind w:right="60" w:firstLine="359"/>
        <w:spacing w:after="0" w:line="332" w:lineRule="auto"/>
        <w:tabs>
          <w:tab w:leader="none" w:pos="658"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Compensation</w:t>
      </w:r>
      <w:r>
        <w:rPr>
          <w:rFonts w:ascii="Arial" w:cs="Arial" w:eastAsia="Arial" w:hAnsi="Arial"/>
          <w:sz w:val="16"/>
          <w:szCs w:val="16"/>
          <w:color w:val="auto"/>
        </w:rPr>
        <w:t>. The compensation of Committee members shall be as determined by the Board. No member of the Committee may receive,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any consulting, advisory or other compensatory fee from the Company or any of its subsidiaries other than for services as a director.</w:t>
      </w:r>
    </w:p>
    <w:p>
      <w:pPr>
        <w:spacing w:after="0" w:line="71" w:lineRule="exact"/>
        <w:rPr>
          <w:rFonts w:ascii="Arial" w:cs="Arial" w:eastAsia="Arial" w:hAnsi="Arial"/>
          <w:sz w:val="16"/>
          <w:szCs w:val="16"/>
          <w:color w:val="auto"/>
        </w:rPr>
      </w:pPr>
    </w:p>
    <w:p>
      <w:pPr>
        <w:ind w:right="260" w:firstLine="359"/>
        <w:spacing w:after="0" w:line="268"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Selection and Removal</w:t>
      </w:r>
      <w:r>
        <w:rPr>
          <w:rFonts w:ascii="Arial" w:cs="Arial" w:eastAsia="Arial" w:hAnsi="Arial"/>
          <w:sz w:val="18"/>
          <w:szCs w:val="18"/>
          <w:color w:val="auto"/>
        </w:rPr>
        <w:t>. Members of the Committee shall be appointed by the Board. The Board may remove members of the Committee from such</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with or without cause.</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and Responsibilities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Committee shall discharge its responsibilities, and shall assess the information provided by the Company’s management and the independent auditor, in accordance with its business judgment. The authority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responsibilities set forth in this Charter do not reflect or create any duty or obligation of the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Independent Auditors</w:t>
      </w:r>
    </w:p>
    <w:p>
      <w:pPr>
        <w:spacing w:after="0" w:line="83" w:lineRule="exact"/>
        <w:rPr>
          <w:sz w:val="20"/>
          <w:szCs w:val="20"/>
          <w:color w:val="auto"/>
        </w:rPr>
      </w:pPr>
    </w:p>
    <w:p>
      <w:pPr>
        <w:ind w:firstLine="359"/>
        <w:spacing w:after="0" w:line="294" w:lineRule="auto"/>
        <w:tabs>
          <w:tab w:leader="none" w:pos="65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Selection</w:t>
      </w:r>
      <w:r>
        <w:rPr>
          <w:rFonts w:ascii="Arial" w:cs="Arial" w:eastAsia="Arial" w:hAnsi="Arial"/>
          <w:sz w:val="16"/>
          <w:szCs w:val="16"/>
          <w:color w:val="auto"/>
        </w:rPr>
        <w:t>. The Committee shall be solely and directly responsible for appointing, determining the scope of, evaluating and, when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terminating the relationship with the independent auditor. The Committee shall decide, in accordance with the Act and SEC rules, the extent to which independent public accountants other than the principal auditor are to be used and understand the rationale for using them. The Committee shall direct the principal auditor and secondary accountants to coordinate their work and shall direct the principal auditor to perform an appropriate review of the secondary accountants’ work. The Committee may, in its discretion, seek stockholder ratification of any independent auditor it appoints.</w:t>
      </w:r>
    </w:p>
    <w:p>
      <w:pPr>
        <w:spacing w:after="0" w:line="102" w:lineRule="exact"/>
        <w:rPr>
          <w:rFonts w:ascii="Arial" w:cs="Arial" w:eastAsia="Arial" w:hAnsi="Arial"/>
          <w:sz w:val="16"/>
          <w:szCs w:val="16"/>
          <w:color w:val="auto"/>
        </w:rPr>
      </w:pPr>
    </w:p>
    <w:p>
      <w:pPr>
        <w:ind w:right="240" w:firstLine="359"/>
        <w:spacing w:after="0" w:line="255" w:lineRule="auto"/>
        <w:tabs>
          <w:tab w:leader="none" w:pos="65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Independence</w:t>
      </w:r>
      <w:r>
        <w:rPr>
          <w:rFonts w:ascii="Arial" w:cs="Arial" w:eastAsia="Arial" w:hAnsi="Arial"/>
          <w:sz w:val="18"/>
          <w:szCs w:val="18"/>
          <w:color w:val="auto"/>
        </w:rPr>
        <w:t>. The Committee shall take appropriate action to oversee the independence of the independent auditor. In connection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the Committee shall periodically obtain and review a formal written statement from the independent auditor describing all relationships between the independent auditor and the Company, including the disclosures required by Independence Standards Board, Standard No. 1. The Committee shall actively engage in dialogue with the independent auditor concerning any disclosed relationships or services that might impact the objectivity and independence of the auditor.</w:t>
      </w:r>
    </w:p>
    <w:p>
      <w:pPr>
        <w:spacing w:after="0" w:line="129" w:lineRule="exact"/>
        <w:rPr>
          <w:rFonts w:ascii="Arial" w:cs="Arial" w:eastAsia="Arial" w:hAnsi="Arial"/>
          <w:sz w:val="18"/>
          <w:szCs w:val="18"/>
          <w:color w:val="auto"/>
        </w:rPr>
      </w:pPr>
    </w:p>
    <w:p>
      <w:pPr>
        <w:jc w:val="both"/>
        <w:ind w:right="340" w:firstLine="359"/>
        <w:spacing w:after="0" w:line="370" w:lineRule="auto"/>
        <w:tabs>
          <w:tab w:leader="none" w:pos="658"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Compensation</w:t>
      </w:r>
      <w:r>
        <w:rPr>
          <w:rFonts w:ascii="Arial" w:cs="Arial" w:eastAsia="Arial" w:hAnsi="Arial"/>
          <w:sz w:val="15"/>
          <w:szCs w:val="15"/>
          <w:color w:val="auto"/>
        </w:rPr>
        <w:t>. The Committee shall have sole and direct responsibility for setting the compensation of the independent auditor. The Committee is</w:t>
      </w:r>
      <w:r>
        <w:rPr>
          <w:rFonts w:ascii="Arial" w:cs="Arial" w:eastAsia="Arial" w:hAnsi="Arial"/>
          <w:sz w:val="15"/>
          <w:szCs w:val="15"/>
          <w:i w:val="1"/>
          <w:iCs w:val="1"/>
          <w:color w:val="auto"/>
        </w:rPr>
        <w:t xml:space="preserve"> </w:t>
      </w:r>
      <w:r>
        <w:rPr>
          <w:rFonts w:ascii="Arial" w:cs="Arial" w:eastAsia="Arial" w:hAnsi="Arial"/>
          <w:sz w:val="15"/>
          <w:szCs w:val="15"/>
          <w:color w:val="auto"/>
        </w:rPr>
        <w:t>empowered, without further action by the Board, to cause the Company to pay the compensation of the independent auditor as established by the Committee.</w:t>
      </w:r>
    </w:p>
    <w:p>
      <w:pPr>
        <w:spacing w:after="0" w:line="48" w:lineRule="exact"/>
        <w:rPr>
          <w:rFonts w:ascii="Arial" w:cs="Arial" w:eastAsia="Arial" w:hAnsi="Arial"/>
          <w:sz w:val="15"/>
          <w:szCs w:val="15"/>
          <w:color w:val="auto"/>
        </w:rPr>
      </w:pPr>
    </w:p>
    <w:p>
      <w:pPr>
        <w:ind w:right="40" w:firstLine="359"/>
        <w:spacing w:after="0" w:line="291" w:lineRule="auto"/>
        <w:tabs>
          <w:tab w:leader="none" w:pos="65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Pre-Approval and Disclosure of Services</w:t>
      </w:r>
      <w:r>
        <w:rPr>
          <w:rFonts w:ascii="Arial" w:cs="Arial" w:eastAsia="Arial" w:hAnsi="Arial"/>
          <w:sz w:val="16"/>
          <w:szCs w:val="16"/>
          <w:color w:val="auto"/>
        </w:rPr>
        <w:t>. The Committee shall pre-approve all audit services and permitted non-audit services (other than de minimis</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non-audit services as defined and permitted by the Act and SEC rules) in accordance with the Company’s Audit and Non-Audit Services Pre-Approval Policy. The Committee shall cause the Company to disclose in its periodic SEC reports the approval by the Committee of any non-audit services to be performed by the independent auditor. The Committee shall further cause the Company to disclose the Company’s Audit and Non-Audit Services Pre-Approval Policy in the Company’s annual report and proxy statement, and, to the extent required by the Act and the rules of the SEC and Nasdaq, the Audit fees, Audited-Related fees, Tax fees and All Other fees, as defined by the SEC, paid to the Company’s independent auditor in the annual report or proxy statement.</w:t>
      </w:r>
    </w:p>
    <w:p>
      <w:pPr>
        <w:spacing w:after="0" w:line="106" w:lineRule="exact"/>
        <w:rPr>
          <w:rFonts w:ascii="Arial" w:cs="Arial" w:eastAsia="Arial" w:hAnsi="Arial"/>
          <w:sz w:val="16"/>
          <w:szCs w:val="16"/>
          <w:color w:val="auto"/>
        </w:rPr>
      </w:pPr>
    </w:p>
    <w:p>
      <w:pPr>
        <w:ind w:right="120" w:firstLine="359"/>
        <w:spacing w:after="0" w:line="298" w:lineRule="auto"/>
        <w:tabs>
          <w:tab w:leader="none" w:pos="65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Oversight</w:t>
      </w:r>
      <w:r>
        <w:rPr>
          <w:rFonts w:ascii="Arial" w:cs="Arial" w:eastAsia="Arial" w:hAnsi="Arial"/>
          <w:sz w:val="16"/>
          <w:szCs w:val="16"/>
          <w:color w:val="auto"/>
        </w:rPr>
        <w:t>. The independent auditor shall report directly to the Committee, and the Committee shall have sole and direct responsibility for overseeing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independent auditor for purposes of all work it performs for the Company, including resolution of disagreements between Company management and the independent auditor regarding financial reporting. In connection with its oversight role, the Committee shall from time to time, as appropriate, obtain and review the reports required to be made by the independent auditor pursuant to the Act or otherwise regarding:</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critical accounting policies and practices;</w:t>
      </w:r>
    </w:p>
    <w:p>
      <w:pPr>
        <w:spacing w:after="0" w:line="103" w:lineRule="exact"/>
        <w:rPr>
          <w:rFonts w:ascii="Arial" w:cs="Arial" w:eastAsia="Arial" w:hAnsi="Arial"/>
          <w:sz w:val="18"/>
          <w:szCs w:val="18"/>
          <w:color w:val="auto"/>
        </w:rPr>
      </w:pPr>
    </w:p>
    <w:p>
      <w:pPr>
        <w:jc w:val="both"/>
        <w:ind w:left="780" w:right="140" w:hanging="326"/>
        <w:spacing w:after="0" w:line="259" w:lineRule="auto"/>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alternative treatments of financial information within generally accepted accounting principles for policies and practices related to material items that have been discussed with Company management, including ramifications of the use of such alternative disclosures and treatments, and the treatment preferred by the independent auditor; and</w:t>
      </w:r>
    </w:p>
    <w:p>
      <w:pPr>
        <w:spacing w:after="0" w:line="45" w:lineRule="exact"/>
        <w:rPr>
          <w:rFonts w:ascii="Arial" w:cs="Arial" w:eastAsia="Arial" w:hAnsi="Arial"/>
          <w:sz w:val="18"/>
          <w:szCs w:val="18"/>
          <w:color w:val="auto"/>
        </w:rPr>
      </w:pPr>
    </w:p>
    <w:p>
      <w:pPr>
        <w:ind w:left="780" w:right="180" w:hanging="326"/>
        <w:spacing w:after="0" w:line="268" w:lineRule="auto"/>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Company management, such as any “management letter” or schedule of “unadjusted differences.”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shall authorize appropriate changes to be made pursuant to its review and report such changes to the Board.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1" w:name="page32"/>
    <w:bookmarkEnd w:id="31"/>
    <w:p>
      <w:pPr>
        <w:ind w:lef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of Audited Financial Statements</w:t>
      </w:r>
    </w:p>
    <w:p>
      <w:pPr>
        <w:spacing w:after="0" w:line="83" w:lineRule="exact"/>
        <w:rPr>
          <w:sz w:val="20"/>
          <w:szCs w:val="20"/>
          <w:color w:val="auto"/>
        </w:rPr>
      </w:pPr>
    </w:p>
    <w:p>
      <w:pPr>
        <w:ind w:left="780" w:right="100" w:hanging="326"/>
        <w:spacing w:after="0" w:line="291" w:lineRule="auto"/>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Discussion of Audited Financial Statements</w:t>
      </w:r>
      <w:r>
        <w:rPr>
          <w:rFonts w:ascii="Arial" w:cs="Arial" w:eastAsia="Arial" w:hAnsi="Arial"/>
          <w:sz w:val="16"/>
          <w:szCs w:val="16"/>
          <w:color w:val="auto"/>
        </w:rPr>
        <w:t>. The Committee shall review and discuss with the Company’s management and independent auditor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audited financial statements, including the matters about which Statement on Auditing Standards No. 61 (Codification of Statements on Auditing Standards, AU §380) requires discussion and the financial statements and disclosures under Management’s Discussion and Analysis of Financial Condition and Results of Operations to be included in the Company’s Annual Report on Form 10-K (or the annual report to shareholders if distributed prior to the filing of Form 10-K), including their judgment about the quality, not just the acceptability, of accounting principles, the reasonableness of significant judgments, and the clarity of the disclosures in the financial statements.</w:t>
      </w:r>
    </w:p>
    <w:p>
      <w:pPr>
        <w:spacing w:after="0" w:line="25" w:lineRule="exact"/>
        <w:rPr>
          <w:rFonts w:ascii="Arial" w:cs="Arial" w:eastAsia="Arial" w:hAnsi="Arial"/>
          <w:sz w:val="16"/>
          <w:szCs w:val="16"/>
          <w:color w:val="auto"/>
        </w:rPr>
      </w:pPr>
    </w:p>
    <w:p>
      <w:pPr>
        <w:ind w:left="780" w:right="700" w:hanging="326"/>
        <w:spacing w:after="0" w:line="325" w:lineRule="auto"/>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Recommendation to Board Regarding Financial Statements</w:t>
      </w:r>
      <w:r>
        <w:rPr>
          <w:rFonts w:ascii="Arial" w:cs="Arial" w:eastAsia="Arial" w:hAnsi="Arial"/>
          <w:sz w:val="16"/>
          <w:szCs w:val="16"/>
          <w:color w:val="auto"/>
        </w:rPr>
        <w:t>. The Committee shall consider whether it will recommend to the Board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audited financial statements be included in the Company’s Annual Report and any other report to the SEC or stockholders.</w:t>
      </w:r>
    </w:p>
    <w:p>
      <w:pPr>
        <w:spacing w:after="0" w:line="1"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Committee Report</w:t>
      </w:r>
      <w:r>
        <w:rPr>
          <w:rFonts w:ascii="Arial" w:cs="Arial" w:eastAsia="Arial" w:hAnsi="Arial"/>
          <w:sz w:val="18"/>
          <w:szCs w:val="18"/>
          <w:color w:val="auto"/>
        </w:rPr>
        <w:t>. The Committee shall review all proxy statements and prepare the report described in Item 306 of Regulation S-K for inclusion</w:t>
      </w:r>
      <w:r>
        <w:rPr>
          <w:rFonts w:ascii="Arial" w:cs="Arial" w:eastAsia="Arial" w:hAnsi="Arial"/>
          <w:sz w:val="18"/>
          <w:szCs w:val="18"/>
          <w:i w:val="1"/>
          <w:iCs w:val="1"/>
          <w:color w:val="auto"/>
        </w:rPr>
        <w:t xml:space="preserve"> </w:t>
      </w:r>
      <w:r>
        <w:rPr>
          <w:rFonts w:ascii="Arial" w:cs="Arial" w:eastAsia="Arial" w:hAnsi="Arial"/>
          <w:sz w:val="18"/>
          <w:szCs w:val="18"/>
          <w:color w:val="auto"/>
        </w:rPr>
        <w:t>where necessary in a proxy statement of the Company relating to an annual meeting of security holders at which directors are to be elected (or special meeting or written consents in lieu of such meeting).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Review of Other Financial Disclosures</w:t>
      </w:r>
    </w:p>
    <w:p>
      <w:pPr>
        <w:spacing w:after="0" w:line="8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Independent Auditor Review of Interim Financial Statements</w:t>
      </w:r>
      <w:r>
        <w:rPr>
          <w:rFonts w:ascii="Arial" w:cs="Arial" w:eastAsia="Arial" w:hAnsi="Arial"/>
          <w:sz w:val="16"/>
          <w:szCs w:val="16"/>
          <w:color w:val="auto"/>
        </w:rPr>
        <w:t>. The Committee shall direct the independent auditor to use its best efforts to perform all</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of interim financial information prior to disclosure by the Company of such information and to discuss promptly with the Committee and the Chief Financial Officer any matters identified in connection with the auditor’s review of interim financial information which are required to be discussed by applicable auditing standards. The committee shall review the interim financial statements and disclosures under Management’s Discussion and Analysis of Financial Condition and Results of Operations with management and the independent auditors prior to the filing of the Company’s Quarterly Report on Form 10-Q. Also, the Committee shall discuss the results of the quarterly review and any other matters required to be communicated to the Committee by the independent auditors under generally accepted auditing standards. The Committee shall direct management to advise the Committee in the event that the Company proposes to disclose interim financial information prior to completion of the independent auditor’s review of interim financial information. In any event, the Committee shall review the consistency and adequacy of all interim financial disclosures prior to any public disclosure.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Additional Review</w:t>
      </w:r>
    </w:p>
    <w:p>
      <w:pPr>
        <w:spacing w:after="0" w:line="83" w:lineRule="exact"/>
        <w:rPr>
          <w:sz w:val="20"/>
          <w:szCs w:val="20"/>
          <w:color w:val="auto"/>
        </w:rPr>
      </w:pPr>
    </w:p>
    <w:p>
      <w:pPr>
        <w:ind w:right="340" w:firstLine="351"/>
        <w:spacing w:after="0" w:line="335" w:lineRule="auto"/>
        <w:rPr>
          <w:sz w:val="20"/>
          <w:szCs w:val="20"/>
          <w:color w:val="auto"/>
        </w:rPr>
      </w:pPr>
      <w:r>
        <w:rPr>
          <w:rFonts w:ascii="Arial" w:cs="Arial" w:eastAsia="Arial" w:hAnsi="Arial"/>
          <w:sz w:val="15"/>
          <w:szCs w:val="15"/>
          <w:color w:val="auto"/>
        </w:rPr>
        <w:t>Following completion of any audit or review of financial statements and prior to any public disclosure, the Committee shall review earnings releases, unusual transactions and accounting estimates, post-audit or post-review matters such as any differences between the planned and actual scope of the audit or review and recent and prospective opinions of the Accounting Principles Board and their impact upon the Company’s accounting and financial statements.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Controls</w:t>
      </w:r>
    </w:p>
    <w:p>
      <w:pPr>
        <w:spacing w:after="0" w:line="83" w:lineRule="exact"/>
        <w:rPr>
          <w:sz w:val="20"/>
          <w:szCs w:val="20"/>
          <w:color w:val="auto"/>
        </w:rPr>
      </w:pPr>
    </w:p>
    <w:p>
      <w:pPr>
        <w:ind w:right="220" w:firstLine="359"/>
        <w:spacing w:after="0" w:line="255" w:lineRule="auto"/>
        <w:tabs>
          <w:tab w:leader="none" w:pos="65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Oversight. </w:t>
      </w:r>
      <w:r>
        <w:rPr>
          <w:rFonts w:ascii="Arial" w:cs="Arial" w:eastAsia="Arial" w:hAnsi="Arial"/>
          <w:sz w:val="18"/>
          <w:szCs w:val="18"/>
          <w:color w:val="auto"/>
        </w:rPr>
        <w:t>The Committee shall coordinate the Company’s policy, oversight and review of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controls and procedures and management information systems. The Committee shall conduct an annual review of the adequacy of such controls and the staff that implements them and shall direct the Vice President, Internal Auditing, or persons performing similar functions, to take action as the Committee deems prudent. The Committee shall receive and review the reports of management, the certifications of the CEO and CFO and the independent auditor’s attestation under the Act and SEC rules.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2" w:name="page33"/>
    <w:bookmarkEnd w:id="32"/>
    <w:p>
      <w:pPr>
        <w:ind w:right="100" w:firstLine="359"/>
        <w:spacing w:after="0" w:line="259" w:lineRule="auto"/>
        <w:tabs>
          <w:tab w:leader="none" w:pos="65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Procedures for Complaints. </w:t>
      </w:r>
      <w:r>
        <w:rPr>
          <w:rFonts w:ascii="Arial" w:cs="Arial" w:eastAsia="Arial" w:hAnsi="Arial"/>
          <w:sz w:val="18"/>
          <w:szCs w:val="18"/>
          <w:color w:val="auto"/>
        </w:rPr>
        <w:t>The Committee shall establish procedures for (i) the receipt, retention and treatment of complaints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regarding accounting, internal accounting controls or auditing matters; and (ii) the confidential, anonymous submission by employees of the Company of concerns regarding questionable accounting or auditing matters.</w:t>
      </w:r>
    </w:p>
    <w:p>
      <w:pPr>
        <w:spacing w:after="0" w:line="126" w:lineRule="exact"/>
        <w:rPr>
          <w:rFonts w:ascii="Arial" w:cs="Arial" w:eastAsia="Arial" w:hAnsi="Arial"/>
          <w:sz w:val="18"/>
          <w:szCs w:val="18"/>
          <w:color w:val="auto"/>
        </w:rPr>
      </w:pPr>
    </w:p>
    <w:p>
      <w:pPr>
        <w:ind w:firstLine="359"/>
        <w:spacing w:after="0" w:line="259" w:lineRule="auto"/>
        <w:tabs>
          <w:tab w:leader="none" w:pos="65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Investigations. </w:t>
      </w:r>
      <w:r>
        <w:rPr>
          <w:rFonts w:ascii="Arial" w:cs="Arial" w:eastAsia="Arial" w:hAnsi="Arial"/>
          <w:sz w:val="18"/>
          <w:szCs w:val="18"/>
          <w:color w:val="auto"/>
        </w:rPr>
        <w:t>The Committee shall have the authority to conduct or authorize special audits and investigations into any matters within the scope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responsibilities as it shall deem appropriate, including the authority to request any officer, employee or advisor of the Company to meet with the Committee or any advisors engaged by the Committee.</w:t>
      </w:r>
    </w:p>
    <w:p>
      <w:pPr>
        <w:spacing w:after="0" w:line="126" w:lineRule="exact"/>
        <w:rPr>
          <w:rFonts w:ascii="Arial" w:cs="Arial" w:eastAsia="Arial" w:hAnsi="Arial"/>
          <w:sz w:val="18"/>
          <w:szCs w:val="18"/>
          <w:color w:val="auto"/>
        </w:rPr>
      </w:pPr>
    </w:p>
    <w:p>
      <w:pPr>
        <w:ind w:right="480" w:firstLine="359"/>
        <w:spacing w:after="0" w:line="268" w:lineRule="auto"/>
        <w:tabs>
          <w:tab w:leader="none" w:pos="65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Related-Party Transactions. </w:t>
      </w:r>
      <w:r>
        <w:rPr>
          <w:rFonts w:ascii="Arial" w:cs="Arial" w:eastAsia="Arial" w:hAnsi="Arial"/>
          <w:sz w:val="18"/>
          <w:szCs w:val="18"/>
          <w:color w:val="auto"/>
        </w:rPr>
        <w:t>To the extent required by the Act and the rules of the SEC and Nasdaq, the Committee shall review all related party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on an ongoing basis and all such transactions must be approved by the Committee.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Additional Authorities and Responsibilities</w:t>
      </w:r>
    </w:p>
    <w:p>
      <w:pPr>
        <w:spacing w:after="0" w:line="83" w:lineRule="exact"/>
        <w:rPr>
          <w:sz w:val="20"/>
          <w:szCs w:val="20"/>
          <w:color w:val="auto"/>
        </w:rPr>
      </w:pPr>
    </w:p>
    <w:p>
      <w:pPr>
        <w:ind w:right="80" w:firstLine="359"/>
        <w:spacing w:after="0" w:line="335" w:lineRule="auto"/>
        <w:tabs>
          <w:tab w:leader="none" w:pos="658" w:val="left"/>
        </w:tabs>
        <w:numPr>
          <w:ilvl w:val="1"/>
          <w:numId w:val="27"/>
        </w:numPr>
        <w:rPr>
          <w:rFonts w:ascii="Arial" w:cs="Arial" w:eastAsia="Arial" w:hAnsi="Arial"/>
          <w:sz w:val="15"/>
          <w:szCs w:val="15"/>
          <w:color w:val="auto"/>
        </w:rPr>
      </w:pPr>
      <w:r>
        <w:rPr>
          <w:rFonts w:ascii="Arial" w:cs="Arial" w:eastAsia="Arial" w:hAnsi="Arial"/>
          <w:sz w:val="15"/>
          <w:szCs w:val="15"/>
          <w:i w:val="1"/>
          <w:iCs w:val="1"/>
          <w:color w:val="auto"/>
        </w:rPr>
        <w:t>Independent Advisors</w:t>
      </w:r>
      <w:r>
        <w:rPr>
          <w:rFonts w:ascii="Arial" w:cs="Arial" w:eastAsia="Arial" w:hAnsi="Arial"/>
          <w:sz w:val="15"/>
          <w:szCs w:val="15"/>
          <w:color w:val="auto"/>
        </w:rPr>
        <w:t>. The Committee shall have the authority to engage and determine funding for such independent legal, accounting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advisors as it deems necessary or appropriate to carry out its responsibilities. Such independent advisors may be the regular advisors to the Company. The Committee is empowered, without further action by the Board, to cause the Company to pay the compensation of such advisors as established by the Committee.</w:t>
      </w:r>
    </w:p>
    <w:p>
      <w:pPr>
        <w:spacing w:after="0" w:line="74" w:lineRule="exact"/>
        <w:rPr>
          <w:rFonts w:ascii="Arial" w:cs="Arial" w:eastAsia="Arial" w:hAnsi="Arial"/>
          <w:sz w:val="15"/>
          <w:szCs w:val="15"/>
          <w:color w:val="auto"/>
        </w:rPr>
      </w:pPr>
    </w:p>
    <w:p>
      <w:pPr>
        <w:ind w:left="660" w:hanging="301"/>
        <w:spacing w:after="0"/>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Additional Authority</w:t>
      </w:r>
      <w:r>
        <w:rPr>
          <w:rFonts w:ascii="Arial" w:cs="Arial" w:eastAsia="Arial" w:hAnsi="Arial"/>
          <w:sz w:val="16"/>
          <w:szCs w:val="16"/>
          <w:color w:val="auto"/>
        </w:rPr>
        <w:t>.  The Committee shall have such other authority and responsibilities as may be delegated from time to time by the Board.</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Procedures and Administration</w:t>
      </w:r>
    </w:p>
    <w:p>
      <w:pPr>
        <w:spacing w:after="0" w:line="82" w:lineRule="exact"/>
        <w:rPr>
          <w:rFonts w:ascii="Arial" w:cs="Arial" w:eastAsia="Arial" w:hAnsi="Arial"/>
          <w:sz w:val="18"/>
          <w:szCs w:val="18"/>
          <w:color w:val="auto"/>
        </w:rPr>
      </w:pPr>
    </w:p>
    <w:p>
      <w:pPr>
        <w:ind w:right="100" w:firstLine="359"/>
        <w:spacing w:after="0" w:line="306" w:lineRule="auto"/>
        <w:tabs>
          <w:tab w:leader="none" w:pos="658"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Meetings</w:t>
      </w:r>
      <w:r>
        <w:rPr>
          <w:rFonts w:ascii="Arial" w:cs="Arial" w:eastAsia="Arial" w:hAnsi="Arial"/>
          <w:sz w:val="16"/>
          <w:szCs w:val="16"/>
          <w:color w:val="auto"/>
        </w:rPr>
        <w:t>. The Committee shall meet at least quarterly and as often as it deems necessary in order to perform its responsibilities. The Committee shall</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meet separately with: (i) the independent auditor; (ii) the Company’s management and (iii) the Company’s Vice President, Internal Auditing, or persons performing similar functions. The Committee and any subcommittee shall keep such records of its meetings as it may deem appropriate.</w:t>
      </w:r>
    </w:p>
    <w:p>
      <w:pPr>
        <w:spacing w:after="0" w:line="93" w:lineRule="exact"/>
        <w:rPr>
          <w:rFonts w:ascii="Arial" w:cs="Arial" w:eastAsia="Arial" w:hAnsi="Arial"/>
          <w:sz w:val="16"/>
          <w:szCs w:val="16"/>
          <w:color w:val="auto"/>
        </w:rPr>
      </w:pPr>
    </w:p>
    <w:p>
      <w:pPr>
        <w:ind w:left="660" w:hanging="301"/>
        <w:spacing w:after="0"/>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The quorum for conducting the business of the Committee shall be a majority of the membership.</w:t>
      </w:r>
    </w:p>
    <w:p>
      <w:pPr>
        <w:spacing w:after="0" w:line="157" w:lineRule="exact"/>
        <w:rPr>
          <w:rFonts w:ascii="Arial" w:cs="Arial" w:eastAsia="Arial" w:hAnsi="Arial"/>
          <w:sz w:val="18"/>
          <w:szCs w:val="18"/>
          <w:color w:val="auto"/>
        </w:rPr>
      </w:pPr>
    </w:p>
    <w:p>
      <w:pPr>
        <w:ind w:right="100" w:firstLine="359"/>
        <w:spacing w:after="0" w:line="259"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Subcommittees</w:t>
      </w:r>
      <w:r>
        <w:rPr>
          <w:rFonts w:ascii="Arial" w:cs="Arial" w:eastAsia="Arial" w:hAnsi="Arial"/>
          <w:sz w:val="18"/>
          <w:szCs w:val="18"/>
          <w:color w:val="auto"/>
        </w:rPr>
        <w:t>. The Committee may form and delegate authority to one or more subcommittees (including a subcommittee consisting of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member), as it deems appropriate from time to time under the circumstances. Any decision of a subcommittee to pre-approve audit or non-audit services shall be reported to the full Committee at its next scheduled meeting.</w:t>
      </w:r>
    </w:p>
    <w:p>
      <w:pPr>
        <w:spacing w:after="0" w:line="126" w:lineRule="exact"/>
        <w:rPr>
          <w:rFonts w:ascii="Arial" w:cs="Arial" w:eastAsia="Arial" w:hAnsi="Arial"/>
          <w:sz w:val="18"/>
          <w:szCs w:val="18"/>
          <w:color w:val="auto"/>
        </w:rPr>
      </w:pPr>
    </w:p>
    <w:p>
      <w:pPr>
        <w:ind w:left="660" w:hanging="301"/>
        <w:spacing w:after="0"/>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Reports to the Board</w:t>
      </w:r>
      <w:r>
        <w:rPr>
          <w:rFonts w:ascii="Arial" w:cs="Arial" w:eastAsia="Arial" w:hAnsi="Arial"/>
          <w:sz w:val="18"/>
          <w:szCs w:val="18"/>
          <w:color w:val="auto"/>
        </w:rPr>
        <w:t>.  The Committee shall regularly report a summary of its actions and the results of its reviews to the Board.</w:t>
      </w:r>
    </w:p>
    <w:p>
      <w:pPr>
        <w:spacing w:after="0" w:line="157" w:lineRule="exact"/>
        <w:rPr>
          <w:rFonts w:ascii="Arial" w:cs="Arial" w:eastAsia="Arial" w:hAnsi="Arial"/>
          <w:sz w:val="18"/>
          <w:szCs w:val="18"/>
          <w:color w:val="auto"/>
        </w:rPr>
      </w:pPr>
    </w:p>
    <w:p>
      <w:pPr>
        <w:ind w:left="660" w:hanging="301"/>
        <w:spacing w:after="0"/>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Charter</w:t>
      </w:r>
      <w:r>
        <w:rPr>
          <w:rFonts w:ascii="Arial" w:cs="Arial" w:eastAsia="Arial" w:hAnsi="Arial"/>
          <w:sz w:val="16"/>
          <w:szCs w:val="16"/>
          <w:color w:val="auto"/>
        </w:rPr>
        <w:t>.  Annually, the Committee shall review and reassess the adequacy of this charter and recommend any proposed changes to the Board for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approval.</w:t>
      </w:r>
    </w:p>
    <w:p>
      <w:pPr>
        <w:spacing w:after="0" w:line="151" w:lineRule="exact"/>
        <w:rPr>
          <w:rFonts w:ascii="Arial" w:cs="Arial" w:eastAsia="Arial" w:hAnsi="Arial"/>
          <w:sz w:val="16"/>
          <w:szCs w:val="16"/>
          <w:color w:val="auto"/>
        </w:rPr>
      </w:pPr>
    </w:p>
    <w:p>
      <w:pPr>
        <w:ind w:right="280" w:firstLine="359"/>
        <w:spacing w:after="0" w:line="268" w:lineRule="auto"/>
        <w:tabs>
          <w:tab w:leader="none" w:pos="658"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Funding</w:t>
      </w:r>
      <w:r>
        <w:rPr>
          <w:rFonts w:ascii="Arial" w:cs="Arial" w:eastAsia="Arial" w:hAnsi="Arial"/>
          <w:sz w:val="18"/>
          <w:szCs w:val="18"/>
          <w:color w:val="auto"/>
        </w:rPr>
        <w:t>. The Committee is empowered, without further action by the Board of Directors, to cause the Company to pay the ordinary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the Committee that are necessary or appropriate in carrying out its duties.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3" w:name="page34"/>
    <w:bookmarkEnd w:id="33"/>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4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of 2004 Annual Meeting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Wednesday, August 4, 2004</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11:00 A.M.</w:t>
      </w:r>
    </w:p>
    <w:p>
      <w:pPr>
        <w:spacing w:after="0" w:line="14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Greenberg Traurig, LLP</w:t>
      </w:r>
    </w:p>
    <w:p>
      <w:pPr>
        <w:spacing w:after="0" w:line="21" w:lineRule="exact"/>
        <w:rPr>
          <w:sz w:val="20"/>
          <w:szCs w:val="20"/>
          <w:color w:val="auto"/>
        </w:rPr>
      </w:pPr>
    </w:p>
    <w:p>
      <w:pPr>
        <w:jc w:val="both"/>
        <w:ind w:left="4740" w:right="2979" w:firstLine="2"/>
        <w:spacing w:after="0" w:line="281" w:lineRule="auto"/>
        <w:tabs>
          <w:tab w:leader="none" w:pos="5047"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Park Avenue MetLife Building 15th Floor</w:t>
      </w:r>
    </w:p>
    <w:p>
      <w:pPr>
        <w:spacing w:after="0" w:line="2" w:lineRule="exact"/>
        <w:rPr>
          <w:rFonts w:ascii="Arial" w:cs="Arial" w:eastAsia="Arial" w:hAnsi="Arial"/>
          <w:sz w:val="16"/>
          <w:szCs w:val="16"/>
          <w:b w:val="1"/>
          <w:bCs w:val="1"/>
          <w:color w:val="auto"/>
        </w:rPr>
      </w:pPr>
    </w:p>
    <w:p>
      <w:pPr>
        <w:ind w:left="47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New York, New York</w:t>
      </w:r>
    </w:p>
    <w:p>
      <w:pPr>
        <w:spacing w:after="0" w:line="14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STOCKHOLDERS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CASUAL MALE RETAIL GROUP,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4, 2004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Please date, sign and mail</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your proxy card in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envelope provided as soon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as possible.</w:t>
      </w:r>
    </w:p>
    <w:p>
      <w:pPr>
        <w:jc w:val="center"/>
        <w:ind w:right="-59"/>
        <w:spacing w:after="0"/>
        <w:tabs>
          <w:tab w:leader="none" w:pos="200" w:val="left"/>
          <w:tab w:leader="none" w:pos="200" w:val="left"/>
        </w:tabs>
        <w:rPr>
          <w:sz w:val="20"/>
          <w:szCs w:val="20"/>
          <w:color w:val="auto"/>
        </w:rPr>
      </w:pPr>
      <w:r>
        <w:rPr>
          <w:rFonts w:ascii="Arial" w:cs="Arial" w:eastAsia="Arial" w:hAnsi="Arial"/>
          <w:sz w:val="21"/>
          <w:szCs w:val="21"/>
          <w:b w:val="1"/>
          <w:bCs w:val="1"/>
          <w:color w:val="auto"/>
          <w:vertAlign w:val="subscript"/>
        </w:rPr>
        <w:t>ê</w:t>
      </w:r>
      <w:r>
        <w:rPr>
          <w:sz w:val="20"/>
          <w:szCs w:val="20"/>
          <w:color w:val="auto"/>
        </w:rPr>
        <w:tab/>
      </w:r>
      <w:r>
        <w:rPr>
          <w:rFonts w:ascii="Arial" w:cs="Arial" w:eastAsia="Arial" w:hAnsi="Arial"/>
          <w:sz w:val="10"/>
          <w:szCs w:val="10"/>
          <w:color w:val="auto"/>
        </w:rPr>
        <w:t>Please detach along perforated line and mail in the envelope provided.</w:t>
      </w:r>
      <w:r>
        <w:rPr>
          <w:sz w:val="20"/>
          <w:szCs w:val="20"/>
          <w:color w:val="auto"/>
        </w:rPr>
        <w:tab/>
      </w:r>
      <w:r>
        <w:rPr>
          <w:rFonts w:ascii="Arial" w:cs="Arial" w:eastAsia="Arial" w:hAnsi="Arial"/>
          <w:sz w:val="21"/>
          <w:szCs w:val="21"/>
          <w:b w:val="1"/>
          <w:bCs w:val="1"/>
          <w:color w:val="auto"/>
          <w:vertAlign w:val="subscript"/>
        </w:rPr>
        <w:t>ê</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THE BOARD OF DIRECTORS RECOMMENDS A VOTE “FOR” THE ELECTION OF DIRECTORS AND “FOR” PROPOSAL 2.</w:t>
      </w:r>
    </w:p>
    <w:p>
      <w:pPr>
        <w:jc w:val="center"/>
        <w:ind w:right="-119"/>
        <w:spacing w:after="0" w:line="138" w:lineRule="exact"/>
        <w:tabs>
          <w:tab w:leader="none" w:pos="120" w:val="left"/>
        </w:tabs>
        <w:rPr>
          <w:sz w:val="20"/>
          <w:szCs w:val="20"/>
          <w:color w:val="auto"/>
        </w:rPr>
      </w:pPr>
      <w:r>
        <w:rPr>
          <w:rFonts w:ascii="Arial" w:cs="Arial" w:eastAsia="Arial" w:hAnsi="Arial"/>
          <w:sz w:val="12"/>
          <w:szCs w:val="12"/>
          <w:b w:val="1"/>
          <w:bCs w:val="1"/>
          <w:color w:val="auto"/>
        </w:rPr>
        <w:t>PLEASE SIGN, DATE AND RETURN PROMPTLY IN THE ENCLOSED ENVELOPE. PLEASE MARK YOUR VOTE IN BLUE OR BLACK INK AS SHOWN HERE</w:t>
      </w:r>
      <w:r>
        <w:rPr>
          <w:sz w:val="20"/>
          <w:szCs w:val="20"/>
          <w:color w:val="auto"/>
        </w:rPr>
        <w:tab/>
      </w:r>
      <w:r>
        <w:rPr>
          <w:rFonts w:ascii="MS PGothic" w:cs="MS PGothic" w:eastAsia="MS PGothic" w:hAnsi="MS PGothic"/>
          <w:sz w:val="12"/>
          <w:szCs w:val="1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4596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326" w:lineRule="exact"/>
        <w:rPr>
          <w:sz w:val="20"/>
          <w:szCs w:val="20"/>
          <w:color w:val="auto"/>
        </w:rPr>
      </w:pPr>
    </w:p>
    <w:p>
      <w:pPr>
        <w:ind w:left="340" w:right="240" w:hanging="224"/>
        <w:spacing w:after="0" w:line="321" w:lineRule="auto"/>
        <w:tabs>
          <w:tab w:leader="none" w:pos="360" w:val="left"/>
        </w:tabs>
        <w:numPr>
          <w:ilvl w:val="0"/>
          <w:numId w:val="30"/>
        </w:numPr>
        <w:rPr>
          <w:rFonts w:ascii="Arial" w:cs="Arial" w:eastAsia="Arial" w:hAnsi="Arial"/>
          <w:sz w:val="12"/>
          <w:szCs w:val="12"/>
          <w:color w:val="auto"/>
        </w:rPr>
      </w:pPr>
      <w:r>
        <w:rPr>
          <w:rFonts w:ascii="Arial" w:cs="Arial" w:eastAsia="Arial" w:hAnsi="Arial"/>
          <w:sz w:val="12"/>
          <w:szCs w:val="12"/>
          <w:b w:val="1"/>
          <w:bCs w:val="1"/>
          <w:color w:val="auto"/>
        </w:rPr>
        <w:t xml:space="preserve">Election of Directors: </w:t>
      </w:r>
      <w:r>
        <w:rPr>
          <w:rFonts w:ascii="Arial" w:cs="Arial" w:eastAsia="Arial" w:hAnsi="Arial"/>
          <w:sz w:val="12"/>
          <w:szCs w:val="12"/>
          <w:color w:val="auto"/>
        </w:rPr>
        <w:t>THE BOARD OF DIRECTORS RECOMMENDS</w:t>
      </w:r>
      <w:r>
        <w:rPr>
          <w:rFonts w:ascii="Arial" w:cs="Arial" w:eastAsia="Arial" w:hAnsi="Arial"/>
          <w:sz w:val="12"/>
          <w:szCs w:val="12"/>
          <w:b w:val="1"/>
          <w:bCs w:val="1"/>
          <w:color w:val="auto"/>
        </w:rPr>
        <w:t xml:space="preserve"> </w:t>
      </w:r>
      <w:r>
        <w:rPr>
          <w:rFonts w:ascii="Arial" w:cs="Arial" w:eastAsia="Arial" w:hAnsi="Arial"/>
          <w:sz w:val="12"/>
          <w:szCs w:val="12"/>
          <w:color w:val="auto"/>
        </w:rPr>
        <w:t>A VOTE “FOR” ALL NOMINEES NAMED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42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rPr>
              <w:t>☐</w:t>
            </w:r>
          </w:p>
        </w:tc>
        <w:tc>
          <w:tcPr>
            <w:tcW w:w="224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2240" w:type="dxa"/>
            <w:vAlign w:val="bottom"/>
          </w:tcPr>
          <w:p>
            <w:pPr>
              <w:ind w:left="120"/>
              <w:spacing w:after="0"/>
              <w:rPr>
                <w:sz w:val="20"/>
                <w:szCs w:val="20"/>
                <w:color w:val="auto"/>
              </w:rPr>
            </w:pPr>
            <w:r>
              <w:rPr>
                <w:rFonts w:ascii="Arial" w:cs="Arial" w:eastAsia="Arial" w:hAnsi="Arial"/>
                <w:sz w:val="14"/>
                <w:szCs w:val="14"/>
                <w:b w:val="1"/>
                <w:bCs w:val="1"/>
                <w:color w:val="auto"/>
              </w:rPr>
              <w:t>FOR ALL NOMINEES</w:t>
            </w:r>
          </w:p>
        </w:tc>
        <w:tc>
          <w:tcPr>
            <w:tcW w:w="340" w:type="dxa"/>
            <w:vAlign w:val="bottom"/>
          </w:tcPr>
          <w:p>
            <w:pPr>
              <w:ind w:left="180"/>
              <w:spacing w:after="0"/>
              <w:rPr>
                <w:sz w:val="20"/>
                <w:szCs w:val="20"/>
                <w:color w:val="auto"/>
              </w:rPr>
            </w:pPr>
            <w:r>
              <w:rPr>
                <w:rFonts w:ascii="Arial" w:cs="Arial" w:eastAsia="Arial" w:hAnsi="Arial"/>
                <w:sz w:val="14"/>
                <w:szCs w:val="14"/>
                <w:color w:val="auto"/>
              </w:rPr>
              <w:t>O</w:t>
            </w:r>
          </w:p>
        </w:tc>
        <w:tc>
          <w:tcPr>
            <w:tcW w:w="1140" w:type="dxa"/>
            <w:vAlign w:val="bottom"/>
          </w:tcPr>
          <w:p>
            <w:pPr>
              <w:ind w:left="60"/>
              <w:spacing w:after="0"/>
              <w:rPr>
                <w:sz w:val="20"/>
                <w:szCs w:val="20"/>
                <w:color w:val="auto"/>
              </w:rPr>
            </w:pPr>
            <w:r>
              <w:rPr>
                <w:rFonts w:ascii="Arial" w:cs="Arial" w:eastAsia="Arial" w:hAnsi="Arial"/>
                <w:sz w:val="14"/>
                <w:szCs w:val="14"/>
                <w:color w:val="auto"/>
                <w:w w:val="89"/>
              </w:rPr>
              <w:t>Seymour Holtzman</w:t>
            </w:r>
          </w:p>
        </w:tc>
        <w:tc>
          <w:tcPr>
            <w:tcW w:w="0" w:type="dxa"/>
            <w:vAlign w:val="bottom"/>
          </w:tcPr>
          <w:p>
            <w:pPr>
              <w:spacing w:after="0"/>
              <w:rPr>
                <w:sz w:val="1"/>
                <w:szCs w:val="1"/>
                <w:color w:val="auto"/>
              </w:rPr>
            </w:pPr>
          </w:p>
        </w:tc>
      </w:tr>
      <w:tr>
        <w:trPr>
          <w:trHeight w:val="132"/>
        </w:trPr>
        <w:tc>
          <w:tcPr>
            <w:tcW w:w="420" w:type="dxa"/>
            <w:vAlign w:val="bottom"/>
            <w:vMerge w:val="continue"/>
          </w:tcPr>
          <w:p>
            <w:pPr>
              <w:spacing w:after="0"/>
              <w:rPr>
                <w:sz w:val="11"/>
                <w:szCs w:val="11"/>
                <w:color w:val="auto"/>
              </w:rPr>
            </w:pPr>
          </w:p>
        </w:tc>
        <w:tc>
          <w:tcPr>
            <w:tcW w:w="2240" w:type="dxa"/>
            <w:vAlign w:val="bottom"/>
          </w:tcPr>
          <w:p>
            <w:pPr>
              <w:spacing w:after="0"/>
              <w:rPr>
                <w:sz w:val="11"/>
                <w:szCs w:val="11"/>
                <w:color w:val="auto"/>
              </w:rPr>
            </w:pPr>
          </w:p>
        </w:tc>
        <w:tc>
          <w:tcPr>
            <w:tcW w:w="340" w:type="dxa"/>
            <w:vAlign w:val="bottom"/>
          </w:tcPr>
          <w:p>
            <w:pPr>
              <w:ind w:left="180"/>
              <w:spacing w:after="0" w:line="133" w:lineRule="exact"/>
              <w:rPr>
                <w:sz w:val="20"/>
                <w:szCs w:val="20"/>
                <w:color w:val="auto"/>
              </w:rPr>
            </w:pPr>
            <w:r>
              <w:rPr>
                <w:rFonts w:ascii="Arial" w:cs="Arial" w:eastAsia="Arial" w:hAnsi="Arial"/>
                <w:sz w:val="14"/>
                <w:szCs w:val="14"/>
                <w:color w:val="auto"/>
              </w:rPr>
              <w:t>O</w:t>
            </w:r>
          </w:p>
        </w:tc>
        <w:tc>
          <w:tcPr>
            <w:tcW w:w="1140" w:type="dxa"/>
            <w:vAlign w:val="bottom"/>
          </w:tcPr>
          <w:p>
            <w:pPr>
              <w:ind w:left="60"/>
              <w:spacing w:after="0" w:line="133" w:lineRule="exact"/>
              <w:rPr>
                <w:sz w:val="20"/>
                <w:szCs w:val="20"/>
                <w:color w:val="auto"/>
              </w:rPr>
            </w:pPr>
            <w:r>
              <w:rPr>
                <w:rFonts w:ascii="Arial" w:cs="Arial" w:eastAsia="Arial" w:hAnsi="Arial"/>
                <w:sz w:val="14"/>
                <w:szCs w:val="14"/>
                <w:color w:val="auto"/>
              </w:rPr>
              <w:t>David A. Levin</w:t>
            </w:r>
          </w:p>
        </w:tc>
        <w:tc>
          <w:tcPr>
            <w:tcW w:w="0" w:type="dxa"/>
            <w:vAlign w:val="bottom"/>
          </w:tcPr>
          <w:p>
            <w:pPr>
              <w:spacing w:after="0"/>
              <w:rPr>
                <w:sz w:val="1"/>
                <w:szCs w:val="1"/>
                <w:color w:val="auto"/>
              </w:rPr>
            </w:pPr>
          </w:p>
        </w:tc>
      </w:tr>
      <w:tr>
        <w:trPr>
          <w:trHeight w:val="176"/>
        </w:trPr>
        <w:tc>
          <w:tcPr>
            <w:tcW w:w="42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rPr>
              <w:t>☐</w:t>
            </w:r>
          </w:p>
        </w:tc>
        <w:tc>
          <w:tcPr>
            <w:tcW w:w="2240" w:type="dxa"/>
            <w:vAlign w:val="bottom"/>
          </w:tcPr>
          <w:p>
            <w:pPr>
              <w:ind w:left="120"/>
              <w:spacing w:after="0"/>
              <w:rPr>
                <w:sz w:val="20"/>
                <w:szCs w:val="20"/>
                <w:color w:val="auto"/>
              </w:rPr>
            </w:pPr>
            <w:r>
              <w:rPr>
                <w:rFonts w:ascii="Arial" w:cs="Arial" w:eastAsia="Arial" w:hAnsi="Arial"/>
                <w:sz w:val="14"/>
                <w:szCs w:val="14"/>
                <w:b w:val="1"/>
                <w:bCs w:val="1"/>
                <w:color w:val="auto"/>
              </w:rPr>
              <w:t>WITHHOLD AUTHORITY FOR</w:t>
            </w: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rPr>
              <w:t>O</w:t>
            </w:r>
          </w:p>
        </w:tc>
        <w:tc>
          <w:tcPr>
            <w:tcW w:w="1140" w:type="dxa"/>
            <w:vAlign w:val="bottom"/>
            <w:vMerge w:val="restart"/>
          </w:tcPr>
          <w:p>
            <w:pPr>
              <w:ind w:left="60"/>
              <w:spacing w:after="0"/>
              <w:rPr>
                <w:sz w:val="20"/>
                <w:szCs w:val="20"/>
                <w:color w:val="auto"/>
              </w:rPr>
            </w:pPr>
            <w:r>
              <w:rPr>
                <w:rFonts w:ascii="Arial" w:cs="Arial" w:eastAsia="Arial" w:hAnsi="Arial"/>
                <w:sz w:val="14"/>
                <w:szCs w:val="14"/>
                <w:color w:val="auto"/>
                <w:w w:val="99"/>
              </w:rPr>
              <w:t>Alan S. Bernikow</w:t>
            </w:r>
          </w:p>
        </w:tc>
        <w:tc>
          <w:tcPr>
            <w:tcW w:w="0" w:type="dxa"/>
            <w:vAlign w:val="bottom"/>
          </w:tcPr>
          <w:p>
            <w:pPr>
              <w:spacing w:after="0"/>
              <w:rPr>
                <w:sz w:val="1"/>
                <w:szCs w:val="1"/>
                <w:color w:val="auto"/>
              </w:rPr>
            </w:pPr>
          </w:p>
        </w:tc>
      </w:tr>
      <w:tr>
        <w:trPr>
          <w:trHeight w:val="70"/>
        </w:trPr>
        <w:tc>
          <w:tcPr>
            <w:tcW w:w="420" w:type="dxa"/>
            <w:vAlign w:val="bottom"/>
            <w:vMerge w:val="continue"/>
          </w:tcPr>
          <w:p>
            <w:pPr>
              <w:spacing w:after="0"/>
              <w:rPr>
                <w:sz w:val="6"/>
                <w:szCs w:val="6"/>
                <w:color w:val="auto"/>
              </w:rPr>
            </w:pPr>
          </w:p>
        </w:tc>
        <w:tc>
          <w:tcPr>
            <w:tcW w:w="22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ALL NOMINEES</w:t>
            </w:r>
          </w:p>
        </w:tc>
        <w:tc>
          <w:tcPr>
            <w:tcW w:w="34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2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rPr>
              <w:t>O</w:t>
            </w:r>
          </w:p>
        </w:tc>
        <w:tc>
          <w:tcPr>
            <w:tcW w:w="1140" w:type="dxa"/>
            <w:vAlign w:val="bottom"/>
            <w:vMerge w:val="restart"/>
          </w:tcPr>
          <w:p>
            <w:pPr>
              <w:ind w:left="60"/>
              <w:spacing w:after="0"/>
              <w:rPr>
                <w:sz w:val="20"/>
                <w:szCs w:val="20"/>
                <w:color w:val="auto"/>
              </w:rPr>
            </w:pPr>
            <w:r>
              <w:rPr>
                <w:rFonts w:ascii="Arial" w:cs="Arial" w:eastAsia="Arial" w:hAnsi="Arial"/>
                <w:sz w:val="14"/>
                <w:szCs w:val="14"/>
                <w:color w:val="auto"/>
              </w:rPr>
              <w:t>Jesse Choper</w:t>
            </w:r>
          </w:p>
        </w:tc>
        <w:tc>
          <w:tcPr>
            <w:tcW w:w="0" w:type="dxa"/>
            <w:vAlign w:val="bottom"/>
          </w:tcPr>
          <w:p>
            <w:pPr>
              <w:spacing w:after="0"/>
              <w:rPr>
                <w:sz w:val="1"/>
                <w:szCs w:val="1"/>
                <w:color w:val="auto"/>
              </w:rPr>
            </w:pPr>
          </w:p>
        </w:tc>
      </w:tr>
      <w:tr>
        <w:trPr>
          <w:trHeight w:val="57"/>
        </w:trPr>
        <w:tc>
          <w:tcPr>
            <w:tcW w:w="420" w:type="dxa"/>
            <w:vAlign w:val="bottom"/>
            <w:vMerge w:val="continue"/>
          </w:tcPr>
          <w:p>
            <w:pPr>
              <w:spacing w:after="0"/>
              <w:rPr>
                <w:sz w:val="4"/>
                <w:szCs w:val="4"/>
                <w:color w:val="auto"/>
              </w:rPr>
            </w:pPr>
          </w:p>
        </w:tc>
        <w:tc>
          <w:tcPr>
            <w:tcW w:w="2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rPr>
              <w:t>☐</w:t>
            </w:r>
          </w:p>
        </w:tc>
        <w:tc>
          <w:tcPr>
            <w:tcW w:w="22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FOR ALL EXCEPT</w:t>
            </w: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rPr>
              <w:t>O</w:t>
            </w:r>
          </w:p>
        </w:tc>
        <w:tc>
          <w:tcPr>
            <w:tcW w:w="1140" w:type="dxa"/>
            <w:vAlign w:val="bottom"/>
          </w:tcPr>
          <w:p>
            <w:pPr>
              <w:ind w:left="60"/>
              <w:spacing w:after="0" w:line="149" w:lineRule="exact"/>
              <w:rPr>
                <w:sz w:val="20"/>
                <w:szCs w:val="20"/>
                <w:color w:val="auto"/>
              </w:rPr>
            </w:pPr>
            <w:r>
              <w:rPr>
                <w:rFonts w:ascii="Arial" w:cs="Arial" w:eastAsia="Arial" w:hAnsi="Arial"/>
                <w:sz w:val="14"/>
                <w:szCs w:val="14"/>
                <w:color w:val="auto"/>
              </w:rPr>
              <w:t>James P. Frain</w:t>
            </w:r>
          </w:p>
        </w:tc>
        <w:tc>
          <w:tcPr>
            <w:tcW w:w="0" w:type="dxa"/>
            <w:vAlign w:val="bottom"/>
          </w:tcPr>
          <w:p>
            <w:pPr>
              <w:spacing w:after="0"/>
              <w:rPr>
                <w:sz w:val="1"/>
                <w:szCs w:val="1"/>
                <w:color w:val="auto"/>
              </w:rPr>
            </w:pPr>
          </w:p>
        </w:tc>
      </w:tr>
      <w:tr>
        <w:trPr>
          <w:trHeight w:val="149"/>
        </w:trPr>
        <w:tc>
          <w:tcPr>
            <w:tcW w:w="42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rPr>
              <w:t>O</w:t>
            </w:r>
          </w:p>
        </w:tc>
        <w:tc>
          <w:tcPr>
            <w:tcW w:w="1140" w:type="dxa"/>
            <w:vAlign w:val="bottom"/>
          </w:tcPr>
          <w:p>
            <w:pPr>
              <w:ind w:left="100"/>
              <w:spacing w:after="0" w:line="149" w:lineRule="exact"/>
              <w:rPr>
                <w:sz w:val="20"/>
                <w:szCs w:val="20"/>
                <w:color w:val="auto"/>
              </w:rPr>
            </w:pPr>
            <w:r>
              <w:rPr>
                <w:rFonts w:ascii="Arial" w:cs="Arial" w:eastAsia="Arial" w:hAnsi="Arial"/>
                <w:sz w:val="14"/>
                <w:szCs w:val="14"/>
                <w:color w:val="auto"/>
              </w:rPr>
              <w:t>Frank J. Husic</w:t>
            </w:r>
          </w:p>
        </w:tc>
        <w:tc>
          <w:tcPr>
            <w:tcW w:w="0" w:type="dxa"/>
            <w:vAlign w:val="bottom"/>
          </w:tcPr>
          <w:p>
            <w:pPr>
              <w:spacing w:after="0"/>
              <w:rPr>
                <w:sz w:val="1"/>
                <w:szCs w:val="1"/>
                <w:color w:val="auto"/>
              </w:rPr>
            </w:pPr>
          </w:p>
        </w:tc>
      </w:tr>
      <w:tr>
        <w:trPr>
          <w:trHeight w:val="149"/>
        </w:trPr>
        <w:tc>
          <w:tcPr>
            <w:tcW w:w="420" w:type="dxa"/>
            <w:vAlign w:val="bottom"/>
            <w:vMerge w:val="continue"/>
          </w:tcPr>
          <w:p>
            <w:pPr>
              <w:spacing w:after="0"/>
              <w:rPr>
                <w:sz w:val="12"/>
                <w:szCs w:val="12"/>
                <w:color w:val="auto"/>
              </w:rPr>
            </w:pPr>
          </w:p>
        </w:tc>
        <w:tc>
          <w:tcPr>
            <w:tcW w:w="2240" w:type="dxa"/>
            <w:vAlign w:val="bottom"/>
          </w:tcPr>
          <w:p>
            <w:pPr>
              <w:ind w:left="120"/>
              <w:spacing w:after="0" w:line="149" w:lineRule="exact"/>
              <w:rPr>
                <w:sz w:val="20"/>
                <w:szCs w:val="20"/>
                <w:color w:val="auto"/>
              </w:rPr>
            </w:pPr>
            <w:r>
              <w:rPr>
                <w:rFonts w:ascii="Arial" w:cs="Arial" w:eastAsia="Arial" w:hAnsi="Arial"/>
                <w:sz w:val="14"/>
                <w:szCs w:val="14"/>
                <w:color w:val="auto"/>
              </w:rPr>
              <w:t>(See instructions below)</w:t>
            </w: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rPr>
              <w:t>O</w:t>
            </w:r>
          </w:p>
        </w:tc>
        <w:tc>
          <w:tcPr>
            <w:tcW w:w="1140" w:type="dxa"/>
            <w:vAlign w:val="bottom"/>
          </w:tcPr>
          <w:p>
            <w:pPr>
              <w:ind w:left="60"/>
              <w:spacing w:after="0" w:line="149" w:lineRule="exact"/>
              <w:rPr>
                <w:sz w:val="20"/>
                <w:szCs w:val="20"/>
                <w:color w:val="auto"/>
              </w:rPr>
            </w:pPr>
            <w:r>
              <w:rPr>
                <w:rFonts w:ascii="Arial" w:cs="Arial" w:eastAsia="Arial" w:hAnsi="Arial"/>
                <w:sz w:val="14"/>
                <w:szCs w:val="14"/>
                <w:color w:val="auto"/>
                <w:w w:val="86"/>
              </w:rPr>
              <w:t>Joseph Pennacchio</w:t>
            </w:r>
          </w:p>
        </w:tc>
        <w:tc>
          <w:tcPr>
            <w:tcW w:w="0" w:type="dxa"/>
            <w:vAlign w:val="bottom"/>
          </w:tcPr>
          <w:p>
            <w:pPr>
              <w:spacing w:after="0"/>
              <w:rPr>
                <w:sz w:val="1"/>
                <w:szCs w:val="1"/>
                <w:color w:val="auto"/>
              </w:rPr>
            </w:pPr>
          </w:p>
        </w:tc>
      </w:tr>
      <w:tr>
        <w:trPr>
          <w:trHeight w:val="172"/>
        </w:trPr>
        <w:tc>
          <w:tcPr>
            <w:tcW w:w="42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Arial" w:cs="Arial" w:eastAsia="Arial" w:hAnsi="Arial"/>
                <w:sz w:val="14"/>
                <w:szCs w:val="14"/>
                <w:color w:val="auto"/>
              </w:rPr>
              <w:t>O</w:t>
            </w:r>
          </w:p>
        </w:tc>
        <w:tc>
          <w:tcPr>
            <w:tcW w:w="1140" w:type="dxa"/>
            <w:vAlign w:val="bottom"/>
          </w:tcPr>
          <w:p>
            <w:pPr>
              <w:ind w:left="60"/>
              <w:spacing w:after="0"/>
              <w:rPr>
                <w:sz w:val="20"/>
                <w:szCs w:val="20"/>
                <w:color w:val="auto"/>
              </w:rPr>
            </w:pPr>
            <w:r>
              <w:rPr>
                <w:rFonts w:ascii="Arial" w:cs="Arial" w:eastAsia="Arial" w:hAnsi="Arial"/>
                <w:sz w:val="14"/>
                <w:szCs w:val="14"/>
                <w:color w:val="auto"/>
                <w:w w:val="82"/>
              </w:rPr>
              <w:t>George T. Porter, Jr.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b w:val="1"/>
                <w:bCs w:val="1"/>
                <w:color w:val="auto"/>
              </w:rPr>
              <w:t>Ratification of appointment of Ernst &amp; Young LLP as</w:t>
            </w:r>
          </w:p>
        </w:tc>
        <w:tc>
          <w:tcPr>
            <w:tcW w:w="560" w:type="dxa"/>
            <w:vAlign w:val="bottom"/>
          </w:tcPr>
          <w:p>
            <w:pPr>
              <w:ind w:left="140"/>
              <w:spacing w:after="0"/>
              <w:rPr>
                <w:sz w:val="20"/>
                <w:szCs w:val="20"/>
                <w:color w:val="auto"/>
              </w:rPr>
            </w:pPr>
            <w:r>
              <w:rPr>
                <w:rFonts w:ascii="Arial" w:cs="Arial" w:eastAsia="Arial" w:hAnsi="Arial"/>
                <w:sz w:val="14"/>
                <w:szCs w:val="14"/>
                <w:color w:val="auto"/>
              </w:rPr>
              <w:t>FOR</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720" w:type="dxa"/>
            <w:vAlign w:val="bottom"/>
          </w:tcPr>
          <w:p>
            <w:pPr>
              <w:jc w:val="center"/>
              <w:ind w:left="45"/>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09"/>
        </w:trPr>
        <w:tc>
          <w:tcPr>
            <w:tcW w:w="3880" w:type="dxa"/>
            <w:vAlign w:val="bottom"/>
            <w:vMerge w:val="continue"/>
          </w:tcPr>
          <w:p>
            <w:pPr>
              <w:spacing w:after="0"/>
              <w:rPr>
                <w:sz w:val="9"/>
                <w:szCs w:val="9"/>
                <w:color w:val="auto"/>
              </w:rPr>
            </w:pPr>
          </w:p>
        </w:tc>
        <w:tc>
          <w:tcPr>
            <w:tcW w:w="560" w:type="dxa"/>
            <w:vAlign w:val="bottom"/>
            <w:vMerge w:val="restart"/>
          </w:tcPr>
          <w:p>
            <w:pPr>
              <w:ind w:left="120"/>
              <w:spacing w:after="0" w:line="321" w:lineRule="exact"/>
              <w:rPr>
                <w:sz w:val="20"/>
                <w:szCs w:val="20"/>
                <w:color w:val="auto"/>
              </w:rPr>
            </w:pPr>
            <w:r>
              <w:rPr>
                <w:rFonts w:ascii="MS PGothic" w:cs="MS PGothic" w:eastAsia="MS PGothic" w:hAnsi="MS PGothic"/>
                <w:sz w:val="32"/>
                <w:szCs w:val="32"/>
                <w:color w:val="auto"/>
              </w:rPr>
              <w:t>☐</w:t>
            </w:r>
          </w:p>
        </w:tc>
        <w:tc>
          <w:tcPr>
            <w:tcW w:w="8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720" w:type="dxa"/>
            <w:vAlign w:val="bottom"/>
            <w:vMerge w:val="restart"/>
          </w:tcPr>
          <w:p>
            <w:pPr>
              <w:jc w:val="center"/>
              <w:ind w:left="45"/>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51"/>
        </w:trPr>
        <w:tc>
          <w:tcPr>
            <w:tcW w:w="3880" w:type="dxa"/>
            <w:vAlign w:val="bottom"/>
          </w:tcPr>
          <w:p>
            <w:pPr>
              <w:ind w:left="220"/>
              <w:spacing w:after="0" w:line="151" w:lineRule="exact"/>
              <w:rPr>
                <w:sz w:val="20"/>
                <w:szCs w:val="20"/>
                <w:color w:val="auto"/>
              </w:rPr>
            </w:pPr>
            <w:r>
              <w:rPr>
                <w:rFonts w:ascii="Arial" w:cs="Arial" w:eastAsia="Arial" w:hAnsi="Arial"/>
                <w:sz w:val="14"/>
                <w:szCs w:val="14"/>
                <w:b w:val="1"/>
                <w:bCs w:val="1"/>
                <w:color w:val="auto"/>
                <w:w w:val="98"/>
              </w:rPr>
              <w:t xml:space="preserve">independent auditors for the Company: </w:t>
            </w:r>
            <w:r>
              <w:rPr>
                <w:rFonts w:ascii="Arial" w:cs="Arial" w:eastAsia="Arial" w:hAnsi="Arial"/>
                <w:sz w:val="14"/>
                <w:szCs w:val="14"/>
                <w:color w:val="auto"/>
                <w:w w:val="98"/>
              </w:rPr>
              <w:t>THE BOARD OF</w:t>
            </w:r>
          </w:p>
        </w:tc>
        <w:tc>
          <w:tcPr>
            <w:tcW w:w="5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880" w:type="dxa"/>
            <w:vAlign w:val="bottom"/>
          </w:tcPr>
          <w:p>
            <w:pPr>
              <w:ind w:left="220"/>
              <w:spacing w:after="0"/>
              <w:rPr>
                <w:sz w:val="20"/>
                <w:szCs w:val="20"/>
                <w:color w:val="auto"/>
              </w:rPr>
            </w:pPr>
            <w:r>
              <w:rPr>
                <w:rFonts w:ascii="Arial" w:cs="Arial" w:eastAsia="Arial" w:hAnsi="Arial"/>
                <w:sz w:val="14"/>
                <w:szCs w:val="14"/>
                <w:color w:val="auto"/>
                <w:w w:val="94"/>
              </w:rPr>
              <w:t>DIRECTORS RECOMMENDS A VOTE “FOR” PROPOSAL 2.</w:t>
            </w:r>
          </w:p>
        </w:tc>
        <w:tc>
          <w:tcPr>
            <w:tcW w:w="5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IF THIS PROXY IS PROPERLY EXECUTED AND RETURNED IT VOTED AS SPECIFIED HEREIN. IF NO SPECIFIC DIRECTION IS WILL BE GIVEN, IT WILL BE VOTED “FOR” EACH OF THE PROPOSALS RECEIPT IS HEREBY. ACKNOWLEDGED OF THE NOTICE OF ANNUAL MEETING AND PROXY STATEMENT OF CASUAL MALE RETAIL GROUP, INC. DATED JULY 6, 2004.</w:t>
      </w:r>
    </w:p>
    <w:p>
      <w:pPr>
        <w:spacing w:after="0" w:line="934" w:lineRule="exact"/>
        <w:rPr>
          <w:sz w:val="20"/>
          <w:szCs w:val="20"/>
          <w:color w:val="auto"/>
        </w:rPr>
      </w:pPr>
    </w:p>
    <w:p>
      <w:pPr>
        <w:sectPr>
          <w:pgSz w:w="11900" w:h="16838" w:orient="portrait"/>
          <w:cols w:equalWidth="0" w:num="2">
            <w:col w:w="4600" w:space="720"/>
            <w:col w:w="610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4"/>
          <w:szCs w:val="14"/>
          <w:b w:val="1"/>
          <w:bCs w:val="1"/>
          <w:u w:val="single" w:color="auto"/>
          <w:color w:val="auto"/>
        </w:rPr>
        <w:t>INSTRUCTIONS</w:t>
      </w:r>
      <w:r>
        <w:rPr>
          <w:rFonts w:ascii="Arial" w:cs="Arial" w:eastAsia="Arial" w:hAnsi="Arial"/>
          <w:sz w:val="14"/>
          <w:szCs w:val="14"/>
          <w:u w:val="single" w:color="auto"/>
          <w:color w:val="auto"/>
        </w:rPr>
        <w:t>:</w:t>
      </w:r>
      <w:r>
        <w:rPr>
          <w:sz w:val="20"/>
          <w:szCs w:val="20"/>
          <w:color w:val="auto"/>
        </w:rPr>
        <w:tab/>
      </w:r>
      <w:r>
        <w:rPr>
          <w:rFonts w:ascii="Arial" w:cs="Arial" w:eastAsia="Arial" w:hAnsi="Arial"/>
          <w:sz w:val="12"/>
          <w:szCs w:val="12"/>
          <w:color w:val="auto"/>
        </w:rPr>
        <w:t>To withhold authority to vote for any individual nominee(s), mark</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“FOR ALL EXCEPT” </w:t>
      </w:r>
      <w:r>
        <w:rPr>
          <w:rFonts w:ascii="Arial" w:cs="Arial" w:eastAsia="Arial" w:hAnsi="Arial"/>
          <w:sz w:val="12"/>
          <w:szCs w:val="12"/>
          <w:color w:val="auto"/>
        </w:rPr>
        <w:t>and fill in the circle next to each nominee</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you wish to withhold, as shown here: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gridSpan w:val="3"/>
            <w:vMerge w:val="restart"/>
          </w:tcPr>
          <w:p>
            <w:pPr>
              <w:ind w:left="200"/>
              <w:spacing w:after="0"/>
              <w:rPr>
                <w:sz w:val="20"/>
                <w:szCs w:val="20"/>
                <w:color w:val="auto"/>
              </w:rPr>
            </w:pPr>
            <w:r>
              <w:rPr>
                <w:rFonts w:ascii="Arial" w:cs="Arial" w:eastAsia="Arial" w:hAnsi="Arial"/>
                <w:sz w:val="14"/>
                <w:szCs w:val="14"/>
                <w:color w:val="auto"/>
              </w:rPr>
              <w:t>MARK HERE IF YOU PLAN TO ATTEND THE MEETING</w:t>
            </w:r>
          </w:p>
        </w:tc>
        <w:tc>
          <w:tcPr>
            <w:tcW w:w="500" w:type="dxa"/>
            <w:vAlign w:val="bottom"/>
          </w:tcPr>
          <w:p>
            <w:pPr>
              <w:ind w:left="40"/>
              <w:spacing w:after="0" w:line="321" w:lineRule="exact"/>
              <w:rPr>
                <w:sz w:val="20"/>
                <w:szCs w:val="20"/>
                <w:color w:val="auto"/>
              </w:rPr>
            </w:pPr>
            <w:r>
              <w:rPr>
                <w:rFonts w:ascii="MS PGothic" w:cs="MS PGothic" w:eastAsia="MS PGothic" w:hAnsi="MS PGothic"/>
                <w:sz w:val="32"/>
                <w:szCs w:val="32"/>
                <w:color w:val="auto"/>
              </w:rPr>
              <w:t>☐</w:t>
            </w:r>
          </w:p>
        </w:tc>
        <w:tc>
          <w:tcPr>
            <w:tcW w:w="0" w:type="dxa"/>
            <w:vAlign w:val="bottom"/>
          </w:tcPr>
          <w:p>
            <w:pPr>
              <w:spacing w:after="0"/>
              <w:rPr>
                <w:sz w:val="1"/>
                <w:szCs w:val="1"/>
                <w:color w:val="auto"/>
              </w:rPr>
            </w:pPr>
          </w:p>
        </w:tc>
      </w:tr>
      <w:tr>
        <w:trPr>
          <w:trHeight w:val="40"/>
        </w:trPr>
        <w:tc>
          <w:tcPr>
            <w:tcW w:w="18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18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18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560" w:type="dxa"/>
            <w:vAlign w:val="bottom"/>
            <w:gridSpan w:val="4"/>
          </w:tcPr>
          <w:p>
            <w:pPr>
              <w:ind w:left="120"/>
              <w:spacing w:after="0" w:line="131" w:lineRule="exact"/>
              <w:rPr>
                <w:sz w:val="20"/>
                <w:szCs w:val="20"/>
                <w:color w:val="auto"/>
              </w:rPr>
            </w:pPr>
            <w:r>
              <w:rPr>
                <w:rFonts w:ascii="Arial" w:cs="Arial" w:eastAsia="Arial" w:hAnsi="Arial"/>
                <w:sz w:val="14"/>
                <w:szCs w:val="14"/>
                <w:color w:val="auto"/>
                <w:w w:val="96"/>
              </w:rPr>
              <w:t>To change the address on your account, please check the box at right and</w:t>
            </w:r>
          </w:p>
        </w:tc>
        <w:tc>
          <w:tcPr>
            <w:tcW w:w="4740" w:type="dxa"/>
            <w:vAlign w:val="bottom"/>
            <w:gridSpan w:val="4"/>
            <w:vMerge w:val="restart"/>
          </w:tcPr>
          <w:p>
            <w:pPr>
              <w:ind w:left="180"/>
              <w:spacing w:after="0" w:line="321" w:lineRule="exact"/>
              <w:rPr>
                <w:sz w:val="20"/>
                <w:szCs w:val="20"/>
                <w:color w:val="auto"/>
              </w:rPr>
            </w:pPr>
            <w:r>
              <w:rPr>
                <w:rFonts w:ascii="MS PGothic" w:cs="MS PGothic" w:eastAsia="MS PGothic" w:hAnsi="MS PGothic"/>
                <w:sz w:val="32"/>
                <w:szCs w:val="32"/>
                <w:color w:val="auto"/>
              </w:rPr>
              <w:t>☐</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gridSpan w:val="4"/>
          </w:tcPr>
          <w:p>
            <w:pPr>
              <w:ind w:left="120"/>
              <w:spacing w:after="0" w:line="149" w:lineRule="exact"/>
              <w:rPr>
                <w:sz w:val="20"/>
                <w:szCs w:val="20"/>
                <w:color w:val="auto"/>
              </w:rPr>
            </w:pPr>
            <w:r>
              <w:rPr>
                <w:rFonts w:ascii="Arial" w:cs="Arial" w:eastAsia="Arial" w:hAnsi="Arial"/>
                <w:sz w:val="14"/>
                <w:szCs w:val="14"/>
                <w:color w:val="auto"/>
                <w:w w:val="87"/>
              </w:rPr>
              <w:t>indicate your new address in the address space above. Please note that changes</w:t>
            </w:r>
          </w:p>
        </w:tc>
        <w:tc>
          <w:tcPr>
            <w:tcW w:w="474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gridSpan w:val="4"/>
          </w:tcPr>
          <w:p>
            <w:pPr>
              <w:ind w:left="120"/>
              <w:spacing w:after="0" w:line="159" w:lineRule="exact"/>
              <w:rPr>
                <w:sz w:val="20"/>
                <w:szCs w:val="20"/>
                <w:color w:val="auto"/>
              </w:rPr>
            </w:pPr>
            <w:r>
              <w:rPr>
                <w:rFonts w:ascii="Arial" w:cs="Arial" w:eastAsia="Arial" w:hAnsi="Arial"/>
                <w:sz w:val="14"/>
                <w:szCs w:val="14"/>
                <w:color w:val="auto"/>
                <w:w w:val="89"/>
              </w:rPr>
              <w:t>to the registered name(s) on the account may not be submitted via this method.</w:t>
            </w:r>
          </w:p>
        </w:tc>
        <w:tc>
          <w:tcPr>
            <w:tcW w:w="4740" w:type="dxa"/>
            <w:vAlign w:val="bottom"/>
            <w:gridSpan w:val="4"/>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84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4"/>
                <w:szCs w:val="14"/>
                <w:color w:val="auto"/>
              </w:rPr>
              <w:t>Signature of Shareholder</w:t>
            </w:r>
          </w:p>
        </w:tc>
        <w:tc>
          <w:tcPr>
            <w:tcW w:w="17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color w:val="auto"/>
              </w:rPr>
              <w:t>Date:</w:t>
            </w:r>
          </w:p>
        </w:tc>
        <w:tc>
          <w:tcPr>
            <w:tcW w:w="3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60" w:type="dxa"/>
            <w:vAlign w:val="bottom"/>
            <w:vMerge w:val="restart"/>
          </w:tcPr>
          <w:p>
            <w:pPr>
              <w:ind w:left="220"/>
              <w:spacing w:after="0"/>
              <w:rPr>
                <w:sz w:val="20"/>
                <w:szCs w:val="20"/>
                <w:color w:val="auto"/>
              </w:rPr>
            </w:pPr>
            <w:r>
              <w:rPr>
                <w:rFonts w:ascii="Arial" w:cs="Arial" w:eastAsia="Arial" w:hAnsi="Arial"/>
                <w:sz w:val="14"/>
                <w:szCs w:val="14"/>
                <w:color w:val="auto"/>
              </w:rPr>
              <w:t>Signature of Shareholder</w:t>
            </w:r>
          </w:p>
        </w:tc>
        <w:tc>
          <w:tcPr>
            <w:tcW w:w="1500" w:type="dxa"/>
            <w:vAlign w:val="bottom"/>
            <w:tcBorders>
              <w:bottom w:val="single" w:sz="8" w:color="auto"/>
            </w:tcBorders>
          </w:tcPr>
          <w:p>
            <w:pPr>
              <w:spacing w:after="0"/>
              <w:rPr>
                <w:sz w:val="24"/>
                <w:szCs w:val="24"/>
                <w:color w:val="auto"/>
              </w:rPr>
            </w:pPr>
          </w:p>
        </w:tc>
        <w:tc>
          <w:tcPr>
            <w:tcW w:w="500" w:type="dxa"/>
            <w:vAlign w:val="bottom"/>
            <w:vMerge w:val="restart"/>
          </w:tcPr>
          <w:p>
            <w:pPr>
              <w:ind w:left="220"/>
              <w:spacing w:after="0"/>
              <w:rPr>
                <w:sz w:val="20"/>
                <w:szCs w:val="20"/>
                <w:color w:val="auto"/>
              </w:rPr>
            </w:pPr>
            <w:r>
              <w:rPr>
                <w:rFonts w:ascii="Arial" w:cs="Arial" w:eastAsia="Arial" w:hAnsi="Arial"/>
                <w:sz w:val="14"/>
                <w:szCs w:val="14"/>
                <w:color w:val="auto"/>
                <w:w w:val="77"/>
              </w:rPr>
              <w:t>Date:</w:t>
            </w: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tcBorders>
              <w:left w:val="single" w:sz="8" w:color="auto"/>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2060" w:type="dxa"/>
            <w:vAlign w:val="bottom"/>
            <w:vMerge w:val="continue"/>
          </w:tcPr>
          <w:p>
            <w:pPr>
              <w:spacing w:after="0"/>
              <w:rPr>
                <w:sz w:val="12"/>
                <w:szCs w:val="12"/>
                <w:color w:val="auto"/>
              </w:rPr>
            </w:pPr>
          </w:p>
        </w:tc>
        <w:tc>
          <w:tcPr>
            <w:tcW w:w="1500" w:type="dxa"/>
            <w:vAlign w:val="bottom"/>
            <w:tcBorders>
              <w:left w:val="single" w:sz="8" w:color="auto"/>
              <w:bottom w:val="single" w:sz="8" w:color="auto"/>
              <w:right w:val="single" w:sz="8" w:color="auto"/>
            </w:tcBorders>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-111125</wp:posOffset>
            </wp:positionV>
            <wp:extent cx="926465" cy="111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26465" cy="111760"/>
                    </a:xfrm>
                    <a:prstGeom prst="rect">
                      <a:avLst/>
                    </a:prstGeom>
                    <a:noFill/>
                  </pic:spPr>
                </pic:pic>
              </a:graphicData>
            </a:graphic>
          </wp:anchor>
        </w:drawing>
      </w:r>
    </w:p>
    <w:p>
      <w:pPr>
        <w:spacing w:after="0" w:line="116" w:lineRule="exact"/>
        <w:rPr>
          <w:sz w:val="20"/>
          <w:szCs w:val="20"/>
          <w:color w:val="auto"/>
        </w:rPr>
      </w:pPr>
    </w:p>
    <w:p>
      <w:pPr>
        <w:ind w:left="560" w:right="240" w:hanging="559"/>
        <w:spacing w:after="0" w:line="233" w:lineRule="auto"/>
        <w:tabs>
          <w:tab w:leader="none" w:pos="54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420"/>
          </w:cols>
          <w:pgMar w:left="240" w:top="274" w:right="239" w:bottom="1440" w:gutter="0" w:footer="0" w:header="0"/>
          <w:type w:val="continuous"/>
        </w:sectPr>
      </w:pPr>
    </w:p>
    <w:bookmarkStart w:id="35" w:name="page36"/>
    <w:bookmarkEnd w:id="35"/>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555 Turnpike Street, Canton, Massachusetts 02021</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 To Be Held On August 4, 2004</w:t>
      </w:r>
    </w:p>
    <w:p>
      <w:pPr>
        <w:spacing w:after="0" w:line="15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undersigned stockholder of Casual Male Retail Group, Inc.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Wednesday, August 4, 2004, at 11:00 A.M. local time, at the offices of Greenberg Traurig, LLP, 200 Park Avenue, MetLife Building, 15th Floor, New York, New York,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amp;"/>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lvl w:ilvl="1">
      <w:lvlJc w:val="left"/>
      <w:lvlText w:val="%2."/>
      <w:numFmt w:val="lowerLetter"/>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5"/>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upperLetter"/>
      <w:start w:val="1"/>
    </w:lvl>
  </w:abstractNum>
  <w:abstractNum w:abstractNumId="21">
    <w:nsid w:val="B03E0C6"/>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2">
    <w:nsid w:val="189A769B"/>
    <w:multiLevelType w:val="hybridMultilevel"/>
    <w:lvl w:ilvl="0">
      <w:lvlJc w:val="left"/>
      <w:lvlText w:val="%1."/>
      <w:numFmt w:val="decimal"/>
      <w:start w:val="1"/>
    </w:lvl>
    <w:lvl w:ilvl="1">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2"/>
    </w:lvl>
  </w:abstractNum>
  <w:abstractNum w:abstractNumId="26">
    <w:nsid w:val="836C40E"/>
    <w:multiLevelType w:val="hybridMultilevel"/>
    <w:lvl w:ilvl="0">
      <w:lvlJc w:val="left"/>
      <w:lvlText w:val="%1"/>
      <w:numFmt w:val="upperLetter"/>
      <w:start w:val="1"/>
    </w:lvl>
    <w:lvl w:ilvl="1">
      <w:lvlJc w:val="left"/>
      <w:lvlText w:val="%2."/>
      <w:numFmt w:val="decimal"/>
      <w:start w:val="1"/>
    </w:lvl>
  </w:abstractNum>
  <w:abstractNum w:abstractNumId="27">
    <w:nsid w:val="2901D82"/>
    <w:multiLevelType w:val="hybridMultilevel"/>
    <w:lvl w:ilvl="0">
      <w:lvlJc w:val="left"/>
      <w:lvlText w:val="%1."/>
      <w:numFmt w:val="upperLetter"/>
      <w:start w:val="4"/>
    </w:lvl>
    <w:lvl w:ilvl="1">
      <w:lvlJc w:val="left"/>
      <w:lvlText w:val="%2."/>
      <w:numFmt w:val="decimal"/>
      <w:start w:val="1"/>
    </w:lvl>
  </w:abstractNum>
  <w:abstractNum w:abstractNumId="28">
    <w:nsid w:val="3A95F874"/>
    <w:multiLevelType w:val="hybridMultilevel"/>
    <w:lvl w:ilvl="0">
      <w:lvlJc w:val="left"/>
      <w:lvlText w:val="%1"/>
      <w:numFmt w:val="decimal"/>
      <w:start w:val="200"/>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2019-12-20T17:13:11Z</dcterms:created>
  <dcterms:modified xsi:type="dcterms:W3CDTF">2019-12-20T17:13:11Z</dcterms:modified>
</cp:coreProperties>
</file>