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105"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158750</wp:posOffset>
            </wp:positionV>
            <wp:extent cx="5575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365"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178435</wp:posOffset>
            </wp:positionV>
            <wp:extent cx="5575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August 27,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180340</wp:posOffset>
            </wp:positionV>
            <wp:extent cx="5575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396"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DESTINATION XL GROUP, INC.</w:t>
      </w:r>
    </w:p>
    <w:p>
      <w:pPr>
        <w:spacing w:after="0" w:line="49"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154940</wp:posOffset>
            </wp:positionV>
            <wp:extent cx="5575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tbl>
      <w:tblPr>
        <w:tblLayout w:type="fixed"/>
        <w:tblInd w:w="800" w:type="dxa"/>
        <w:tblCellMar>
          <w:top w:w="0" w:type="dxa"/>
          <w:left w:w="0" w:type="dxa"/>
          <w:bottom w:w="0" w:type="dxa"/>
          <w:right w:w="0" w:type="dxa"/>
        </w:tblCellMar>
      </w:tblPr>
      <w:tr>
        <w:trPr>
          <w:trHeight w:val="258"/>
        </w:trPr>
        <w:tc>
          <w:tcPr>
            <w:tcW w:w="3220" w:type="dxa"/>
            <w:vAlign w:val="bottom"/>
          </w:tcPr>
          <w:p>
            <w:pPr>
              <w:jc w:val="center"/>
              <w:ind w:right="838"/>
              <w:spacing w:after="0"/>
              <w:rPr>
                <w:sz w:val="20"/>
                <w:szCs w:val="20"/>
                <w:color w:val="auto"/>
              </w:rPr>
            </w:pPr>
            <w:r>
              <w:rPr>
                <w:rFonts w:ascii="Arial" w:cs="Arial" w:eastAsia="Arial" w:hAnsi="Arial"/>
                <w:sz w:val="22"/>
                <w:szCs w:val="22"/>
                <w:b w:val="1"/>
                <w:bCs w:val="1"/>
                <w:color w:val="auto"/>
                <w:w w:val="88"/>
              </w:rPr>
              <w:t>Delaware</w:t>
            </w:r>
          </w:p>
        </w:tc>
        <w:tc>
          <w:tcPr>
            <w:tcW w:w="3700" w:type="dxa"/>
            <w:vAlign w:val="bottom"/>
          </w:tcPr>
          <w:p>
            <w:pPr>
              <w:jc w:val="right"/>
              <w:ind w:right="1512"/>
              <w:spacing w:after="0"/>
              <w:rPr>
                <w:sz w:val="20"/>
                <w:szCs w:val="20"/>
                <w:color w:val="auto"/>
              </w:rPr>
            </w:pPr>
            <w:r>
              <w:rPr>
                <w:rFonts w:ascii="Arial" w:cs="Arial" w:eastAsia="Arial" w:hAnsi="Arial"/>
                <w:sz w:val="22"/>
                <w:szCs w:val="22"/>
                <w:b w:val="1"/>
                <w:bCs w:val="1"/>
                <w:color w:val="auto"/>
              </w:rPr>
              <w:t>01-34219</w:t>
            </w:r>
          </w:p>
        </w:tc>
        <w:tc>
          <w:tcPr>
            <w:tcW w:w="2280" w:type="dxa"/>
            <w:vAlign w:val="bottom"/>
          </w:tcPr>
          <w:p>
            <w:pPr>
              <w:jc w:val="right"/>
              <w:spacing w:after="0"/>
              <w:rPr>
                <w:sz w:val="20"/>
                <w:szCs w:val="20"/>
                <w:color w:val="auto"/>
              </w:rPr>
            </w:pPr>
            <w:r>
              <w:rPr>
                <w:rFonts w:ascii="Arial" w:cs="Arial" w:eastAsia="Arial" w:hAnsi="Arial"/>
                <w:sz w:val="22"/>
                <w:szCs w:val="22"/>
                <w:b w:val="1"/>
                <w:bCs w:val="1"/>
                <w:color w:val="auto"/>
              </w:rPr>
              <w:t>04-2623104</w:t>
            </w:r>
          </w:p>
        </w:tc>
        <w:tc>
          <w:tcPr>
            <w:tcW w:w="0" w:type="dxa"/>
            <w:vAlign w:val="bottom"/>
          </w:tcPr>
          <w:p>
            <w:pPr>
              <w:spacing w:after="0"/>
              <w:rPr>
                <w:sz w:val="1"/>
                <w:szCs w:val="1"/>
                <w:color w:val="auto"/>
              </w:rPr>
            </w:pPr>
          </w:p>
        </w:tc>
      </w:tr>
      <w:tr>
        <w:trPr>
          <w:trHeight w:val="149"/>
        </w:trPr>
        <w:tc>
          <w:tcPr>
            <w:tcW w:w="3220" w:type="dxa"/>
            <w:vAlign w:val="bottom"/>
          </w:tcPr>
          <w:p>
            <w:pPr>
              <w:jc w:val="center"/>
              <w:ind w:right="858"/>
              <w:spacing w:after="0" w:line="149" w:lineRule="exact"/>
              <w:rPr>
                <w:sz w:val="20"/>
                <w:szCs w:val="20"/>
                <w:color w:val="auto"/>
              </w:rPr>
            </w:pPr>
            <w:r>
              <w:rPr>
                <w:rFonts w:ascii="Arial" w:cs="Arial" w:eastAsia="Arial" w:hAnsi="Arial"/>
                <w:sz w:val="14"/>
                <w:szCs w:val="14"/>
                <w:b w:val="1"/>
                <w:bCs w:val="1"/>
                <w:color w:val="auto"/>
                <w:w w:val="88"/>
              </w:rPr>
              <w:t>(State or Other Jurisdiction</w:t>
            </w:r>
          </w:p>
        </w:tc>
        <w:tc>
          <w:tcPr>
            <w:tcW w:w="3700" w:type="dxa"/>
            <w:vAlign w:val="bottom"/>
          </w:tcPr>
          <w:p>
            <w:pPr>
              <w:spacing w:after="0"/>
              <w:rPr>
                <w:sz w:val="12"/>
                <w:szCs w:val="12"/>
                <w:color w:val="auto"/>
              </w:rPr>
            </w:pPr>
          </w:p>
        </w:tc>
        <w:tc>
          <w:tcPr>
            <w:tcW w:w="2280" w:type="dxa"/>
            <w:vAlign w:val="bottom"/>
          </w:tcPr>
          <w:p>
            <w:pPr>
              <w:jc w:val="center"/>
              <w:ind w:left="1156"/>
              <w:spacing w:after="0" w:line="149" w:lineRule="exact"/>
              <w:rPr>
                <w:sz w:val="20"/>
                <w:szCs w:val="20"/>
                <w:color w:val="auto"/>
              </w:rPr>
            </w:pPr>
            <w:r>
              <w:rPr>
                <w:rFonts w:ascii="Arial" w:cs="Arial" w:eastAsia="Arial" w:hAnsi="Arial"/>
                <w:sz w:val="14"/>
                <w:szCs w:val="14"/>
                <w:b w:val="1"/>
                <w:bCs w:val="1"/>
                <w:color w:val="auto"/>
                <w:w w:val="91"/>
              </w:rPr>
              <w:t>(IRS Employer</w:t>
            </w:r>
          </w:p>
        </w:tc>
        <w:tc>
          <w:tcPr>
            <w:tcW w:w="0" w:type="dxa"/>
            <w:vAlign w:val="bottom"/>
          </w:tcPr>
          <w:p>
            <w:pPr>
              <w:spacing w:after="0"/>
              <w:rPr>
                <w:sz w:val="1"/>
                <w:szCs w:val="1"/>
                <w:color w:val="auto"/>
              </w:rPr>
            </w:pPr>
          </w:p>
        </w:tc>
      </w:tr>
      <w:tr>
        <w:trPr>
          <w:trHeight w:val="174"/>
        </w:trPr>
        <w:tc>
          <w:tcPr>
            <w:tcW w:w="3220" w:type="dxa"/>
            <w:vAlign w:val="bottom"/>
          </w:tcPr>
          <w:p>
            <w:pPr>
              <w:jc w:val="center"/>
              <w:ind w:right="858"/>
              <w:spacing w:after="0"/>
              <w:rPr>
                <w:sz w:val="20"/>
                <w:szCs w:val="20"/>
                <w:color w:val="auto"/>
              </w:rPr>
            </w:pPr>
            <w:r>
              <w:rPr>
                <w:rFonts w:ascii="Arial" w:cs="Arial" w:eastAsia="Arial" w:hAnsi="Arial"/>
                <w:sz w:val="14"/>
                <w:szCs w:val="14"/>
                <w:b w:val="1"/>
                <w:bCs w:val="1"/>
                <w:color w:val="auto"/>
                <w:w w:val="89"/>
              </w:rPr>
              <w:t>of Incorporation)</w:t>
            </w:r>
          </w:p>
        </w:tc>
        <w:tc>
          <w:tcPr>
            <w:tcW w:w="3700" w:type="dxa"/>
            <w:vAlign w:val="bottom"/>
          </w:tcPr>
          <w:p>
            <w:pPr>
              <w:jc w:val="center"/>
              <w:ind w:right="232"/>
              <w:spacing w:after="0"/>
              <w:rPr>
                <w:sz w:val="20"/>
                <w:szCs w:val="20"/>
                <w:color w:val="auto"/>
              </w:rPr>
            </w:pPr>
            <w:r>
              <w:rPr>
                <w:rFonts w:ascii="Arial" w:cs="Arial" w:eastAsia="Arial" w:hAnsi="Arial"/>
                <w:sz w:val="14"/>
                <w:szCs w:val="14"/>
                <w:b w:val="1"/>
                <w:bCs w:val="1"/>
                <w:color w:val="auto"/>
                <w:w w:val="88"/>
              </w:rPr>
              <w:t>(Commission File Number)</w:t>
            </w:r>
          </w:p>
        </w:tc>
        <w:tc>
          <w:tcPr>
            <w:tcW w:w="2280" w:type="dxa"/>
            <w:vAlign w:val="bottom"/>
          </w:tcPr>
          <w:p>
            <w:pPr>
              <w:jc w:val="center"/>
              <w:ind w:left="1136"/>
              <w:spacing w:after="0"/>
              <w:rPr>
                <w:sz w:val="20"/>
                <w:szCs w:val="20"/>
                <w:color w:val="auto"/>
              </w:rPr>
            </w:pPr>
            <w:r>
              <w:rPr>
                <w:rFonts w:ascii="Arial" w:cs="Arial" w:eastAsia="Arial" w:hAnsi="Arial"/>
                <w:sz w:val="14"/>
                <w:szCs w:val="14"/>
                <w:b w:val="1"/>
                <w:bCs w:val="1"/>
                <w:color w:val="auto"/>
                <w:w w:val="89"/>
              </w:rPr>
              <w:t>Identification No.)</w:t>
            </w:r>
          </w:p>
        </w:tc>
        <w:tc>
          <w:tcPr>
            <w:tcW w:w="0" w:type="dxa"/>
            <w:vAlign w:val="bottom"/>
          </w:tcPr>
          <w:p>
            <w:pPr>
              <w:spacing w:after="0"/>
              <w:rPr>
                <w:sz w:val="1"/>
                <w:szCs w:val="1"/>
                <w:color w:val="auto"/>
              </w:rPr>
            </w:pPr>
          </w:p>
        </w:tc>
      </w:tr>
      <w:tr>
        <w:trPr>
          <w:trHeight w:val="401"/>
        </w:trPr>
        <w:tc>
          <w:tcPr>
            <w:tcW w:w="3220" w:type="dxa"/>
            <w:vAlign w:val="bottom"/>
          </w:tcPr>
          <w:p>
            <w:pPr>
              <w:jc w:val="center"/>
              <w:ind w:right="838"/>
              <w:spacing w:after="0"/>
              <w:rPr>
                <w:sz w:val="20"/>
                <w:szCs w:val="20"/>
                <w:color w:val="auto"/>
              </w:rPr>
            </w:pPr>
            <w:r>
              <w:rPr>
                <w:rFonts w:ascii="Arial" w:cs="Arial" w:eastAsia="Arial" w:hAnsi="Arial"/>
                <w:sz w:val="18"/>
                <w:szCs w:val="18"/>
                <w:b w:val="1"/>
                <w:bCs w:val="1"/>
                <w:color w:val="auto"/>
                <w:w w:val="91"/>
              </w:rPr>
              <w:t>555 Turnpike Street,</w:t>
            </w:r>
          </w:p>
        </w:tc>
        <w:tc>
          <w:tcPr>
            <w:tcW w:w="3700" w:type="dxa"/>
            <w:vAlign w:val="bottom"/>
          </w:tcPr>
          <w:p>
            <w:pPr>
              <w:spacing w:after="0"/>
              <w:rPr>
                <w:sz w:val="24"/>
                <w:szCs w:val="24"/>
                <w:color w:val="auto"/>
              </w:rPr>
            </w:pPr>
          </w:p>
        </w:tc>
        <w:tc>
          <w:tcPr>
            <w:tcW w:w="2280" w:type="dxa"/>
            <w:vAlign w:val="bottom"/>
            <w:vMerge w:val="restart"/>
          </w:tcPr>
          <w:p>
            <w:pPr>
              <w:jc w:val="right"/>
              <w:ind w:right="176"/>
              <w:spacing w:after="0"/>
              <w:rPr>
                <w:sz w:val="20"/>
                <w:szCs w:val="20"/>
                <w:color w:val="auto"/>
              </w:rPr>
            </w:pPr>
            <w:r>
              <w:rPr>
                <w:rFonts w:ascii="Arial" w:cs="Arial" w:eastAsia="Arial" w:hAnsi="Arial"/>
                <w:sz w:val="22"/>
                <w:szCs w:val="22"/>
                <w:b w:val="1"/>
                <w:bCs w:val="1"/>
                <w:color w:val="auto"/>
              </w:rPr>
              <w:t>02021</w:t>
            </w:r>
          </w:p>
        </w:tc>
        <w:tc>
          <w:tcPr>
            <w:tcW w:w="0" w:type="dxa"/>
            <w:vAlign w:val="bottom"/>
          </w:tcPr>
          <w:p>
            <w:pPr>
              <w:spacing w:after="0"/>
              <w:rPr>
                <w:sz w:val="1"/>
                <w:szCs w:val="1"/>
                <w:color w:val="auto"/>
              </w:rPr>
            </w:pPr>
          </w:p>
        </w:tc>
      </w:tr>
      <w:tr>
        <w:trPr>
          <w:trHeight w:val="222"/>
        </w:trPr>
        <w:tc>
          <w:tcPr>
            <w:tcW w:w="3220" w:type="dxa"/>
            <w:vAlign w:val="bottom"/>
          </w:tcPr>
          <w:p>
            <w:pPr>
              <w:jc w:val="center"/>
              <w:ind w:right="838"/>
              <w:spacing w:after="0"/>
              <w:rPr>
                <w:sz w:val="20"/>
                <w:szCs w:val="20"/>
                <w:color w:val="auto"/>
              </w:rPr>
            </w:pPr>
            <w:r>
              <w:rPr>
                <w:rFonts w:ascii="Arial" w:cs="Arial" w:eastAsia="Arial" w:hAnsi="Arial"/>
                <w:sz w:val="18"/>
                <w:szCs w:val="18"/>
                <w:b w:val="1"/>
                <w:bCs w:val="1"/>
                <w:color w:val="auto"/>
                <w:w w:val="88"/>
              </w:rPr>
              <w:t>Canton, Massachusetts</w:t>
            </w:r>
          </w:p>
        </w:tc>
        <w:tc>
          <w:tcPr>
            <w:tcW w:w="3700" w:type="dxa"/>
            <w:vAlign w:val="bottom"/>
          </w:tcPr>
          <w:p>
            <w:pPr>
              <w:spacing w:after="0"/>
              <w:rPr>
                <w:sz w:val="19"/>
                <w:szCs w:val="19"/>
                <w:color w:val="auto"/>
              </w:rPr>
            </w:pPr>
          </w:p>
        </w:tc>
        <w:tc>
          <w:tcPr>
            <w:tcW w:w="2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3220" w:type="dxa"/>
            <w:vAlign w:val="bottom"/>
          </w:tcPr>
          <w:p>
            <w:pPr>
              <w:jc w:val="center"/>
              <w:ind w:right="838"/>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3700" w:type="dxa"/>
            <w:vAlign w:val="bottom"/>
          </w:tcPr>
          <w:p>
            <w:pPr>
              <w:spacing w:after="0"/>
              <w:rPr>
                <w:sz w:val="15"/>
                <w:szCs w:val="15"/>
                <w:color w:val="auto"/>
              </w:rPr>
            </w:pPr>
          </w:p>
        </w:tc>
        <w:tc>
          <w:tcPr>
            <w:tcW w:w="2280" w:type="dxa"/>
            <w:vAlign w:val="bottom"/>
          </w:tcPr>
          <w:p>
            <w:pPr>
              <w:jc w:val="center"/>
              <w:ind w:left="1136"/>
              <w:spacing w:after="0"/>
              <w:rPr>
                <w:sz w:val="20"/>
                <w:szCs w:val="20"/>
                <w:color w:val="auto"/>
              </w:rPr>
            </w:pPr>
            <w:r>
              <w:rPr>
                <w:rFonts w:ascii="Arial" w:cs="Arial" w:eastAsia="Arial" w:hAnsi="Arial"/>
                <w:sz w:val="14"/>
                <w:szCs w:val="14"/>
                <w:b w:val="1"/>
                <w:bCs w:val="1"/>
                <w:color w:val="auto"/>
                <w:w w:val="89"/>
              </w:rPr>
              <w:t>(Zip Code)</w:t>
            </w:r>
          </w:p>
        </w:tc>
        <w:tc>
          <w:tcPr>
            <w:tcW w:w="0" w:type="dxa"/>
            <w:vAlign w:val="bottom"/>
          </w:tcPr>
          <w:p>
            <w:pPr>
              <w:spacing w:after="0"/>
              <w:rPr>
                <w:sz w:val="1"/>
                <w:szCs w:val="1"/>
                <w:color w:val="auto"/>
              </w:rPr>
            </w:pPr>
          </w:p>
        </w:tc>
      </w:tr>
    </w:tbl>
    <w:p>
      <w:pPr>
        <w:spacing w:after="0" w:line="13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(781) 828-9300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172085</wp:posOffset>
            </wp:positionV>
            <wp:extent cx="5575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7530" cy="8890"/>
                    </a:xfrm>
                    <a:prstGeom prst="rect">
                      <a:avLst/>
                    </a:prstGeom>
                    <a:noFill/>
                  </pic:spPr>
                </pic:pic>
              </a:graphicData>
            </a:graphic>
          </wp:anchor>
        </w:drawing>
        <w:drawing>
          <wp:anchor simplePos="0" relativeHeight="251657728" behindDoc="1" locked="0" layoutInCell="0" allowOverlap="1">
            <wp:simplePos x="0" y="0"/>
            <wp:positionH relativeFrom="column">
              <wp:posOffset>3349625</wp:posOffset>
            </wp:positionH>
            <wp:positionV relativeFrom="paragraph">
              <wp:posOffset>343535</wp:posOffset>
            </wp:positionV>
            <wp:extent cx="5575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16" w:lineRule="exact"/>
        <w:rPr>
          <w:sz w:val="24"/>
          <w:szCs w:val="24"/>
          <w:color w:val="auto"/>
        </w:rPr>
      </w:pPr>
    </w:p>
    <w:p>
      <w:pPr>
        <w:ind w:left="620" w:hanging="612"/>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620" w:hanging="612"/>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620" w:hanging="612"/>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620" w:hanging="612"/>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1031240</wp:posOffset>
            </wp:positionV>
            <wp:extent cx="72891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747" w:right="35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307" w:lineRule="exact"/>
        <w:rPr>
          <w:sz w:val="20"/>
          <w:szCs w:val="20"/>
          <w:color w:val="auto"/>
        </w:rPr>
      </w:pPr>
    </w:p>
    <w:p>
      <w:pPr>
        <w:ind w:right="400"/>
        <w:spacing w:after="0" w:line="274" w:lineRule="auto"/>
        <w:rPr>
          <w:sz w:val="20"/>
          <w:szCs w:val="20"/>
          <w:color w:val="auto"/>
        </w:rPr>
      </w:pPr>
      <w:r>
        <w:rPr>
          <w:rFonts w:ascii="Arial" w:cs="Arial" w:eastAsia="Arial" w:hAnsi="Arial"/>
          <w:sz w:val="21"/>
          <w:szCs w:val="21"/>
          <w:color w:val="auto"/>
        </w:rPr>
        <w:t>On August 27, 2015, Destination XL Group, Inc. (the “Company”) issued a press release announcing the Company’s operating results for the second quarter of fiscal 2015. A copy of this press release is attached hereto as Exhibit 99.1.</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220" w:type="dxa"/>
            <w:vAlign w:val="bottom"/>
            <w:gridSpan w:val="2"/>
          </w:tcPr>
          <w:p>
            <w:pPr>
              <w:ind w:left="880"/>
              <w:spacing w:after="0"/>
              <w:rPr>
                <w:sz w:val="20"/>
                <w:szCs w:val="20"/>
                <w:color w:val="auto"/>
              </w:rPr>
            </w:pPr>
            <w:r>
              <w:rPr>
                <w:rFonts w:ascii="Arial" w:cs="Arial" w:eastAsia="Arial" w:hAnsi="Arial"/>
                <w:sz w:val="22"/>
                <w:szCs w:val="22"/>
                <w:color w:val="auto"/>
              </w:rPr>
              <w:t>(d) Exhibits</w:t>
            </w:r>
          </w:p>
        </w:tc>
        <w:tc>
          <w:tcPr>
            <w:tcW w:w="6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7500" w:type="dxa"/>
            <w:vAlign w:val="bottom"/>
          </w:tcPr>
          <w:p>
            <w:pPr>
              <w:spacing w:after="0"/>
              <w:rPr>
                <w:sz w:val="23"/>
                <w:szCs w:val="23"/>
                <w:color w:val="auto"/>
              </w:rPr>
            </w:pPr>
          </w:p>
        </w:tc>
      </w:tr>
      <w:tr>
        <w:trPr>
          <w:trHeight w:val="436"/>
        </w:trPr>
        <w:tc>
          <w:tcPr>
            <w:tcW w:w="102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3"/>
              </w:rPr>
              <w:t>Exhibit No.</w:t>
            </w:r>
          </w:p>
        </w:tc>
        <w:tc>
          <w:tcPr>
            <w:tcW w:w="1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89"/>
              </w:rPr>
              <w:t>Description</w:t>
            </w:r>
          </w:p>
        </w:tc>
        <w:tc>
          <w:tcPr>
            <w:tcW w:w="7500" w:type="dxa"/>
            <w:vAlign w:val="bottom"/>
          </w:tcPr>
          <w:p>
            <w:pPr>
              <w:spacing w:after="0"/>
              <w:rPr>
                <w:sz w:val="24"/>
                <w:szCs w:val="24"/>
                <w:color w:val="auto"/>
              </w:rPr>
            </w:pPr>
          </w:p>
        </w:tc>
      </w:tr>
      <w:tr>
        <w:trPr>
          <w:trHeight w:val="728"/>
        </w:trPr>
        <w:tc>
          <w:tcPr>
            <w:tcW w:w="1020" w:type="dxa"/>
            <w:vAlign w:val="bottom"/>
          </w:tcPr>
          <w:p>
            <w:pPr>
              <w:spacing w:after="0"/>
              <w:rPr>
                <w:sz w:val="20"/>
                <w:szCs w:val="20"/>
                <w:color w:val="auto"/>
              </w:rPr>
            </w:pPr>
            <w:r>
              <w:rPr>
                <w:rFonts w:ascii="Arial" w:cs="Arial" w:eastAsia="Arial" w:hAnsi="Arial"/>
                <w:sz w:val="22"/>
                <w:szCs w:val="22"/>
                <w:color w:val="auto"/>
              </w:rPr>
              <w:t>99.1</w:t>
            </w:r>
          </w:p>
        </w:tc>
        <w:tc>
          <w:tcPr>
            <w:tcW w:w="1200" w:type="dxa"/>
            <w:vAlign w:val="bottom"/>
          </w:tcPr>
          <w:p>
            <w:pPr>
              <w:spacing w:after="0"/>
              <w:rPr>
                <w:sz w:val="24"/>
                <w:szCs w:val="24"/>
                <w:color w:val="auto"/>
              </w:rPr>
            </w:pPr>
          </w:p>
        </w:tc>
        <w:tc>
          <w:tcPr>
            <w:tcW w:w="9160" w:type="dxa"/>
            <w:vAlign w:val="bottom"/>
            <w:gridSpan w:val="3"/>
          </w:tcPr>
          <w:p>
            <w:pPr>
              <w:ind w:left="320"/>
              <w:spacing w:after="0"/>
              <w:rPr>
                <w:sz w:val="20"/>
                <w:szCs w:val="20"/>
                <w:color w:val="auto"/>
              </w:rPr>
            </w:pPr>
            <w:r>
              <w:rPr>
                <w:rFonts w:ascii="Arial" w:cs="Arial" w:eastAsia="Arial" w:hAnsi="Arial"/>
                <w:sz w:val="22"/>
                <w:szCs w:val="22"/>
                <w:color w:val="auto"/>
                <w:w w:val="88"/>
              </w:rPr>
              <w:t>Press release issued by Destination XL Group, Inc. on August 27, 2015 regarding operating results for</w:t>
            </w:r>
          </w:p>
        </w:tc>
      </w:tr>
      <w:tr>
        <w:trPr>
          <w:trHeight w:val="275"/>
        </w:trPr>
        <w:tc>
          <w:tcPr>
            <w:tcW w:w="10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9160" w:type="dxa"/>
            <w:vAlign w:val="bottom"/>
            <w:gridSpan w:val="3"/>
          </w:tcPr>
          <w:p>
            <w:pPr>
              <w:ind w:left="320"/>
              <w:spacing w:after="0"/>
              <w:rPr>
                <w:sz w:val="20"/>
                <w:szCs w:val="20"/>
                <w:color w:val="auto"/>
              </w:rPr>
            </w:pPr>
            <w:r>
              <w:rPr>
                <w:rFonts w:ascii="Arial" w:cs="Arial" w:eastAsia="Arial" w:hAnsi="Arial"/>
                <w:sz w:val="22"/>
                <w:szCs w:val="22"/>
                <w:color w:val="auto"/>
              </w:rPr>
              <w:t>the second quarter of fiscal year 2015.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46" w:right="279" w:bottom="1440" w:gutter="0" w:footer="0" w:header="0"/>
        </w:sectPr>
      </w:pPr>
    </w:p>
    <w:bookmarkStart w:id="2" w:name="page3"/>
    <w:bookmarkEnd w:id="2"/>
    <w:p>
      <w:pPr>
        <w:jc w:val="center"/>
        <w:ind w:right="-259"/>
        <w:spacing w:after="0"/>
        <w:rPr>
          <w:sz w:val="20"/>
          <w:szCs w:val="20"/>
          <w:color w:val="auto"/>
        </w:rPr>
      </w:pPr>
      <w:r>
        <w:rPr>
          <w:rFonts w:ascii="Arial" w:cs="Arial" w:eastAsia="Arial" w:hAnsi="Arial"/>
          <w:sz w:val="22"/>
          <w:szCs w:val="22"/>
          <w:b w:val="1"/>
          <w:bCs w:val="1"/>
          <w:color w:val="auto"/>
        </w:rPr>
        <w:t>SIGNATURES</w:t>
      </w:r>
    </w:p>
    <w:p>
      <w:pPr>
        <w:spacing w:after="0" w:line="240"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6680"/>
        <w:spacing w:after="0"/>
        <w:rPr>
          <w:sz w:val="20"/>
          <w:szCs w:val="20"/>
          <w:color w:val="auto"/>
        </w:rPr>
      </w:pPr>
      <w:r>
        <w:rPr>
          <w:rFonts w:ascii="Arial" w:cs="Arial" w:eastAsia="Arial" w:hAnsi="Arial"/>
          <w:sz w:val="22"/>
          <w:szCs w:val="22"/>
          <w:color w:val="auto"/>
        </w:rPr>
        <w:t>DESTINATION XL GROUP, INC.</w:t>
      </w:r>
    </w:p>
    <w:p>
      <w:pPr>
        <w:spacing w:after="0" w:line="179" w:lineRule="exact"/>
        <w:rPr>
          <w:sz w:val="20"/>
          <w:szCs w:val="20"/>
          <w:color w:val="auto"/>
        </w:rPr>
      </w:pPr>
    </w:p>
    <w:p>
      <w:pPr>
        <w:ind w:left="20"/>
        <w:spacing w:after="0"/>
        <w:tabs>
          <w:tab w:leader="none" w:pos="880" w:val="left"/>
          <w:tab w:leader="none" w:pos="5900" w:val="left"/>
          <w:tab w:leader="none" w:pos="814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August 27, 2015</w:t>
      </w:r>
      <w:r>
        <w:rPr>
          <w:sz w:val="20"/>
          <w:szCs w:val="20"/>
          <w:color w:val="auto"/>
        </w:rPr>
        <w:tab/>
      </w: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Robert S. Molloy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4250055</wp:posOffset>
            </wp:positionH>
            <wp:positionV relativeFrom="paragraph">
              <wp:posOffset>7620</wp:posOffset>
            </wp:positionV>
            <wp:extent cx="29927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jc w:val="center"/>
        <w:ind w:left="6660"/>
        <w:spacing w:after="0"/>
        <w:rPr>
          <w:sz w:val="20"/>
          <w:szCs w:val="20"/>
          <w:color w:val="auto"/>
        </w:rPr>
      </w:pPr>
      <w:r>
        <w:rPr>
          <w:rFonts w:ascii="Arial" w:cs="Arial" w:eastAsia="Arial" w:hAnsi="Arial"/>
          <w:sz w:val="14"/>
          <w:szCs w:val="14"/>
          <w:b w:val="1"/>
          <w:bCs w:val="1"/>
          <w:color w:val="auto"/>
        </w:rPr>
        <w:t>Robert S. Molloy</w:t>
      </w:r>
    </w:p>
    <w:p>
      <w:pPr>
        <w:jc w:val="center"/>
        <w:ind w:left="6660"/>
        <w:spacing w:after="0"/>
        <w:rPr>
          <w:sz w:val="20"/>
          <w:szCs w:val="20"/>
          <w:color w:val="auto"/>
        </w:rPr>
      </w:pPr>
      <w:r>
        <w:rPr>
          <w:rFonts w:ascii="Arial" w:cs="Arial" w:eastAsia="Arial" w:hAnsi="Arial"/>
          <w:sz w:val="14"/>
          <w:szCs w:val="14"/>
          <w:b w:val="1"/>
          <w:bCs w:val="1"/>
          <w:color w:val="auto"/>
        </w:rPr>
        <w:t>Senior Vice President, General Counsel and Secretary</w:t>
      </w:r>
    </w:p>
    <w:p>
      <w:pPr>
        <w:spacing w:after="0" w:line="200" w:lineRule="exact"/>
        <w:rPr>
          <w:sz w:val="20"/>
          <w:szCs w:val="20"/>
          <w:color w:val="auto"/>
        </w:rPr>
      </w:pPr>
    </w:p>
    <w:p>
      <w:pPr>
        <w:spacing w:after="0" w:line="223" w:lineRule="exact"/>
        <w:rPr>
          <w:sz w:val="20"/>
          <w:szCs w:val="20"/>
          <w:color w:val="auto"/>
        </w:rPr>
      </w:pPr>
    </w:p>
    <w:p>
      <w:pPr>
        <w:jc w:val="center"/>
        <w:ind w:right="-259"/>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160"/>
          </w:cols>
          <w:pgMar w:left="240" w:top="111" w:right="49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209040" cy="6686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209040" cy="668655"/>
                    </a:xfrm>
                    <a:prstGeom prst="rect">
                      <a:avLst/>
                    </a:prstGeom>
                    <a:noFill/>
                  </pic:spPr>
                </pic:pic>
              </a:graphicData>
            </a:graphic>
          </wp:anchor>
        </w:drawing>
        <w:t>Exhibit 99.1</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Jeff Unger</w:t>
      </w:r>
    </w:p>
    <w:p>
      <w:pPr>
        <w:spacing w:after="0"/>
        <w:rPr>
          <w:sz w:val="20"/>
          <w:szCs w:val="20"/>
          <w:color w:val="auto"/>
        </w:rPr>
      </w:pPr>
      <w:r>
        <w:rPr>
          <w:rFonts w:ascii="Arial" w:cs="Arial" w:eastAsia="Arial" w:hAnsi="Arial"/>
          <w:sz w:val="20"/>
          <w:szCs w:val="20"/>
          <w:color w:val="auto"/>
        </w:rPr>
        <w:t>Vice President Investor Relations</w:t>
      </w:r>
    </w:p>
    <w:p>
      <w:pPr>
        <w:spacing w:after="0"/>
        <w:rPr>
          <w:sz w:val="20"/>
          <w:szCs w:val="20"/>
          <w:color w:val="auto"/>
        </w:rPr>
      </w:pPr>
      <w:r>
        <w:rPr>
          <w:rFonts w:ascii="Arial" w:cs="Arial" w:eastAsia="Arial" w:hAnsi="Arial"/>
          <w:sz w:val="20"/>
          <w:szCs w:val="20"/>
          <w:color w:val="auto"/>
        </w:rPr>
        <w:t>(561) 482-9715</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Destination XL Group, Inc. Reports Second-Quarter 2015 Financial Results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+11.9% DXL Comparable Sales Increase, Building On +11.3% Comp Increase in Second Quarter 2014;</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Company Affirms Guidance for Fiscal 2015</w:t>
      </w:r>
    </w:p>
    <w:p>
      <w:pPr>
        <w:spacing w:after="0" w:line="155"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 xml:space="preserve">CANTON, Mass., August 27, 2015 – </w:t>
      </w:r>
      <w:r>
        <w:rPr>
          <w:rFonts w:ascii="Arial" w:cs="Arial" w:eastAsia="Arial" w:hAnsi="Arial"/>
          <w:sz w:val="20"/>
          <w:szCs w:val="20"/>
          <w:u w:val="single" w:color="auto"/>
          <w:color w:val="auto"/>
        </w:rPr>
        <w:t>Destination XL Group, Inc.</w:t>
      </w:r>
      <w:r>
        <w:rPr>
          <w:rFonts w:ascii="Arial" w:cs="Arial" w:eastAsia="Arial" w:hAnsi="Arial"/>
          <w:sz w:val="20"/>
          <w:szCs w:val="20"/>
          <w:color w:val="auto"/>
        </w:rPr>
        <w:t xml:space="preserve"> (NASDAQ: DXLG), the largest omni-channel specialty retailer of big and tall men's apparel, today reported operating results for the second quarter of fiscal 2015.</w:t>
      </w:r>
    </w:p>
    <w:p>
      <w:pPr>
        <w:spacing w:after="0" w:line="10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Second-Quarter Fiscal 2015 Highlights</w:t>
      </w:r>
    </w:p>
    <w:p>
      <w:pPr>
        <w:spacing w:after="0" w:line="141" w:lineRule="exact"/>
        <w:rPr>
          <w:sz w:val="20"/>
          <w:szCs w:val="20"/>
          <w:color w:val="auto"/>
        </w:rPr>
      </w:pPr>
    </w:p>
    <w:p>
      <w:pPr>
        <w:ind w:left="880" w:hanging="433"/>
        <w:spacing w:after="0"/>
        <w:tabs>
          <w:tab w:leader="none" w:pos="880" w:val="left"/>
        </w:tabs>
        <w:numPr>
          <w:ilvl w:val="0"/>
          <w:numId w:val="2"/>
        </w:numPr>
        <w:rPr>
          <w:rFonts w:ascii="Arial" w:cs="Arial" w:eastAsia="Arial" w:hAnsi="Arial"/>
          <w:sz w:val="20"/>
          <w:szCs w:val="20"/>
          <w:color w:val="auto"/>
        </w:rPr>
      </w:pPr>
      <w:r>
        <w:rPr>
          <w:rFonts w:ascii="Arial" w:cs="Arial" w:eastAsia="Arial" w:hAnsi="Arial"/>
          <w:sz w:val="20"/>
          <w:szCs w:val="20"/>
          <w:color w:val="auto"/>
        </w:rPr>
        <w:t>Total comparable sales increased +6.7%, on top of +7.0% in the prior-year quarter</w:t>
      </w:r>
    </w:p>
    <w:p>
      <w:pPr>
        <w:spacing w:after="0" w:line="175" w:lineRule="exact"/>
        <w:rPr>
          <w:rFonts w:ascii="Arial" w:cs="Arial" w:eastAsia="Arial" w:hAnsi="Arial"/>
          <w:sz w:val="20"/>
          <w:szCs w:val="20"/>
          <w:color w:val="auto"/>
        </w:rPr>
      </w:pPr>
    </w:p>
    <w:p>
      <w:pPr>
        <w:ind w:left="880" w:hanging="433"/>
        <w:spacing w:after="0"/>
        <w:tabs>
          <w:tab w:leader="none" w:pos="880" w:val="left"/>
        </w:tabs>
        <w:numPr>
          <w:ilvl w:val="0"/>
          <w:numId w:val="2"/>
        </w:numPr>
        <w:rPr>
          <w:rFonts w:ascii="Arial" w:cs="Arial" w:eastAsia="Arial" w:hAnsi="Arial"/>
          <w:sz w:val="16"/>
          <w:szCs w:val="16"/>
          <w:color w:val="auto"/>
        </w:rPr>
      </w:pPr>
      <w:r>
        <w:rPr>
          <w:rFonts w:ascii="Arial" w:cs="Arial" w:eastAsia="Arial" w:hAnsi="Arial"/>
          <w:sz w:val="16"/>
          <w:szCs w:val="16"/>
          <w:color w:val="auto"/>
        </w:rPr>
        <w:t>111 DXL retail stores, open at least 13 months, had an +11.9% comparable sales increase on top of +11.3% in the prior-year quarter</w:t>
      </w:r>
    </w:p>
    <w:p>
      <w:pPr>
        <w:spacing w:after="0" w:line="221" w:lineRule="exact"/>
        <w:rPr>
          <w:rFonts w:ascii="Arial" w:cs="Arial" w:eastAsia="Arial" w:hAnsi="Arial"/>
          <w:sz w:val="16"/>
          <w:szCs w:val="16"/>
          <w:color w:val="auto"/>
        </w:rPr>
      </w:pPr>
    </w:p>
    <w:p>
      <w:pPr>
        <w:ind w:left="880" w:hanging="433"/>
        <w:spacing w:after="0"/>
        <w:tabs>
          <w:tab w:leader="none" w:pos="880" w:val="left"/>
        </w:tabs>
        <w:numPr>
          <w:ilvl w:val="0"/>
          <w:numId w:val="2"/>
        </w:numPr>
        <w:rPr>
          <w:rFonts w:ascii="Arial" w:cs="Arial" w:eastAsia="Arial" w:hAnsi="Arial"/>
          <w:sz w:val="20"/>
          <w:szCs w:val="20"/>
          <w:color w:val="auto"/>
        </w:rPr>
      </w:pPr>
      <w:r>
        <w:rPr>
          <w:rFonts w:ascii="Arial" w:cs="Arial" w:eastAsia="Arial" w:hAnsi="Arial"/>
          <w:sz w:val="20"/>
          <w:szCs w:val="20"/>
          <w:color w:val="auto"/>
        </w:rPr>
        <w:t>Operating loss of $(0.2) million versus an operating loss of $(2.6) million in the prior-year quarter</w:t>
      </w:r>
    </w:p>
    <w:p>
      <w:pPr>
        <w:spacing w:after="0" w:line="175" w:lineRule="exact"/>
        <w:rPr>
          <w:rFonts w:ascii="Arial" w:cs="Arial" w:eastAsia="Arial" w:hAnsi="Arial"/>
          <w:sz w:val="20"/>
          <w:szCs w:val="20"/>
          <w:color w:val="auto"/>
        </w:rPr>
      </w:pPr>
    </w:p>
    <w:p>
      <w:pPr>
        <w:ind w:left="880" w:hanging="433"/>
        <w:spacing w:after="0"/>
        <w:tabs>
          <w:tab w:leader="none" w:pos="880" w:val="left"/>
        </w:tabs>
        <w:numPr>
          <w:ilvl w:val="0"/>
          <w:numId w:val="2"/>
        </w:numPr>
        <w:rPr>
          <w:rFonts w:ascii="Arial" w:cs="Arial" w:eastAsia="Arial" w:hAnsi="Arial"/>
          <w:sz w:val="20"/>
          <w:szCs w:val="20"/>
          <w:color w:val="auto"/>
        </w:rPr>
      </w:pPr>
      <w:r>
        <w:rPr>
          <w:rFonts w:ascii="Arial" w:cs="Arial" w:eastAsia="Arial" w:hAnsi="Arial"/>
          <w:sz w:val="20"/>
          <w:szCs w:val="20"/>
          <w:color w:val="auto"/>
        </w:rPr>
        <w:t>EBITDA from continuing operations increased 116% to $6.8 million from $3.1 million in the prior-year quarter</w:t>
      </w:r>
    </w:p>
    <w:p>
      <w:pPr>
        <w:spacing w:after="0" w:line="175" w:lineRule="exact"/>
        <w:rPr>
          <w:rFonts w:ascii="Arial" w:cs="Arial" w:eastAsia="Arial" w:hAnsi="Arial"/>
          <w:sz w:val="20"/>
          <w:szCs w:val="20"/>
          <w:color w:val="auto"/>
        </w:rPr>
      </w:pPr>
    </w:p>
    <w:p>
      <w:pPr>
        <w:ind w:left="880" w:right="560" w:hanging="433"/>
        <w:spacing w:after="0" w:line="260" w:lineRule="auto"/>
        <w:tabs>
          <w:tab w:leader="none" w:pos="880" w:val="left"/>
        </w:tabs>
        <w:numPr>
          <w:ilvl w:val="0"/>
          <w:numId w:val="2"/>
        </w:numPr>
        <w:rPr>
          <w:rFonts w:ascii="Arial" w:cs="Arial" w:eastAsia="Arial" w:hAnsi="Arial"/>
          <w:sz w:val="20"/>
          <w:szCs w:val="20"/>
          <w:color w:val="auto"/>
        </w:rPr>
      </w:pPr>
      <w:r>
        <w:rPr>
          <w:rFonts w:ascii="Arial" w:cs="Arial" w:eastAsia="Arial" w:hAnsi="Arial"/>
          <w:sz w:val="20"/>
          <w:szCs w:val="20"/>
          <w:color w:val="auto"/>
        </w:rPr>
        <w:t>Sales per square foot for the DXL retail stores, on a rolling 12-month basis, were $172, compared with $156 for the prior-year quarter</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Management Comments</w:t>
      </w:r>
    </w:p>
    <w:p>
      <w:pPr>
        <w:spacing w:after="0" w:line="154"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color w:val="auto"/>
        </w:rPr>
        <w:t>“Our outstanding second-quarter results continue to demonstrate that our long-term plan is working, as we delivered improvements in both sales and profitability,” said President and CEO David Levin. “Once again, our DXL retail stores produced a double-digit sales comp increase of +11.9%, on top of +11.3% from the second quarter last year. In fact, sales growth accelerated through the quarter, from the combination of favorable weather, increased store traffic, higher average transaction and greater sales to end-of-rack customers.</w:t>
      </w:r>
    </w:p>
    <w:p>
      <w:pPr>
        <w:spacing w:after="0" w:line="94"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auto"/>
        </w:rPr>
        <w:t>“EBITDA for the quarter was $6.8 million – a 116% increase from the second quarter of 2014. Our new DXL stores are exceeding our expectations, and our total customer growth for the first six months of 2015 has already outpaced our total customer count growth for all of fiscal 2014. We are trending to the higher end of our guidance for fiscal 2015, and we remain on track with our fiscal 2016 projections for sales of $470 million and EBITDA of $35 million,” Levin said.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400" w:right="239" w:bottom="1440" w:gutter="0" w:footer="0" w:header="0"/>
        </w:sectPr>
      </w:pPr>
    </w:p>
    <w:bookmarkStart w:id="4" w:name="page5"/>
    <w:bookmarkEnd w:id="4"/>
    <w:p>
      <w:pPr>
        <w:spacing w:after="0" w:line="276" w:lineRule="auto"/>
        <w:rPr>
          <w:sz w:val="20"/>
          <w:szCs w:val="20"/>
          <w:color w:val="auto"/>
        </w:rPr>
      </w:pPr>
      <w:r>
        <w:rPr>
          <w:rFonts w:ascii="Arial" w:cs="Arial" w:eastAsia="Arial" w:hAnsi="Arial"/>
          <w:sz w:val="18"/>
          <w:szCs w:val="18"/>
          <w:color w:val="auto"/>
        </w:rPr>
        <w:t>“We also are very excited to announce that after a detailed analysis of our existing Casual Male and DXL store portfolio, we have identified approximately 400 DXL store opportunities nationwide, compared with our previous estimate of 250. Increasing brand awareness, the success of our smaller footprint stores and the introduction of the DXL outlet stores enable us to expand our reach beyond previous estimates. We are generating sufficient free cash flow to fund the planned expanded roll-out, and we anticipate healthy returns on invested capital based on our experience to date. Consequently, we now expect to open 30 to 40 DXL stores per year through fiscal 2020, which we believe will translate into higher revenue and profitability than previously forecast, beginning in 2017,” Levin concluded.</w:t>
      </w:r>
    </w:p>
    <w:p>
      <w:pPr>
        <w:spacing w:after="0" w:line="9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Second-Quarter 2015 Results</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Sales</w:t>
      </w:r>
    </w:p>
    <w:p>
      <w:pPr>
        <w:spacing w:after="0" w:line="148"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color w:val="auto"/>
        </w:rPr>
        <w:t>For the second quarter of fiscal 2015, total sales rose 9.6% to $114.1 million from $104.2 million in the second quarter of fiscal 2014. The increase of $9.9 million in total sales was primarily the result of higher sales at DXL stores of $16.9 million. On a comparable basis, total transactions in the Company’s DXL stores were up 9.2% over the prior-year second quarter. The DXL stores are experiencing increased store traffic, as well as improved conversion of store traffic to top-line sales, both of which contributed to the overall increase in transactions.</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Gross Margin</w:t>
      </w:r>
    </w:p>
    <w:p>
      <w:pPr>
        <w:spacing w:after="0" w:line="135" w:lineRule="exact"/>
        <w:rPr>
          <w:sz w:val="20"/>
          <w:szCs w:val="20"/>
          <w:color w:val="auto"/>
        </w:rPr>
      </w:pPr>
    </w:p>
    <w:p>
      <w:pPr>
        <w:ind w:right="340"/>
        <w:spacing w:after="0" w:line="263" w:lineRule="auto"/>
        <w:rPr>
          <w:sz w:val="20"/>
          <w:szCs w:val="20"/>
          <w:color w:val="auto"/>
        </w:rPr>
      </w:pPr>
      <w:r>
        <w:rPr>
          <w:rFonts w:ascii="Arial" w:cs="Arial" w:eastAsia="Arial" w:hAnsi="Arial"/>
          <w:sz w:val="19"/>
          <w:szCs w:val="19"/>
          <w:color w:val="auto"/>
        </w:rPr>
        <w:t>For the second quarter of fiscal 2015, gross margin, inclusive of occupancy costs, was 47.2%, compared with gross margin of 46.3% for the second quarter of fiscal 2014. The increase of 90 basis points was the result of a 30-basis-point improvement in occupancy costs as a percentage of total sales, due to the leveraging of sales, and a 60-basis-point improvement in merchandise margin, primarily due to lower markdowns as a result of the Company’s low clearance inventory levels.</w:t>
      </w:r>
    </w:p>
    <w:p>
      <w:pPr>
        <w:spacing w:after="0" w:line="10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Selling, General &amp; Administrative</w:t>
      </w:r>
    </w:p>
    <w:p>
      <w:pPr>
        <w:spacing w:after="0" w:line="148" w:lineRule="exact"/>
        <w:rPr>
          <w:sz w:val="20"/>
          <w:szCs w:val="20"/>
          <w:color w:val="auto"/>
        </w:rPr>
      </w:pPr>
    </w:p>
    <w:p>
      <w:pPr>
        <w:ind w:right="40"/>
        <w:spacing w:after="0" w:line="244" w:lineRule="auto"/>
        <w:rPr>
          <w:sz w:val="20"/>
          <w:szCs w:val="20"/>
          <w:color w:val="auto"/>
        </w:rPr>
      </w:pPr>
      <w:r>
        <w:rPr>
          <w:rFonts w:ascii="Arial" w:cs="Arial" w:eastAsia="Arial" w:hAnsi="Arial"/>
          <w:sz w:val="20"/>
          <w:szCs w:val="20"/>
          <w:color w:val="auto"/>
        </w:rPr>
        <w:t>SG&amp;A expenses for the second quarter of fiscal 2015 were 41.3% of sales, compared with 43.3% in the second quarter of fiscal 2014. On a dollar basis, SG&amp;A expense increased $2.0 million from the same quarter a year ago. Increased payroll, sales and corporate expenses this quarter were partially offset by a decrease in marketing expense, which was largely driven by improved advertising rates during the Company’s spring campaign. The results for the second quarter of fiscal 2015 include DXL transition costs of approximately $0.9 million, compared with $0.8 million for the second quarter of the prior year.</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EBITDA from Continuing Operations</w:t>
      </w:r>
    </w:p>
    <w:p>
      <w:pPr>
        <w:spacing w:after="0" w:line="108" w:lineRule="exact"/>
        <w:rPr>
          <w:sz w:val="20"/>
          <w:szCs w:val="20"/>
          <w:color w:val="auto"/>
        </w:rPr>
      </w:pPr>
    </w:p>
    <w:p>
      <w:pPr>
        <w:jc w:val="both"/>
        <w:ind w:right="380"/>
        <w:spacing w:after="0" w:line="250" w:lineRule="auto"/>
        <w:rPr>
          <w:sz w:val="20"/>
          <w:szCs w:val="20"/>
          <w:color w:val="auto"/>
        </w:rPr>
      </w:pPr>
      <w:r>
        <w:rPr>
          <w:rFonts w:ascii="Arial" w:cs="Arial" w:eastAsia="Arial" w:hAnsi="Arial"/>
          <w:sz w:val="20"/>
          <w:szCs w:val="20"/>
          <w:color w:val="auto"/>
        </w:rPr>
        <w:t>Earnings before interest, taxes, depreciation and amortization (EBITDA) from continuing operations, a non-GAAP measure, for the second quarter of fiscal 2015 were $6.8 million, compared with $3.1 million for the second quarter of fiscal 2014. The improvement was primarily driven by an increase in sales from the same quarter of the prior year.</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Net Loss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Net loss for the second quarter of fiscal 2015 was $(1.0) million, or $(0.02) per diluted share, compared with a net loss of $(4.0) million, or</w:t>
      </w:r>
    </w:p>
    <w:p>
      <w:pPr>
        <w:spacing w:after="0" w:line="39" w:lineRule="exact"/>
        <w:rPr>
          <w:sz w:val="20"/>
          <w:szCs w:val="20"/>
          <w:color w:val="auto"/>
        </w:rPr>
      </w:pPr>
    </w:p>
    <w:p>
      <w:pPr>
        <w:ind w:right="20"/>
        <w:spacing w:after="0" w:line="244" w:lineRule="auto"/>
        <w:rPr>
          <w:sz w:val="20"/>
          <w:szCs w:val="20"/>
          <w:color w:val="auto"/>
        </w:rPr>
      </w:pPr>
      <w:r>
        <w:rPr>
          <w:rFonts w:ascii="Arial" w:cs="Arial" w:eastAsia="Arial" w:hAnsi="Arial"/>
          <w:sz w:val="20"/>
          <w:szCs w:val="20"/>
          <w:color w:val="auto"/>
        </w:rPr>
        <w:t>$(0.08) per diluted share, for the second quarter of fiscal 2014. On a non-GAAP basis, assuming a normalized tax rate of 40%, adjusted net loss for the second quarter of</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 w:name="page6"/>
    <w:bookmarkEnd w:id="5"/>
    <w:p>
      <w:pPr>
        <w:ind w:right="1940"/>
        <w:spacing w:after="0" w:line="388" w:lineRule="auto"/>
        <w:rPr>
          <w:sz w:val="20"/>
          <w:szCs w:val="20"/>
          <w:color w:val="auto"/>
        </w:rPr>
      </w:pPr>
      <w:r>
        <w:rPr>
          <w:rFonts w:ascii="Arial" w:cs="Arial" w:eastAsia="Arial" w:hAnsi="Arial"/>
          <w:sz w:val="20"/>
          <w:szCs w:val="20"/>
          <w:color w:val="auto"/>
        </w:rPr>
        <w:t xml:space="preserve">fiscal 2015 was $(0.01) per diluted share, compared with $(0.05) per diluted share for the second quarter of fiscal 2014. </w:t>
      </w:r>
      <w:r>
        <w:rPr>
          <w:rFonts w:ascii="Arial" w:cs="Arial" w:eastAsia="Arial" w:hAnsi="Arial"/>
          <w:sz w:val="20"/>
          <w:szCs w:val="20"/>
          <w:i w:val="1"/>
          <w:iCs w:val="1"/>
          <w:color w:val="auto"/>
        </w:rPr>
        <w:t>Cash Flow</w:t>
      </w:r>
    </w:p>
    <w:p>
      <w:pPr>
        <w:ind w:right="340"/>
        <w:spacing w:after="0" w:line="269" w:lineRule="auto"/>
        <w:rPr>
          <w:sz w:val="20"/>
          <w:szCs w:val="20"/>
          <w:color w:val="auto"/>
        </w:rPr>
      </w:pPr>
      <w:r>
        <w:rPr>
          <w:rFonts w:ascii="Arial" w:cs="Arial" w:eastAsia="Arial" w:hAnsi="Arial"/>
          <w:sz w:val="19"/>
          <w:szCs w:val="19"/>
          <w:color w:val="auto"/>
        </w:rPr>
        <w:t>Cash flow provided by operations for the first six months of fiscal 2015 was $6.7 million, compared with cash flow used for operations of $(2.7) million in the same period of fiscal 2014. After capital expenditures, free cash flow, a non-GAAP measure, for the first six months of fiscal 2015 improved by $11.3 million to $(10.3) million from $(21.6) million for the same period of fiscal 2014.</w:t>
      </w:r>
    </w:p>
    <w:p>
      <w:pPr>
        <w:spacing w:after="0" w:line="103" w:lineRule="exact"/>
        <w:rPr>
          <w:sz w:val="20"/>
          <w:szCs w:val="20"/>
          <w:color w:val="auto"/>
        </w:rPr>
      </w:pPr>
    </w:p>
    <w:p>
      <w:pPr>
        <w:ind w:right="320"/>
        <w:spacing w:after="0" w:line="260" w:lineRule="auto"/>
        <w:rPr>
          <w:sz w:val="20"/>
          <w:szCs w:val="20"/>
          <w:color w:val="auto"/>
        </w:rPr>
      </w:pPr>
      <w:r>
        <w:rPr>
          <w:rFonts w:ascii="Arial" w:cs="Arial" w:eastAsia="Arial" w:hAnsi="Arial"/>
          <w:sz w:val="20"/>
          <w:szCs w:val="20"/>
          <w:color w:val="auto"/>
        </w:rPr>
        <w:t>Capital expenditures for the first six months of fiscal 2015 were $17.0 million, compared with $18.9 million for the same period of the prior year. All capital expenditures are subject to ROIC (“Return on Invested Capital”) hurdles.</w:t>
      </w:r>
    </w:p>
    <w:p>
      <w:pPr>
        <w:spacing w:after="0" w:line="10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Non-GAAP measures</w:t>
      </w:r>
    </w:p>
    <w:p>
      <w:pPr>
        <w:spacing w:after="0" w:line="135" w:lineRule="exact"/>
        <w:rPr>
          <w:sz w:val="20"/>
          <w:szCs w:val="20"/>
          <w:color w:val="auto"/>
        </w:rPr>
      </w:pPr>
    </w:p>
    <w:p>
      <w:pPr>
        <w:ind w:right="300"/>
        <w:spacing w:after="0" w:line="316" w:lineRule="auto"/>
        <w:rPr>
          <w:sz w:val="20"/>
          <w:szCs w:val="20"/>
          <w:color w:val="auto"/>
        </w:rPr>
      </w:pPr>
      <w:r>
        <w:rPr>
          <w:rFonts w:ascii="Arial" w:cs="Arial" w:eastAsia="Arial" w:hAnsi="Arial"/>
          <w:sz w:val="18"/>
          <w:szCs w:val="18"/>
          <w:color w:val="auto"/>
        </w:rPr>
        <w:t>EBITDA from continuing operations, adjusted net loss per share and free cash flow are non-GAAP financial measures. Please see “Non-GAAP Measures” below and a reconciliation of these non-GAAP measures to the comparable GAAP measures that follows the table below.</w:t>
      </w:r>
    </w:p>
    <w:p>
      <w:pPr>
        <w:spacing w:after="0" w:line="6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Balance Sheet &amp; Liquidity</w:t>
      </w:r>
    </w:p>
    <w:p>
      <w:pPr>
        <w:spacing w:after="0" w:line="148" w:lineRule="exact"/>
        <w:rPr>
          <w:sz w:val="20"/>
          <w:szCs w:val="20"/>
          <w:color w:val="auto"/>
        </w:rPr>
      </w:pPr>
    </w:p>
    <w:p>
      <w:pPr>
        <w:ind w:right="80"/>
        <w:spacing w:after="0" w:line="246" w:lineRule="auto"/>
        <w:rPr>
          <w:sz w:val="20"/>
          <w:szCs w:val="20"/>
          <w:color w:val="auto"/>
        </w:rPr>
      </w:pPr>
      <w:r>
        <w:rPr>
          <w:rFonts w:ascii="Arial" w:cs="Arial" w:eastAsia="Arial" w:hAnsi="Arial"/>
          <w:sz w:val="20"/>
          <w:szCs w:val="20"/>
          <w:color w:val="auto"/>
        </w:rPr>
        <w:t>At August 1, 2015, the Company had cash and cash equivalents of $5.8 million. Total debt at August 1, 2015 consisted of $34.1 million outstanding under the Company’s credit facility, net of unamortized debt issuance costs, and approximately $29.8 million outstanding under its term loan and equipment financing notes, net of unamortized debt issuance costs. At August 1, 2015, the Company had $73.9 million of excess availability under its credit facility.</w:t>
      </w:r>
    </w:p>
    <w:p>
      <w:pPr>
        <w:spacing w:after="0" w:line="110" w:lineRule="exact"/>
        <w:rPr>
          <w:sz w:val="20"/>
          <w:szCs w:val="20"/>
          <w:color w:val="auto"/>
        </w:rPr>
      </w:pPr>
    </w:p>
    <w:p>
      <w:pPr>
        <w:jc w:val="both"/>
        <w:ind w:right="120"/>
        <w:spacing w:after="0" w:line="246" w:lineRule="auto"/>
        <w:rPr>
          <w:sz w:val="20"/>
          <w:szCs w:val="20"/>
          <w:color w:val="auto"/>
        </w:rPr>
      </w:pPr>
      <w:r>
        <w:rPr>
          <w:rFonts w:ascii="Arial" w:cs="Arial" w:eastAsia="Arial" w:hAnsi="Arial"/>
          <w:sz w:val="20"/>
          <w:szCs w:val="20"/>
          <w:color w:val="auto"/>
        </w:rPr>
        <w:t>Inventory was $123.6 million at August 1, 2015, compared with $115.2 million at January 31, 2015 and $116.0 million at August 2, 2014. The increase in inventory over both year end and last year’s second quarter is due to an increase in total store square footage and the higher mix of branded product due to having more DXL stores open. Clearance inventory represented 7.2% of total inventory in the second quarter of 2015, compared with 8.4% of total inventory in the second quarter of 2014.</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Retail Store Information</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color w:val="auto"/>
        </w:rPr>
        <w:t>The following is a summary of the store count, with respective square footage by store concept:</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00" w:type="dxa"/>
            <w:vAlign w:val="bottom"/>
          </w:tcPr>
          <w:p>
            <w:pPr>
              <w:spacing w:after="0"/>
              <w:rPr>
                <w:sz w:val="20"/>
                <w:szCs w:val="20"/>
                <w:color w:val="auto"/>
              </w:rPr>
            </w:pPr>
          </w:p>
        </w:tc>
        <w:tc>
          <w:tcPr>
            <w:tcW w:w="2280" w:type="dxa"/>
            <w:vAlign w:val="bottom"/>
            <w:gridSpan w:val="5"/>
          </w:tcPr>
          <w:p>
            <w:pPr>
              <w:ind w:left="540"/>
              <w:spacing w:after="0"/>
              <w:rPr>
                <w:sz w:val="20"/>
                <w:szCs w:val="20"/>
                <w:color w:val="auto"/>
              </w:rPr>
            </w:pPr>
            <w:r>
              <w:rPr>
                <w:rFonts w:ascii="Arial" w:cs="Arial" w:eastAsia="Arial" w:hAnsi="Arial"/>
                <w:sz w:val="18"/>
                <w:szCs w:val="18"/>
                <w:color w:val="auto"/>
              </w:rPr>
              <w:t>Year End 2013</w:t>
            </w:r>
          </w:p>
        </w:tc>
        <w:tc>
          <w:tcPr>
            <w:tcW w:w="2300" w:type="dxa"/>
            <w:vAlign w:val="bottom"/>
            <w:gridSpan w:val="3"/>
          </w:tcPr>
          <w:p>
            <w:pPr>
              <w:ind w:left="540"/>
              <w:spacing w:after="0"/>
              <w:rPr>
                <w:sz w:val="20"/>
                <w:szCs w:val="20"/>
                <w:color w:val="auto"/>
              </w:rPr>
            </w:pPr>
            <w:r>
              <w:rPr>
                <w:rFonts w:ascii="Arial" w:cs="Arial" w:eastAsia="Arial" w:hAnsi="Arial"/>
                <w:sz w:val="18"/>
                <w:szCs w:val="18"/>
                <w:color w:val="auto"/>
              </w:rPr>
              <w:t>Year End 2014</w:t>
            </w:r>
          </w:p>
        </w:tc>
        <w:tc>
          <w:tcPr>
            <w:tcW w:w="2300" w:type="dxa"/>
            <w:vAlign w:val="bottom"/>
            <w:gridSpan w:val="3"/>
          </w:tcPr>
          <w:p>
            <w:pPr>
              <w:ind w:left="420"/>
              <w:spacing w:after="0"/>
              <w:rPr>
                <w:sz w:val="20"/>
                <w:szCs w:val="20"/>
                <w:color w:val="auto"/>
              </w:rPr>
            </w:pPr>
            <w:r>
              <w:rPr>
                <w:rFonts w:ascii="Arial" w:cs="Arial" w:eastAsia="Arial" w:hAnsi="Arial"/>
                <w:sz w:val="18"/>
                <w:szCs w:val="18"/>
                <w:color w:val="auto"/>
              </w:rPr>
              <w:t>At August 1, 2015</w:t>
            </w:r>
          </w:p>
        </w:tc>
        <w:tc>
          <w:tcPr>
            <w:tcW w:w="2340" w:type="dxa"/>
            <w:vAlign w:val="bottom"/>
            <w:gridSpan w:val="4"/>
          </w:tcPr>
          <w:p>
            <w:pPr>
              <w:ind w:left="520"/>
              <w:spacing w:after="0"/>
              <w:rPr>
                <w:sz w:val="20"/>
                <w:szCs w:val="20"/>
                <w:color w:val="auto"/>
              </w:rPr>
            </w:pPr>
            <w:r>
              <w:rPr>
                <w:rFonts w:ascii="Arial" w:cs="Arial" w:eastAsia="Arial" w:hAnsi="Arial"/>
                <w:sz w:val="18"/>
                <w:szCs w:val="18"/>
                <w:color w:val="auto"/>
              </w:rPr>
              <w:t>Year End 2015E</w:t>
            </w:r>
          </w:p>
        </w:tc>
      </w:tr>
      <w:tr>
        <w:trPr>
          <w:trHeight w:val="215"/>
        </w:trPr>
        <w:tc>
          <w:tcPr>
            <w:tcW w:w="2200" w:type="dxa"/>
            <w:vAlign w:val="bottom"/>
            <w:shd w:val="clear" w:color="auto" w:fill="CFF0FC"/>
          </w:tcPr>
          <w:p>
            <w:pPr>
              <w:spacing w:after="0"/>
              <w:rPr>
                <w:sz w:val="18"/>
                <w:szCs w:val="18"/>
                <w:color w:val="auto"/>
              </w:rPr>
            </w:pPr>
          </w:p>
        </w:tc>
        <w:tc>
          <w:tcPr>
            <w:tcW w:w="740" w:type="dxa"/>
            <w:vAlign w:val="bottom"/>
            <w:shd w:val="clear" w:color="auto" w:fill="CFF0FC"/>
          </w:tcPr>
          <w:p>
            <w:pPr>
              <w:jc w:val="center"/>
              <w:ind w:left="210"/>
              <w:spacing w:after="0"/>
              <w:rPr>
                <w:sz w:val="20"/>
                <w:szCs w:val="20"/>
                <w:color w:val="auto"/>
              </w:rPr>
            </w:pPr>
            <w:r>
              <w:rPr>
                <w:rFonts w:ascii="Arial" w:cs="Arial" w:eastAsia="Arial" w:hAnsi="Arial"/>
                <w:sz w:val="18"/>
                <w:szCs w:val="18"/>
                <w:color w:val="auto"/>
                <w:w w:val="93"/>
              </w:rPr>
              <w:t># of</w:t>
            </w: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87"/>
              </w:rPr>
              <w:t>Sq Ft.</w:t>
            </w:r>
          </w:p>
        </w:tc>
        <w:tc>
          <w:tcPr>
            <w:tcW w:w="1280" w:type="dxa"/>
            <w:vAlign w:val="bottom"/>
            <w:shd w:val="clear" w:color="auto" w:fill="CFF0FC"/>
          </w:tcPr>
          <w:p>
            <w:pPr>
              <w:jc w:val="right"/>
              <w:ind w:right="470"/>
              <w:spacing w:after="0"/>
              <w:rPr>
                <w:sz w:val="20"/>
                <w:szCs w:val="20"/>
                <w:color w:val="auto"/>
              </w:rPr>
            </w:pPr>
            <w:r>
              <w:rPr>
                <w:rFonts w:ascii="Arial" w:cs="Arial" w:eastAsia="Arial" w:hAnsi="Arial"/>
                <w:sz w:val="18"/>
                <w:szCs w:val="18"/>
                <w:color w:val="auto"/>
              </w:rPr>
              <w:t># of</w:t>
            </w:r>
          </w:p>
        </w:tc>
        <w:tc>
          <w:tcPr>
            <w:tcW w:w="1020" w:type="dxa"/>
            <w:vAlign w:val="bottom"/>
            <w:gridSpan w:val="2"/>
            <w:shd w:val="clear" w:color="auto" w:fill="CFF0FC"/>
          </w:tcPr>
          <w:p>
            <w:pPr>
              <w:jc w:val="center"/>
              <w:ind w:right="240"/>
              <w:spacing w:after="0"/>
              <w:rPr>
                <w:sz w:val="20"/>
                <w:szCs w:val="20"/>
                <w:color w:val="auto"/>
              </w:rPr>
            </w:pPr>
            <w:r>
              <w:rPr>
                <w:rFonts w:ascii="Arial" w:cs="Arial" w:eastAsia="Arial" w:hAnsi="Arial"/>
                <w:sz w:val="18"/>
                <w:szCs w:val="18"/>
                <w:color w:val="auto"/>
                <w:w w:val="87"/>
              </w:rPr>
              <w:t>Sq Ft.</w:t>
            </w:r>
          </w:p>
        </w:tc>
        <w:tc>
          <w:tcPr>
            <w:tcW w:w="1280" w:type="dxa"/>
            <w:vAlign w:val="bottom"/>
            <w:shd w:val="clear" w:color="auto" w:fill="CFF0FC"/>
          </w:tcPr>
          <w:p>
            <w:pPr>
              <w:ind w:left="420"/>
              <w:spacing w:after="0"/>
              <w:rPr>
                <w:sz w:val="20"/>
                <w:szCs w:val="20"/>
                <w:color w:val="auto"/>
              </w:rPr>
            </w:pPr>
            <w:r>
              <w:rPr>
                <w:rFonts w:ascii="Arial" w:cs="Arial" w:eastAsia="Arial" w:hAnsi="Arial"/>
                <w:sz w:val="18"/>
                <w:szCs w:val="18"/>
                <w:color w:val="auto"/>
              </w:rPr>
              <w:t># of</w:t>
            </w:r>
          </w:p>
        </w:tc>
        <w:tc>
          <w:tcPr>
            <w:tcW w:w="1020" w:type="dxa"/>
            <w:vAlign w:val="bottom"/>
            <w:gridSpan w:val="2"/>
            <w:shd w:val="clear" w:color="auto" w:fill="CFF0FC"/>
          </w:tcPr>
          <w:p>
            <w:pPr>
              <w:jc w:val="center"/>
              <w:ind w:right="240"/>
              <w:spacing w:after="0"/>
              <w:rPr>
                <w:sz w:val="20"/>
                <w:szCs w:val="20"/>
                <w:color w:val="auto"/>
              </w:rPr>
            </w:pPr>
            <w:r>
              <w:rPr>
                <w:rFonts w:ascii="Arial" w:cs="Arial" w:eastAsia="Arial" w:hAnsi="Arial"/>
                <w:sz w:val="18"/>
                <w:szCs w:val="18"/>
                <w:color w:val="auto"/>
                <w:w w:val="87"/>
              </w:rPr>
              <w:t>Sq Ft.</w:t>
            </w:r>
          </w:p>
        </w:tc>
        <w:tc>
          <w:tcPr>
            <w:tcW w:w="116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93"/>
              </w:rPr>
              <w:t># of</w:t>
            </w:r>
          </w:p>
        </w:tc>
        <w:tc>
          <w:tcPr>
            <w:tcW w:w="118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91"/>
              </w:rPr>
              <w:t>Sq Ft.</w:t>
            </w:r>
          </w:p>
        </w:tc>
      </w:tr>
      <w:tr>
        <w:trPr>
          <w:trHeight w:val="230"/>
        </w:trPr>
        <w:tc>
          <w:tcPr>
            <w:tcW w:w="2200" w:type="dxa"/>
            <w:vAlign w:val="bottom"/>
            <w:shd w:val="clear" w:color="auto" w:fill="CFF0FC"/>
          </w:tcPr>
          <w:p>
            <w:pPr>
              <w:spacing w:after="0"/>
              <w:rPr>
                <w:sz w:val="20"/>
                <w:szCs w:val="20"/>
                <w:color w:val="auto"/>
              </w:rPr>
            </w:pPr>
          </w:p>
        </w:tc>
        <w:tc>
          <w:tcPr>
            <w:tcW w:w="740" w:type="dxa"/>
            <w:vAlign w:val="bottom"/>
            <w:shd w:val="clear" w:color="auto" w:fill="CFF0FC"/>
          </w:tcPr>
          <w:p>
            <w:pPr>
              <w:jc w:val="center"/>
              <w:ind w:left="210"/>
              <w:spacing w:after="0"/>
              <w:rPr>
                <w:sz w:val="20"/>
                <w:szCs w:val="20"/>
                <w:color w:val="auto"/>
              </w:rPr>
            </w:pPr>
            <w:r>
              <w:rPr>
                <w:rFonts w:ascii="Arial" w:cs="Arial" w:eastAsia="Arial" w:hAnsi="Arial"/>
                <w:sz w:val="18"/>
                <w:szCs w:val="18"/>
                <w:color w:val="auto"/>
                <w:w w:val="84"/>
              </w:rPr>
              <w:t>Stores</w:t>
            </w: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90"/>
              </w:rPr>
              <w:t>(000’s)</w:t>
            </w:r>
          </w:p>
        </w:tc>
        <w:tc>
          <w:tcPr>
            <w:tcW w:w="128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rPr>
              <w:t>Stores</w:t>
            </w:r>
          </w:p>
        </w:tc>
        <w:tc>
          <w:tcPr>
            <w:tcW w:w="1020" w:type="dxa"/>
            <w:vAlign w:val="bottom"/>
            <w:gridSpan w:val="2"/>
            <w:shd w:val="clear" w:color="auto" w:fill="CFF0FC"/>
          </w:tcPr>
          <w:p>
            <w:pPr>
              <w:jc w:val="center"/>
              <w:ind w:right="240"/>
              <w:spacing w:after="0"/>
              <w:rPr>
                <w:sz w:val="20"/>
                <w:szCs w:val="20"/>
                <w:color w:val="auto"/>
              </w:rPr>
            </w:pPr>
            <w:r>
              <w:rPr>
                <w:rFonts w:ascii="Arial" w:cs="Arial" w:eastAsia="Arial" w:hAnsi="Arial"/>
                <w:sz w:val="18"/>
                <w:szCs w:val="18"/>
                <w:color w:val="auto"/>
                <w:w w:val="90"/>
              </w:rPr>
              <w:t>(000’s)</w:t>
            </w:r>
          </w:p>
        </w:tc>
        <w:tc>
          <w:tcPr>
            <w:tcW w:w="128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rPr>
              <w:t>Stores</w:t>
            </w:r>
          </w:p>
        </w:tc>
        <w:tc>
          <w:tcPr>
            <w:tcW w:w="1020" w:type="dxa"/>
            <w:vAlign w:val="bottom"/>
            <w:gridSpan w:val="2"/>
            <w:shd w:val="clear" w:color="auto" w:fill="CFF0FC"/>
          </w:tcPr>
          <w:p>
            <w:pPr>
              <w:jc w:val="center"/>
              <w:ind w:right="240"/>
              <w:spacing w:after="0"/>
              <w:rPr>
                <w:sz w:val="20"/>
                <w:szCs w:val="20"/>
                <w:color w:val="auto"/>
              </w:rPr>
            </w:pPr>
            <w:r>
              <w:rPr>
                <w:rFonts w:ascii="Arial" w:cs="Arial" w:eastAsia="Arial" w:hAnsi="Arial"/>
                <w:sz w:val="18"/>
                <w:szCs w:val="18"/>
                <w:color w:val="auto"/>
                <w:w w:val="90"/>
              </w:rPr>
              <w:t>(000’s)</w:t>
            </w:r>
          </w:p>
        </w:tc>
        <w:tc>
          <w:tcPr>
            <w:tcW w:w="116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84"/>
              </w:rPr>
              <w:t>Stores</w:t>
            </w:r>
          </w:p>
        </w:tc>
        <w:tc>
          <w:tcPr>
            <w:tcW w:w="118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94"/>
              </w:rPr>
              <w:t>(000’s)</w:t>
            </w:r>
          </w:p>
        </w:tc>
      </w:tr>
      <w:tr>
        <w:trPr>
          <w:trHeight w:val="223"/>
        </w:trPr>
        <w:tc>
          <w:tcPr>
            <w:tcW w:w="2200" w:type="dxa"/>
            <w:vAlign w:val="bottom"/>
          </w:tcPr>
          <w:p>
            <w:pPr>
              <w:spacing w:after="0"/>
              <w:rPr>
                <w:sz w:val="20"/>
                <w:szCs w:val="20"/>
                <w:color w:val="auto"/>
              </w:rPr>
            </w:pPr>
            <w:r>
              <w:rPr>
                <w:rFonts w:ascii="Arial" w:cs="Arial" w:eastAsia="Arial" w:hAnsi="Arial"/>
                <w:sz w:val="18"/>
                <w:szCs w:val="18"/>
                <w:color w:val="auto"/>
              </w:rPr>
              <w:t>DXL Retail</w:t>
            </w:r>
          </w:p>
        </w:tc>
        <w:tc>
          <w:tcPr>
            <w:tcW w:w="74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915</w:t>
            </w:r>
          </w:p>
        </w:tc>
        <w:tc>
          <w:tcPr>
            <w:tcW w:w="100" w:type="dxa"/>
            <w:vAlign w:val="bottom"/>
          </w:tcPr>
          <w:p>
            <w:pPr>
              <w:spacing w:after="0"/>
              <w:rPr>
                <w:sz w:val="19"/>
                <w:szCs w:val="19"/>
                <w:color w:val="auto"/>
              </w:rPr>
            </w:pPr>
          </w:p>
        </w:tc>
        <w:tc>
          <w:tcPr>
            <w:tcW w:w="12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138</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1,179</w:t>
            </w:r>
          </w:p>
        </w:tc>
        <w:tc>
          <w:tcPr>
            <w:tcW w:w="120" w:type="dxa"/>
            <w:vAlign w:val="bottom"/>
          </w:tcPr>
          <w:p>
            <w:pPr>
              <w:spacing w:after="0"/>
              <w:rPr>
                <w:sz w:val="19"/>
                <w:szCs w:val="19"/>
                <w:color w:val="auto"/>
              </w:rPr>
            </w:pPr>
          </w:p>
        </w:tc>
        <w:tc>
          <w:tcPr>
            <w:tcW w:w="12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153</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1,290</w:t>
            </w:r>
          </w:p>
        </w:tc>
        <w:tc>
          <w:tcPr>
            <w:tcW w:w="10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1,382</w:t>
            </w:r>
          </w:p>
        </w:tc>
        <w:tc>
          <w:tcPr>
            <w:tcW w:w="120" w:type="dxa"/>
            <w:vAlign w:val="bottom"/>
          </w:tcPr>
          <w:p>
            <w:pPr>
              <w:spacing w:after="0"/>
              <w:rPr>
                <w:sz w:val="19"/>
                <w:szCs w:val="19"/>
                <w:color w:val="auto"/>
              </w:rPr>
            </w:pPr>
          </w:p>
        </w:tc>
      </w:tr>
      <w:tr>
        <w:trPr>
          <w:trHeight w:val="230"/>
        </w:trPr>
        <w:tc>
          <w:tcPr>
            <w:tcW w:w="2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DXL Outlets</w:t>
            </w:r>
          </w:p>
        </w:tc>
        <w:tc>
          <w:tcPr>
            <w:tcW w:w="4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FF0FC"/>
          </w:tcPr>
          <w:p>
            <w:pPr>
              <w:spacing w:after="0"/>
              <w:rPr>
                <w:sz w:val="19"/>
                <w:szCs w:val="19"/>
                <w:color w:val="auto"/>
              </w:rPr>
            </w:pPr>
          </w:p>
        </w:tc>
      </w:tr>
      <w:tr>
        <w:trPr>
          <w:trHeight w:val="230"/>
        </w:trPr>
        <w:tc>
          <w:tcPr>
            <w:tcW w:w="2940" w:type="dxa"/>
            <w:vAlign w:val="bottom"/>
            <w:gridSpan w:val="2"/>
          </w:tcPr>
          <w:p>
            <w:pPr>
              <w:spacing w:after="0"/>
              <w:rPr>
                <w:sz w:val="20"/>
                <w:szCs w:val="20"/>
                <w:color w:val="auto"/>
              </w:rPr>
            </w:pPr>
            <w:r>
              <w:rPr>
                <w:rFonts w:ascii="Arial" w:cs="Arial" w:eastAsia="Arial" w:hAnsi="Arial"/>
                <w:sz w:val="18"/>
                <w:szCs w:val="18"/>
                <w:color w:val="auto"/>
              </w:rPr>
              <w:t>CMXL Retail</w:t>
            </w:r>
          </w:p>
        </w:tc>
        <w:tc>
          <w:tcPr>
            <w:tcW w:w="300" w:type="dxa"/>
            <w:vAlign w:val="bottom"/>
          </w:tcPr>
          <w:p>
            <w:pPr>
              <w:jc w:val="right"/>
              <w:spacing w:after="0"/>
              <w:rPr>
                <w:sz w:val="20"/>
                <w:szCs w:val="20"/>
                <w:color w:val="auto"/>
              </w:rPr>
            </w:pPr>
            <w:r>
              <w:rPr>
                <w:rFonts w:ascii="Arial" w:cs="Arial" w:eastAsia="Arial" w:hAnsi="Arial"/>
                <w:sz w:val="18"/>
                <w:szCs w:val="18"/>
                <w:color w:val="auto"/>
                <w:w w:val="86"/>
              </w:rPr>
              <w:t>198</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713</w:t>
            </w:r>
          </w:p>
        </w:tc>
        <w:tc>
          <w:tcPr>
            <w:tcW w:w="100" w:type="dxa"/>
            <w:vAlign w:val="bottom"/>
          </w:tcPr>
          <w:p>
            <w:pPr>
              <w:spacing w:after="0"/>
              <w:rPr>
                <w:sz w:val="19"/>
                <w:szCs w:val="19"/>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157</w:t>
            </w:r>
          </w:p>
        </w:tc>
        <w:tc>
          <w:tcPr>
            <w:tcW w:w="900" w:type="dxa"/>
            <w:vAlign w:val="bottom"/>
          </w:tcPr>
          <w:p>
            <w:pPr>
              <w:jc w:val="right"/>
              <w:spacing w:after="0"/>
              <w:rPr>
                <w:sz w:val="20"/>
                <w:szCs w:val="20"/>
                <w:color w:val="auto"/>
              </w:rPr>
            </w:pPr>
            <w:r>
              <w:rPr>
                <w:rFonts w:ascii="Arial" w:cs="Arial" w:eastAsia="Arial" w:hAnsi="Arial"/>
                <w:sz w:val="18"/>
                <w:szCs w:val="18"/>
                <w:color w:val="auto"/>
              </w:rPr>
              <w:t>557</w:t>
            </w:r>
          </w:p>
        </w:tc>
        <w:tc>
          <w:tcPr>
            <w:tcW w:w="120" w:type="dxa"/>
            <w:vAlign w:val="bottom"/>
          </w:tcPr>
          <w:p>
            <w:pPr>
              <w:spacing w:after="0"/>
              <w:rPr>
                <w:sz w:val="19"/>
                <w:szCs w:val="19"/>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144</w:t>
            </w:r>
          </w:p>
        </w:tc>
        <w:tc>
          <w:tcPr>
            <w:tcW w:w="920" w:type="dxa"/>
            <w:vAlign w:val="bottom"/>
          </w:tcPr>
          <w:p>
            <w:pPr>
              <w:jc w:val="right"/>
              <w:spacing w:after="0"/>
              <w:rPr>
                <w:sz w:val="20"/>
                <w:szCs w:val="20"/>
                <w:color w:val="auto"/>
              </w:rPr>
            </w:pPr>
            <w:r>
              <w:rPr>
                <w:rFonts w:ascii="Arial" w:cs="Arial" w:eastAsia="Arial" w:hAnsi="Arial"/>
                <w:sz w:val="18"/>
                <w:szCs w:val="18"/>
                <w:color w:val="auto"/>
              </w:rPr>
              <w:t>511</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446</w:t>
            </w:r>
          </w:p>
        </w:tc>
        <w:tc>
          <w:tcPr>
            <w:tcW w:w="120" w:type="dxa"/>
            <w:vAlign w:val="bottom"/>
          </w:tcPr>
          <w:p>
            <w:pPr>
              <w:spacing w:after="0"/>
              <w:rPr>
                <w:sz w:val="19"/>
                <w:szCs w:val="19"/>
                <w:color w:val="auto"/>
              </w:rPr>
            </w:pPr>
          </w:p>
        </w:tc>
      </w:tr>
      <w:tr>
        <w:trPr>
          <w:trHeight w:val="230"/>
        </w:trPr>
        <w:tc>
          <w:tcPr>
            <w:tcW w:w="2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CMXL Outlets</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48</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w:t>
            </w: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44</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120" w:type="dxa"/>
            <w:vAlign w:val="bottom"/>
            <w:shd w:val="clear" w:color="auto" w:fill="CFF0FC"/>
          </w:tcPr>
          <w:p>
            <w:pPr>
              <w:spacing w:after="0"/>
              <w:rPr>
                <w:sz w:val="19"/>
                <w:szCs w:val="19"/>
                <w:color w:val="auto"/>
              </w:rPr>
            </w:pPr>
          </w:p>
        </w:tc>
      </w:tr>
      <w:tr>
        <w:trPr>
          <w:trHeight w:val="230"/>
        </w:trPr>
        <w:tc>
          <w:tcPr>
            <w:tcW w:w="2940" w:type="dxa"/>
            <w:vAlign w:val="bottom"/>
            <w:gridSpan w:val="2"/>
          </w:tcPr>
          <w:p>
            <w:pPr>
              <w:spacing w:after="0"/>
              <w:rPr>
                <w:sz w:val="20"/>
                <w:szCs w:val="20"/>
                <w:color w:val="auto"/>
              </w:rPr>
            </w:pPr>
            <w:r>
              <w:rPr>
                <w:rFonts w:ascii="Arial" w:cs="Arial" w:eastAsia="Arial" w:hAnsi="Arial"/>
                <w:sz w:val="18"/>
                <w:szCs w:val="18"/>
                <w:color w:val="auto"/>
              </w:rPr>
              <w:t>Rochester Clothing</w:t>
            </w:r>
          </w:p>
        </w:tc>
        <w:tc>
          <w:tcPr>
            <w:tcW w:w="3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9"/>
                <w:szCs w:val="19"/>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8</w:t>
            </w:r>
          </w:p>
        </w:tc>
        <w:tc>
          <w:tcPr>
            <w:tcW w:w="900" w:type="dxa"/>
            <w:vAlign w:val="bottom"/>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9"/>
                <w:szCs w:val="19"/>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8</w:t>
            </w:r>
          </w:p>
        </w:tc>
        <w:tc>
          <w:tcPr>
            <w:tcW w:w="92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9"/>
                <w:szCs w:val="19"/>
                <w:color w:val="auto"/>
              </w:rPr>
            </w:pPr>
          </w:p>
        </w:tc>
      </w:tr>
      <w:tr>
        <w:trPr>
          <w:trHeight w:val="223"/>
        </w:trPr>
        <w:tc>
          <w:tcPr>
            <w:tcW w:w="2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74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359</w:t>
            </w:r>
          </w:p>
        </w:tc>
        <w:tc>
          <w:tcPr>
            <w:tcW w:w="1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1,883</w:t>
            </w:r>
          </w:p>
        </w:tc>
        <w:tc>
          <w:tcPr>
            <w:tcW w:w="100" w:type="dxa"/>
            <w:vAlign w:val="bottom"/>
            <w:tcBorders>
              <w:top w:val="single" w:sz="8" w:color="CFF0FC"/>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353</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1,975</w:t>
            </w:r>
          </w:p>
        </w:tc>
        <w:tc>
          <w:tcPr>
            <w:tcW w:w="120" w:type="dxa"/>
            <w:vAlign w:val="bottom"/>
            <w:tcBorders>
              <w:top w:val="single" w:sz="8" w:color="CFF0FC"/>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354</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2,042</w:t>
            </w:r>
          </w:p>
        </w:tc>
        <w:tc>
          <w:tcPr>
            <w:tcW w:w="1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347</w:t>
            </w:r>
          </w:p>
        </w:tc>
        <w:tc>
          <w:tcPr>
            <w:tcW w:w="12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2,052</w:t>
            </w:r>
          </w:p>
        </w:tc>
        <w:tc>
          <w:tcPr>
            <w:tcW w:w="120" w:type="dxa"/>
            <w:vAlign w:val="bottom"/>
            <w:tcBorders>
              <w:top w:val="single" w:sz="8" w:color="CFF0FC"/>
            </w:tcBorders>
            <w:shd w:val="clear" w:color="auto" w:fill="CFF0FC"/>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u w:val="single" w:color="auto"/>
          <w:color w:val="auto"/>
        </w:rPr>
        <w:t>Fiscal 2015 Outlook</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color w:val="auto"/>
        </w:rPr>
        <w:t>The Company is affirming its previous earnings guidance for fiscal 2015. The Company expects:</w:t>
      </w:r>
    </w:p>
    <w:p>
      <w:pPr>
        <w:spacing w:after="0" w:line="135" w:lineRule="exact"/>
        <w:rPr>
          <w:sz w:val="20"/>
          <w:szCs w:val="20"/>
          <w:color w:val="auto"/>
        </w:rPr>
      </w:pPr>
    </w:p>
    <w:p>
      <w:pPr>
        <w:ind w:left="880" w:hanging="43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20"/>
          <w:szCs w:val="20"/>
          <w:color w:val="auto"/>
        </w:rPr>
        <w:t>Total sales in the range of $438.0 to $443.0 million.</w:t>
      </w:r>
    </w:p>
    <w:p>
      <w:pPr>
        <w:spacing w:after="0" w:line="175" w:lineRule="exact"/>
        <w:rPr>
          <w:rFonts w:ascii="Arial" w:cs="Arial" w:eastAsia="Arial" w:hAnsi="Arial"/>
          <w:sz w:val="18"/>
          <w:szCs w:val="18"/>
          <w:color w:val="auto"/>
        </w:rPr>
      </w:pPr>
    </w:p>
    <w:p>
      <w:pPr>
        <w:ind w:left="880" w:hanging="43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20"/>
          <w:szCs w:val="20"/>
          <w:color w:val="auto"/>
        </w:rPr>
        <w:t>A total comparable sales increase of approximately 5.6%.</w:t>
      </w:r>
    </w:p>
    <w:p>
      <w:pPr>
        <w:spacing w:after="0" w:line="175" w:lineRule="exact"/>
        <w:rPr>
          <w:rFonts w:ascii="Arial" w:cs="Arial" w:eastAsia="Arial" w:hAnsi="Arial"/>
          <w:sz w:val="18"/>
          <w:szCs w:val="18"/>
          <w:color w:val="auto"/>
        </w:rPr>
      </w:pPr>
    </w:p>
    <w:p>
      <w:pPr>
        <w:ind w:left="880" w:hanging="43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20"/>
          <w:szCs w:val="20"/>
          <w:color w:val="auto"/>
        </w:rPr>
        <w:t>Gross profit margin of approximately 45.9%.</w:t>
      </w:r>
    </w:p>
    <w:p>
      <w:pPr>
        <w:spacing w:after="0" w:line="175" w:lineRule="exact"/>
        <w:rPr>
          <w:rFonts w:ascii="Arial" w:cs="Arial" w:eastAsia="Arial" w:hAnsi="Arial"/>
          <w:sz w:val="18"/>
          <w:szCs w:val="18"/>
          <w:color w:val="auto"/>
        </w:rPr>
      </w:pPr>
    </w:p>
    <w:p>
      <w:pPr>
        <w:ind w:left="880" w:hanging="43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20"/>
          <w:szCs w:val="20"/>
          <w:color w:val="auto"/>
        </w:rPr>
        <w:t>SG&amp;A costs of approximately $180.5 million.</w:t>
      </w:r>
    </w:p>
    <w:p>
      <w:pPr>
        <w:spacing w:after="0" w:line="175" w:lineRule="exact"/>
        <w:rPr>
          <w:rFonts w:ascii="Arial" w:cs="Arial" w:eastAsia="Arial" w:hAnsi="Arial"/>
          <w:sz w:val="18"/>
          <w:szCs w:val="18"/>
          <w:color w:val="auto"/>
        </w:rPr>
      </w:pPr>
    </w:p>
    <w:p>
      <w:pPr>
        <w:ind w:left="880" w:hanging="43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20"/>
          <w:szCs w:val="20"/>
          <w:color w:val="auto"/>
        </w:rPr>
        <w:t>Depreciation and amortization expense of approximately $28.5 million.</w:t>
      </w:r>
    </w:p>
    <w:p>
      <w:pPr>
        <w:spacing w:after="0" w:line="175" w:lineRule="exact"/>
        <w:rPr>
          <w:rFonts w:ascii="Arial" w:cs="Arial" w:eastAsia="Arial" w:hAnsi="Arial"/>
          <w:sz w:val="18"/>
          <w:szCs w:val="18"/>
          <w:color w:val="auto"/>
        </w:rPr>
      </w:pPr>
    </w:p>
    <w:p>
      <w:pPr>
        <w:ind w:left="880" w:hanging="43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20"/>
          <w:szCs w:val="20"/>
          <w:color w:val="auto"/>
        </w:rPr>
        <w:t>Interest expense of approximately $3.8 million.</w:t>
      </w:r>
    </w:p>
    <w:p>
      <w:pPr>
        <w:spacing w:after="0" w:line="175" w:lineRule="exact"/>
        <w:rPr>
          <w:rFonts w:ascii="Arial" w:cs="Arial" w:eastAsia="Arial" w:hAnsi="Arial"/>
          <w:sz w:val="18"/>
          <w:szCs w:val="18"/>
          <w:color w:val="auto"/>
        </w:rPr>
      </w:pPr>
    </w:p>
    <w:p>
      <w:pPr>
        <w:ind w:left="880" w:hanging="43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20"/>
          <w:szCs w:val="20"/>
          <w:color w:val="auto"/>
        </w:rPr>
        <w:t>EBITDA in the range of $21.0 to $23.0 million.</w:t>
      </w:r>
    </w:p>
    <w:p>
      <w:pPr>
        <w:spacing w:after="0" w:line="175" w:lineRule="exact"/>
        <w:rPr>
          <w:rFonts w:ascii="Arial" w:cs="Arial" w:eastAsia="Arial" w:hAnsi="Arial"/>
          <w:sz w:val="18"/>
          <w:szCs w:val="18"/>
          <w:color w:val="auto"/>
        </w:rPr>
      </w:pPr>
    </w:p>
    <w:p>
      <w:pPr>
        <w:ind w:left="880" w:hanging="43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20"/>
          <w:szCs w:val="20"/>
          <w:color w:val="auto"/>
        </w:rPr>
        <w:t>Operating margin loss of between (1.7%) and (1.2%).</w:t>
      </w:r>
    </w:p>
    <w:p>
      <w:pPr>
        <w:spacing w:after="0" w:line="175" w:lineRule="exact"/>
        <w:rPr>
          <w:rFonts w:ascii="Arial" w:cs="Arial" w:eastAsia="Arial" w:hAnsi="Arial"/>
          <w:sz w:val="18"/>
          <w:szCs w:val="18"/>
          <w:color w:val="auto"/>
        </w:rPr>
      </w:pPr>
    </w:p>
    <w:p>
      <w:pPr>
        <w:ind w:left="880" w:hanging="433"/>
        <w:spacing w:after="0" w:line="263" w:lineRule="auto"/>
        <w:tabs>
          <w:tab w:leader="none" w:pos="880" w:val="left"/>
        </w:tabs>
        <w:numPr>
          <w:ilvl w:val="0"/>
          <w:numId w:val="3"/>
        </w:numPr>
        <w:rPr>
          <w:rFonts w:ascii="Arial" w:cs="Arial" w:eastAsia="Arial" w:hAnsi="Arial"/>
          <w:sz w:val="17"/>
          <w:szCs w:val="17"/>
          <w:color w:val="auto"/>
        </w:rPr>
      </w:pPr>
      <w:r>
        <w:rPr>
          <w:rFonts w:ascii="Arial" w:cs="Arial" w:eastAsia="Arial" w:hAnsi="Arial"/>
          <w:sz w:val="19"/>
          <w:szCs w:val="19"/>
          <w:color w:val="auto"/>
        </w:rPr>
        <w:t>A net loss of $(0.20) to $(0.23) per diluted share. On a non-GAAP basis, an adjusted net loss of $(0.12) to $(0.14) per diluted share. This guidance is presented on a non-GAAP basis for comparative purposes to fiscal 2014 earnings, assuming a normal tax benefit of approximately 40%. The Company expects to continue to provide a full valuation allowance against its deferred tax assets in fiscal 2015 and will not recognize any income tax benefit on its operating loss in fiscal 2015.</w:t>
      </w:r>
    </w:p>
    <w:p>
      <w:pPr>
        <w:spacing w:after="0" w:line="136" w:lineRule="exact"/>
        <w:rPr>
          <w:rFonts w:ascii="Arial" w:cs="Arial" w:eastAsia="Arial" w:hAnsi="Arial"/>
          <w:sz w:val="17"/>
          <w:szCs w:val="17"/>
          <w:color w:val="auto"/>
        </w:rPr>
      </w:pPr>
    </w:p>
    <w:p>
      <w:pPr>
        <w:ind w:left="880" w:right="640" w:hanging="433"/>
        <w:spacing w:after="0" w:line="260"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20"/>
          <w:szCs w:val="20"/>
          <w:color w:val="auto"/>
        </w:rPr>
        <w:t>To open approximately 30 DXL retail and 8 DXL outlet stores and close approximately 41 Casual Male XL and 3 Rochester Clothing stores.</w:t>
      </w:r>
    </w:p>
    <w:p>
      <w:pPr>
        <w:spacing w:after="0" w:line="136" w:lineRule="exact"/>
        <w:rPr>
          <w:rFonts w:ascii="Arial" w:cs="Arial" w:eastAsia="Arial" w:hAnsi="Arial"/>
          <w:sz w:val="18"/>
          <w:szCs w:val="18"/>
          <w:color w:val="auto"/>
        </w:rPr>
      </w:pPr>
    </w:p>
    <w:p>
      <w:pPr>
        <w:ind w:left="880" w:hanging="43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20"/>
          <w:szCs w:val="20"/>
          <w:color w:val="auto"/>
        </w:rPr>
        <w:t>Capital expenditures, net of tenant allowances of $6.0-$7.0 million, of approximately $30.0-$32.0 million.</w:t>
      </w:r>
    </w:p>
    <w:p>
      <w:pPr>
        <w:spacing w:after="0" w:line="175" w:lineRule="exact"/>
        <w:rPr>
          <w:rFonts w:ascii="Arial" w:cs="Arial" w:eastAsia="Arial" w:hAnsi="Arial"/>
          <w:sz w:val="18"/>
          <w:szCs w:val="18"/>
          <w:color w:val="auto"/>
        </w:rPr>
      </w:pPr>
    </w:p>
    <w:p>
      <w:pPr>
        <w:ind w:left="880" w:right="120" w:hanging="433"/>
        <w:spacing w:after="0" w:line="250"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20"/>
          <w:szCs w:val="20"/>
          <w:color w:val="auto"/>
        </w:rPr>
        <w:t>Borrowings at the end of fiscal 2015 in the range of $72.0 to $76.0 million consisting of $45.3 to $49.3 million under the credit facility, a term loan of approximately $13.8 million, and equipment financing notes of approximately $12.9 million. Free cash flow in the range of $(18.5) to $(22.5) million.</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Conference Call</w:t>
      </w:r>
    </w:p>
    <w:p>
      <w:pPr>
        <w:spacing w:after="0" w:line="235" w:lineRule="exact"/>
        <w:rPr>
          <w:sz w:val="20"/>
          <w:szCs w:val="20"/>
          <w:color w:val="auto"/>
        </w:rPr>
      </w:pPr>
    </w:p>
    <w:p>
      <w:pPr>
        <w:ind w:right="100"/>
        <w:spacing w:after="0" w:line="246" w:lineRule="auto"/>
        <w:rPr>
          <w:sz w:val="20"/>
          <w:szCs w:val="20"/>
          <w:color w:val="auto"/>
        </w:rPr>
      </w:pPr>
      <w:r>
        <w:rPr>
          <w:rFonts w:ascii="Arial" w:cs="Arial" w:eastAsia="Arial" w:hAnsi="Arial"/>
          <w:sz w:val="20"/>
          <w:szCs w:val="20"/>
          <w:color w:val="auto"/>
        </w:rPr>
        <w:t>The Company will hold a conference call to review its financial results today, Thursday, August 27, 2015 at 9:00 a.m. ET. To listen to the live webcast, visit the "</w:t>
      </w:r>
      <w:r>
        <w:rPr>
          <w:rFonts w:ascii="Arial" w:cs="Arial" w:eastAsia="Arial" w:hAnsi="Arial"/>
          <w:sz w:val="20"/>
          <w:szCs w:val="20"/>
          <w:u w:val="single" w:color="auto"/>
          <w:color w:val="auto"/>
        </w:rPr>
        <w:t>Investor Relations</w:t>
      </w:r>
      <w:r>
        <w:rPr>
          <w:rFonts w:ascii="Arial" w:cs="Arial" w:eastAsia="Arial" w:hAnsi="Arial"/>
          <w:sz w:val="20"/>
          <w:szCs w:val="20"/>
          <w:color w:val="auto"/>
        </w:rPr>
        <w:t>" section of the Company's website. The live call also can be accessed by dialing: (888) 417-8465. Please reference conference ID: 7785076. An archived version of the webcast may be accessed by visiting the "</w:t>
      </w:r>
      <w:r>
        <w:rPr>
          <w:rFonts w:ascii="Arial" w:cs="Arial" w:eastAsia="Arial" w:hAnsi="Arial"/>
          <w:sz w:val="20"/>
          <w:szCs w:val="20"/>
          <w:u w:val="single" w:color="auto"/>
          <w:color w:val="auto"/>
        </w:rPr>
        <w:t>Events</w:t>
      </w:r>
      <w:r>
        <w:rPr>
          <w:rFonts w:ascii="Arial" w:cs="Arial" w:eastAsia="Arial" w:hAnsi="Arial"/>
          <w:sz w:val="20"/>
          <w:szCs w:val="20"/>
          <w:color w:val="auto"/>
        </w:rPr>
        <w:t>" section of the Company's website for up to one year.</w:t>
      </w:r>
    </w:p>
    <w:p>
      <w:pPr>
        <w:spacing w:after="0" w:line="124" w:lineRule="exact"/>
        <w:rPr>
          <w:sz w:val="20"/>
          <w:szCs w:val="20"/>
          <w:color w:val="auto"/>
        </w:rPr>
      </w:pPr>
    </w:p>
    <w:p>
      <w:pPr>
        <w:ind w:right="200"/>
        <w:spacing w:after="0" w:line="260" w:lineRule="auto"/>
        <w:rPr>
          <w:sz w:val="20"/>
          <w:szCs w:val="20"/>
          <w:color w:val="auto"/>
        </w:rPr>
      </w:pPr>
      <w:r>
        <w:rPr>
          <w:rFonts w:ascii="Arial" w:cs="Arial" w:eastAsia="Arial" w:hAnsi="Arial"/>
          <w:sz w:val="20"/>
          <w:szCs w:val="20"/>
          <w:color w:val="auto"/>
        </w:rPr>
        <w:t>During the conference call, the Company may discuss and answer questions concerning business and financial developments and trends. The Company’s responses to questions, as well as other matters</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15" w:right="279" w:bottom="1440" w:gutter="0" w:footer="0" w:header="0"/>
        </w:sectPr>
      </w:pPr>
    </w:p>
    <w:bookmarkStart w:id="7" w:name="page8"/>
    <w:bookmarkEnd w:id="7"/>
    <w:p>
      <w:pPr>
        <w:spacing w:after="0"/>
        <w:rPr>
          <w:sz w:val="20"/>
          <w:szCs w:val="20"/>
          <w:color w:val="auto"/>
        </w:rPr>
      </w:pPr>
      <w:r>
        <w:rPr>
          <w:rFonts w:ascii="Arial" w:cs="Arial" w:eastAsia="Arial" w:hAnsi="Arial"/>
          <w:sz w:val="20"/>
          <w:szCs w:val="20"/>
          <w:color w:val="auto"/>
        </w:rPr>
        <w:t>discussed during the conference call, may contain or constitute information that has not been disclosed previously.</w:t>
      </w: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Non-GAAP Measures</w:t>
      </w:r>
    </w:p>
    <w:p>
      <w:pPr>
        <w:spacing w:after="0" w:line="154"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In addition to financial measures prepared in accordance with U.S. generally accepted accounting principles (“GAAP”), this press release refers to free cash flow, EBITDA from continuing operations and adjusted net loss per diluted share. The presentation of these non-GAAP measures is not in accordance with GAAP, and should not be considered superior to or as a substitute for net income (loss), earnings (loss) per diluted share, income (loss) from continuing operations or cash flows from operating activities or any other measure of performance derived in accordance with GAAP. In addition, all companies do not calculate non-GAAP financial measures in the same manner and, accordingly, the non-GAAP measures presented in this release may not be comparable to similar measures used by other companies. The Company believes the inclusion of these non-GAAP measures helps investors gain a better understanding of the Company’s performance, especially when comparing such results to previous periods, and that they are useful as an additional means for investors to evaluate the Company's operating results, when reviewed in conjunction with the Company's GAAP financial statements.</w:t>
      </w:r>
    </w:p>
    <w:p>
      <w:pPr>
        <w:spacing w:after="0" w:line="90"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color w:val="auto"/>
        </w:rPr>
        <w:t>The Company calculates free cash flow as cash flow from operating activities less capital expenditures and less discretionary store asset acquisitions, if applicable. EBITDA is calculated as earnings before interest, taxes, depreciation and amortization. EBITDA from continuing operations is calculated as EBITDA before discontinued operations. Adjusted net loss per diluted share has been adjusted for a normal tax rate, assuming 40%. Reconciliations of these non-GAAP measures to their comparable GAAP measures are provided in the tables below.</w:t>
      </w:r>
    </w:p>
    <w:p>
      <w:pPr>
        <w:spacing w:after="0" w:line="8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About Destination XL Group, Inc.</w:t>
      </w:r>
    </w:p>
    <w:p>
      <w:pPr>
        <w:spacing w:after="0" w:line="154" w:lineRule="exact"/>
        <w:rPr>
          <w:sz w:val="20"/>
          <w:szCs w:val="20"/>
          <w:color w:val="auto"/>
        </w:rPr>
      </w:pPr>
    </w:p>
    <w:p>
      <w:pPr>
        <w:ind w:right="100"/>
        <w:spacing w:after="0" w:line="259" w:lineRule="auto"/>
        <w:rPr>
          <w:sz w:val="20"/>
          <w:szCs w:val="20"/>
          <w:color w:val="auto"/>
        </w:rPr>
      </w:pPr>
      <w:r>
        <w:rPr>
          <w:rFonts w:ascii="Arial" w:cs="Arial" w:eastAsia="Arial" w:hAnsi="Arial"/>
          <w:sz w:val="19"/>
          <w:szCs w:val="19"/>
          <w:color w:val="auto"/>
        </w:rPr>
        <w:t>Destination XL Group, Inc. is the largest omni-channel specialty retailer of big &amp; tall men's apparel with store locations throughout the United States and London, England. The retailer operates under five brands: Destination XL®, Casual Male XL, Rochester Clothing, ShoesXL and LivingXL. The Company also operates e-commerce sites at www.destinationxl.com and www.bigandtall.com. With more than 2,000 private label and name brand styles to choose from, big and tall customers are provided with a unique blend of wardrobe solutions not available at traditional retailers. The Company is headquartered in Canton, Massachusetts. For more information, please visit the Company’s investor relations website: http://investor.destinationxl.com.</w:t>
      </w:r>
    </w:p>
    <w:p>
      <w:pPr>
        <w:spacing w:after="0" w:line="9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Forward-Looking Statements</w:t>
      </w:r>
    </w:p>
    <w:p>
      <w:pPr>
        <w:spacing w:after="0" w:line="235" w:lineRule="exact"/>
        <w:rPr>
          <w:sz w:val="20"/>
          <w:szCs w:val="20"/>
          <w:color w:val="auto"/>
        </w:rPr>
      </w:pPr>
    </w:p>
    <w:p>
      <w:pPr>
        <w:ind w:right="180"/>
        <w:spacing w:after="0" w:line="278" w:lineRule="auto"/>
        <w:rPr>
          <w:sz w:val="20"/>
          <w:szCs w:val="20"/>
          <w:color w:val="auto"/>
        </w:rPr>
      </w:pPr>
      <w:r>
        <w:rPr>
          <w:rFonts w:ascii="Arial" w:cs="Arial" w:eastAsia="Arial" w:hAnsi="Arial"/>
          <w:sz w:val="18"/>
          <w:szCs w:val="18"/>
          <w:i w:val="1"/>
          <w:iCs w:val="1"/>
          <w:color w:val="auto"/>
        </w:rPr>
        <w:t>Certain statements and information contained in this press release constitute forward-looking statements under the federal securities laws, including statements regarding the Company’s expectations with respect to its projected sales and EBITDA for fiscal 2016 and cash flows, operating and gross profit margins, store counts, pace of store openings, costs, capital expenditures, borrowings, sales, EBITDA, profitability and earnings expectations for fiscal 2015. The discussion of forward-looking information requires management of the Company to make certain estimates and assumptions regarding the Company's strategic direction and the effect of such plans on the Company's financial</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8" w:name="page9"/>
    <w:bookmarkEnd w:id="8"/>
    <w:p>
      <w:pPr>
        <w:spacing w:after="0" w:line="276" w:lineRule="auto"/>
        <w:rPr>
          <w:sz w:val="20"/>
          <w:szCs w:val="20"/>
          <w:color w:val="auto"/>
        </w:rPr>
      </w:pPr>
      <w:r>
        <w:rPr>
          <w:rFonts w:ascii="Arial" w:cs="Arial" w:eastAsia="Arial" w:hAnsi="Arial"/>
          <w:sz w:val="18"/>
          <w:szCs w:val="18"/>
          <w:i w:val="1"/>
          <w:iCs w:val="1"/>
          <w:color w:val="auto"/>
        </w:rPr>
        <w:t>results. The Company's actual results and the implementation of its plans and operations may differ materially from forward-looking statements made by the Company. The Company encourages readers of forward-looking information concerning the Company to refer to its filings with the Securities and Exchange Commission, including without limitation, its Annual Report on Form 10-K filed on March 25, 2015, that set forth certain risks and uncertainties that may have an impact on future results and direction of the Company, including risks relating to the Company’s execution of its DXL strategy and ability to grow its market share, its ability to predict customer tastes and fashion trends, its ability to forecast sales growth trends and its ability to compete successfully in the United States men’s big and tall apparel market.</w:t>
      </w:r>
    </w:p>
    <w:p>
      <w:pPr>
        <w:spacing w:after="0" w:line="99" w:lineRule="exact"/>
        <w:rPr>
          <w:sz w:val="20"/>
          <w:szCs w:val="20"/>
          <w:color w:val="auto"/>
        </w:rPr>
      </w:pPr>
    </w:p>
    <w:p>
      <w:pPr>
        <w:jc w:val="both"/>
        <w:ind w:right="600"/>
        <w:spacing w:after="0" w:line="250" w:lineRule="auto"/>
        <w:rPr>
          <w:sz w:val="20"/>
          <w:szCs w:val="20"/>
          <w:color w:val="auto"/>
        </w:rPr>
      </w:pPr>
      <w:r>
        <w:rPr>
          <w:rFonts w:ascii="Arial" w:cs="Arial" w:eastAsia="Arial" w:hAnsi="Arial"/>
          <w:sz w:val="20"/>
          <w:szCs w:val="20"/>
          <w:i w:val="1"/>
          <w:iCs w:val="1"/>
          <w:color w:val="auto"/>
        </w:rPr>
        <w:t>Forward-looking statements contained in this press release speak only as of the date of this release. Subsequent events or circumstances occurring after such date may render these statements incomplete or out of date. The Company undertakes no obligation and expressly disclaims any duty to update such statements.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9" w:name="page10"/>
    <w:bookmarkEnd w:id="9"/>
    <w:p>
      <w:pPr>
        <w:jc w:val="center"/>
        <w:ind w:right="120"/>
        <w:spacing w:after="0"/>
        <w:rPr>
          <w:sz w:val="20"/>
          <w:szCs w:val="20"/>
          <w:color w:val="auto"/>
        </w:rPr>
      </w:pPr>
      <w:r>
        <w:rPr>
          <w:rFonts w:ascii="Arial" w:cs="Arial" w:eastAsia="Arial" w:hAnsi="Arial"/>
          <w:sz w:val="16"/>
          <w:szCs w:val="16"/>
          <w:color w:val="auto"/>
        </w:rPr>
        <w:t>DESTINATION XL GROUP, INC.</w:t>
      </w:r>
    </w:p>
    <w:p>
      <w:pPr>
        <w:spacing w:after="0" w:line="32"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CONSOLIDATED STATEMENTS OF OPERATIONS</w:t>
      </w:r>
    </w:p>
    <w:p>
      <w:pPr>
        <w:spacing w:after="0" w:line="32"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(In thousands, except per share data)</w:t>
      </w:r>
    </w:p>
    <w:p>
      <w:pPr>
        <w:spacing w:after="0" w:line="32"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(unaudited)</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40" w:type="dxa"/>
            <w:vAlign w:val="bottom"/>
            <w:gridSpan w:val="6"/>
          </w:tcPr>
          <w:p>
            <w:pPr>
              <w:jc w:val="right"/>
              <w:ind w:right="840"/>
              <w:spacing w:after="0"/>
              <w:rPr>
                <w:sz w:val="20"/>
                <w:szCs w:val="20"/>
                <w:color w:val="auto"/>
              </w:rPr>
            </w:pPr>
            <w:r>
              <w:rPr>
                <w:rFonts w:ascii="Arial" w:cs="Arial" w:eastAsia="Arial" w:hAnsi="Arial"/>
                <w:sz w:val="14"/>
                <w:szCs w:val="14"/>
                <w:color w:val="auto"/>
              </w:rPr>
              <w:t>For the three months ended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0" w:type="dxa"/>
            <w:vAlign w:val="bottom"/>
            <w:gridSpan w:val="6"/>
          </w:tcPr>
          <w:p>
            <w:pPr>
              <w:jc w:val="right"/>
              <w:ind w:right="920"/>
              <w:spacing w:after="0"/>
              <w:rPr>
                <w:sz w:val="20"/>
                <w:szCs w:val="20"/>
                <w:color w:val="auto"/>
              </w:rPr>
            </w:pPr>
            <w:r>
              <w:rPr>
                <w:rFonts w:ascii="Arial" w:cs="Arial" w:eastAsia="Arial" w:hAnsi="Arial"/>
                <w:sz w:val="14"/>
                <w:szCs w:val="14"/>
                <w:color w:val="auto"/>
              </w:rPr>
              <w:t>For the six months ended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700" w:type="dxa"/>
            <w:vAlign w:val="bottom"/>
            <w:tcBorders>
              <w:bottom w:val="single" w:sz="8" w:color="CFF0FC"/>
            </w:tcBorders>
          </w:tcPr>
          <w:p>
            <w:pPr>
              <w:spacing w:after="0"/>
              <w:rPr>
                <w:sz w:val="14"/>
                <w:szCs w:val="14"/>
                <w:color w:val="auto"/>
              </w:rPr>
            </w:pPr>
          </w:p>
        </w:tc>
        <w:tc>
          <w:tcPr>
            <w:tcW w:w="36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color w:val="auto"/>
              </w:rPr>
              <w:t>August 1, 2015</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color w:val="auto"/>
                <w:w w:val="99"/>
              </w:rPr>
              <w:t>August 2, 2014</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color w:val="auto"/>
                <w:w w:val="99"/>
              </w:rPr>
              <w:t>August 1, 2015</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color w:val="auto"/>
              </w:rPr>
              <w:t>August 2, 2014</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6"/>
                <w:szCs w:val="16"/>
                <w:color w:val="auto"/>
              </w:rPr>
              <w:t>Sales</w:t>
            </w:r>
          </w:p>
        </w:tc>
        <w:tc>
          <w:tcPr>
            <w:tcW w:w="540" w:type="dxa"/>
            <w:vAlign w:val="bottom"/>
            <w:gridSpan w:val="2"/>
            <w:shd w:val="clear" w:color="auto" w:fill="CFF0FC"/>
          </w:tcPr>
          <w:p>
            <w:pPr>
              <w:jc w:val="right"/>
              <w:ind w:right="24"/>
              <w:spacing w:after="0"/>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114,147</w:t>
            </w:r>
          </w:p>
        </w:tc>
        <w:tc>
          <w:tcPr>
            <w:tcW w:w="14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104,162</w:t>
            </w:r>
          </w:p>
        </w:tc>
        <w:tc>
          <w:tcPr>
            <w:tcW w:w="14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218,552</w:t>
            </w:r>
          </w:p>
        </w:tc>
        <w:tc>
          <w:tcPr>
            <w:tcW w:w="14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200,821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20" w:type="dxa"/>
            <w:vAlign w:val="bottom"/>
            <w:gridSpan w:val="2"/>
          </w:tcPr>
          <w:p>
            <w:pPr>
              <w:spacing w:after="0"/>
              <w:rPr>
                <w:sz w:val="20"/>
                <w:szCs w:val="20"/>
                <w:color w:val="auto"/>
              </w:rPr>
            </w:pPr>
            <w:r>
              <w:rPr>
                <w:rFonts w:ascii="Arial" w:cs="Arial" w:eastAsia="Arial" w:hAnsi="Arial"/>
                <w:sz w:val="16"/>
                <w:szCs w:val="16"/>
                <w:color w:val="auto"/>
              </w:rPr>
              <w:t>Cost of goods sold including occupancy costs</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60,264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55,925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116,430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108,646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Gross profit</w:t>
            </w:r>
          </w:p>
        </w:tc>
        <w:tc>
          <w:tcPr>
            <w:tcW w:w="36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53,883</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48,237</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102,122</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92,175</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6"/>
                <w:szCs w:val="16"/>
                <w:color w:val="auto"/>
              </w:rPr>
              <w:t>Expenses:</w:t>
            </w:r>
          </w:p>
        </w:tc>
        <w:tc>
          <w:tcPr>
            <w:tcW w:w="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00" w:type="dxa"/>
            <w:vAlign w:val="bottom"/>
          </w:tcPr>
          <w:p>
            <w:pPr>
              <w:ind w:left="240"/>
              <w:spacing w:after="0"/>
              <w:rPr>
                <w:sz w:val="20"/>
                <w:szCs w:val="20"/>
                <w:color w:val="auto"/>
              </w:rPr>
            </w:pPr>
            <w:r>
              <w:rPr>
                <w:rFonts w:ascii="Arial" w:cs="Arial" w:eastAsia="Arial" w:hAnsi="Arial"/>
                <w:sz w:val="16"/>
                <w:szCs w:val="16"/>
                <w:color w:val="auto"/>
              </w:rPr>
              <w:t>Selling, general and administrative</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47,121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45,101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88,590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86,548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7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Depreciation and amortization</w:t>
            </w:r>
          </w:p>
        </w:tc>
        <w:tc>
          <w:tcPr>
            <w:tcW w:w="3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6,928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5,698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13,450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11,128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720" w:type="dxa"/>
            <w:vAlign w:val="bottom"/>
            <w:gridSpan w:val="2"/>
          </w:tcPr>
          <w:p>
            <w:pPr>
              <w:spacing w:after="0"/>
              <w:rPr>
                <w:sz w:val="20"/>
                <w:szCs w:val="20"/>
                <w:color w:val="auto"/>
              </w:rPr>
            </w:pPr>
            <w:r>
              <w:rPr>
                <w:rFonts w:ascii="Arial" w:cs="Arial" w:eastAsia="Arial" w:hAnsi="Arial"/>
                <w:sz w:val="16"/>
                <w:szCs w:val="16"/>
                <w:color w:val="auto"/>
              </w:rPr>
              <w:t>Total expenses</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54,049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50,799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102,040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97,676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0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20" w:type="dxa"/>
            <w:vAlign w:val="bottom"/>
            <w:gridSpan w:val="2"/>
          </w:tcPr>
          <w:p>
            <w:pPr>
              <w:spacing w:after="0"/>
              <w:rPr>
                <w:sz w:val="20"/>
                <w:szCs w:val="20"/>
                <w:color w:val="auto"/>
              </w:rPr>
            </w:pPr>
            <w:r>
              <w:rPr>
                <w:rFonts w:ascii="Arial" w:cs="Arial" w:eastAsia="Arial" w:hAnsi="Arial"/>
                <w:sz w:val="16"/>
                <w:szCs w:val="16"/>
                <w:color w:val="auto"/>
              </w:rPr>
              <w:t>Operating income (loss)</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6"/>
                <w:szCs w:val="16"/>
                <w:color w:val="auto"/>
              </w:rPr>
              <w:t>(166)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6"/>
                <w:szCs w:val="16"/>
                <w:color w:val="auto"/>
              </w:rPr>
              <w:t>(2,562)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(5,501)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7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720" w:type="dxa"/>
            <w:vAlign w:val="bottom"/>
            <w:gridSpan w:val="2"/>
          </w:tcPr>
          <w:p>
            <w:pPr>
              <w:spacing w:after="0"/>
              <w:rPr>
                <w:sz w:val="20"/>
                <w:szCs w:val="20"/>
                <w:color w:val="auto"/>
              </w:rPr>
            </w:pPr>
            <w:r>
              <w:rPr>
                <w:rFonts w:ascii="Arial" w:cs="Arial" w:eastAsia="Arial" w:hAnsi="Arial"/>
                <w:sz w:val="16"/>
                <w:szCs w:val="16"/>
                <w:color w:val="auto"/>
              </w:rPr>
              <w:t>Interest expense, net</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6"/>
                <w:szCs w:val="16"/>
                <w:color w:val="auto"/>
              </w:rPr>
              <w:t>(746)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6"/>
                <w:szCs w:val="16"/>
                <w:color w:val="auto"/>
              </w:rPr>
              <w:t>(451)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6"/>
                <w:szCs w:val="16"/>
                <w:color w:val="auto"/>
              </w:rPr>
              <w:t>(1,507)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(862)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0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20" w:type="dxa"/>
            <w:vAlign w:val="bottom"/>
            <w:gridSpan w:val="2"/>
          </w:tcPr>
          <w:p>
            <w:pPr>
              <w:spacing w:after="0"/>
              <w:rPr>
                <w:sz w:val="20"/>
                <w:szCs w:val="20"/>
                <w:color w:val="auto"/>
              </w:rPr>
            </w:pPr>
            <w:r>
              <w:rPr>
                <w:rFonts w:ascii="Arial" w:cs="Arial" w:eastAsia="Arial" w:hAnsi="Arial"/>
                <w:sz w:val="16"/>
                <w:szCs w:val="16"/>
                <w:color w:val="auto"/>
              </w:rPr>
              <w:t>Loss from continuing operations before provision for income taxes</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6"/>
                <w:szCs w:val="16"/>
                <w:color w:val="auto"/>
              </w:rPr>
              <w:t>(912)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6"/>
                <w:szCs w:val="16"/>
                <w:color w:val="auto"/>
              </w:rPr>
              <w:t>(3,013)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6"/>
                <w:szCs w:val="16"/>
                <w:color w:val="auto"/>
              </w:rPr>
              <w:t>(1,425)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(6,363)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6"/>
                <w:szCs w:val="16"/>
                <w:color w:val="auto"/>
              </w:rPr>
              <w:t>Provision for income taxes</w:t>
            </w:r>
          </w:p>
        </w:tc>
        <w:tc>
          <w:tcPr>
            <w:tcW w:w="36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67</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63</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128</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6"/>
                <w:szCs w:val="16"/>
                <w:color w:val="auto"/>
              </w:rPr>
              <w:t>Loss from continuing operations</w:t>
            </w:r>
          </w:p>
        </w:tc>
        <w:tc>
          <w:tcPr>
            <w:tcW w:w="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(979)</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(3,076)</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(1,553)</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(6,473)</w:t>
            </w:r>
          </w:p>
        </w:tc>
        <w:tc>
          <w:tcPr>
            <w:tcW w:w="0" w:type="dxa"/>
            <w:vAlign w:val="bottom"/>
          </w:tcPr>
          <w:p>
            <w:pPr>
              <w:spacing w:after="0"/>
              <w:rPr>
                <w:sz w:val="1"/>
                <w:szCs w:val="1"/>
                <w:color w:val="auto"/>
              </w:rPr>
            </w:pPr>
          </w:p>
        </w:tc>
      </w:tr>
      <w:tr>
        <w:trPr>
          <w:trHeight w:val="213"/>
        </w:trPr>
        <w:tc>
          <w:tcPr>
            <w:tcW w:w="4720" w:type="dxa"/>
            <w:vAlign w:val="bottom"/>
            <w:gridSpan w:val="2"/>
          </w:tcPr>
          <w:p>
            <w:pPr>
              <w:spacing w:after="0"/>
              <w:rPr>
                <w:sz w:val="20"/>
                <w:szCs w:val="20"/>
                <w:color w:val="auto"/>
              </w:rPr>
            </w:pPr>
            <w:r>
              <w:rPr>
                <w:rFonts w:ascii="Arial" w:cs="Arial" w:eastAsia="Arial" w:hAnsi="Arial"/>
                <w:sz w:val="16"/>
                <w:szCs w:val="16"/>
                <w:color w:val="auto"/>
              </w:rPr>
              <w:t>Loss from discontinued operations, net of taxes</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6"/>
                <w:szCs w:val="16"/>
                <w:color w:val="auto"/>
              </w:rPr>
              <w:t>(956)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(1,095)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Net loss</w:t>
            </w:r>
          </w:p>
        </w:tc>
        <w:tc>
          <w:tcPr>
            <w:tcW w:w="3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vMerge w:val="continue"/>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(979)</w:t>
            </w:r>
          </w:p>
        </w:tc>
        <w:tc>
          <w:tcPr>
            <w:tcW w:w="2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(4,032)</w:t>
            </w:r>
          </w:p>
        </w:tc>
        <w:tc>
          <w:tcPr>
            <w:tcW w:w="2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(1,553)</w:t>
            </w:r>
          </w:p>
        </w:tc>
        <w:tc>
          <w:tcPr>
            <w:tcW w:w="2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(7,568)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vMerge w:val="restart"/>
          </w:tcPr>
          <w:p>
            <w:pPr>
              <w:spacing w:after="0"/>
              <w:rPr>
                <w:sz w:val="17"/>
                <w:szCs w:val="17"/>
                <w:color w:val="auto"/>
              </w:rPr>
            </w:pPr>
          </w:p>
        </w:tc>
        <w:tc>
          <w:tcPr>
            <w:tcW w:w="4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 - basic and diluted:</w:t>
            </w:r>
          </w:p>
        </w:tc>
        <w:tc>
          <w:tcPr>
            <w:tcW w:w="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Loss from continuing operations</w:t>
            </w:r>
          </w:p>
        </w:tc>
        <w:tc>
          <w:tcPr>
            <w:tcW w:w="540" w:type="dxa"/>
            <w:vAlign w:val="bottom"/>
            <w:gridSpan w:val="2"/>
          </w:tcPr>
          <w:p>
            <w:pPr>
              <w:jc w:val="right"/>
              <w:ind w:right="24"/>
              <w:spacing w:after="0"/>
              <w:rPr>
                <w:sz w:val="20"/>
                <w:szCs w:val="20"/>
                <w:color w:val="auto"/>
              </w:rPr>
            </w:pPr>
            <w:r>
              <w:rPr>
                <w:rFonts w:ascii="Arial" w:cs="Arial" w:eastAsia="Arial" w:hAnsi="Arial"/>
                <w:sz w:val="16"/>
                <w:szCs w:val="16"/>
                <w:color w:val="auto"/>
              </w:rPr>
              <w:t>$</w:t>
            </w:r>
          </w:p>
        </w:tc>
        <w:tc>
          <w:tcPr>
            <w:tcW w:w="1400" w:type="dxa"/>
            <w:vAlign w:val="bottom"/>
            <w:gridSpan w:val="2"/>
          </w:tcPr>
          <w:p>
            <w:pPr>
              <w:jc w:val="right"/>
              <w:ind w:right="80"/>
              <w:spacing w:after="0"/>
              <w:rPr>
                <w:sz w:val="20"/>
                <w:szCs w:val="20"/>
                <w:color w:val="auto"/>
              </w:rPr>
            </w:pPr>
            <w:r>
              <w:rPr>
                <w:rFonts w:ascii="Arial" w:cs="Arial" w:eastAsia="Arial" w:hAnsi="Arial"/>
                <w:sz w:val="16"/>
                <w:szCs w:val="16"/>
                <w:color w:val="auto"/>
              </w:rPr>
              <w:t>(0.02)</w:t>
            </w:r>
          </w:p>
        </w:tc>
        <w:tc>
          <w:tcPr>
            <w:tcW w:w="2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80"/>
              <w:spacing w:after="0"/>
              <w:rPr>
                <w:sz w:val="20"/>
                <w:szCs w:val="20"/>
                <w:color w:val="auto"/>
              </w:rPr>
            </w:pPr>
            <w:r>
              <w:rPr>
                <w:rFonts w:ascii="Arial" w:cs="Arial" w:eastAsia="Arial" w:hAnsi="Arial"/>
                <w:sz w:val="16"/>
                <w:szCs w:val="16"/>
                <w:color w:val="auto"/>
              </w:rPr>
              <w:t>(0.06)</w:t>
            </w:r>
          </w:p>
        </w:tc>
        <w:tc>
          <w:tcPr>
            <w:tcW w:w="2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80"/>
              <w:spacing w:after="0"/>
              <w:rPr>
                <w:sz w:val="20"/>
                <w:szCs w:val="20"/>
                <w:color w:val="auto"/>
              </w:rPr>
            </w:pPr>
            <w:r>
              <w:rPr>
                <w:rFonts w:ascii="Arial" w:cs="Arial" w:eastAsia="Arial" w:hAnsi="Arial"/>
                <w:sz w:val="16"/>
                <w:szCs w:val="16"/>
                <w:color w:val="auto"/>
              </w:rPr>
              <w:t>(0.03)</w:t>
            </w:r>
          </w:p>
        </w:tc>
        <w:tc>
          <w:tcPr>
            <w:tcW w:w="2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(0.13)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Loss from discontinued operations, net of taxes</w:t>
            </w:r>
          </w:p>
        </w:tc>
        <w:tc>
          <w:tcPr>
            <w:tcW w:w="540" w:type="dxa"/>
            <w:vAlign w:val="bottom"/>
            <w:gridSpan w:val="2"/>
            <w:shd w:val="clear" w:color="auto" w:fill="CFF0FC"/>
          </w:tcPr>
          <w:p>
            <w:pPr>
              <w:jc w:val="right"/>
              <w:ind w:right="24"/>
              <w:spacing w:after="0"/>
              <w:rPr>
                <w:sz w:val="20"/>
                <w:szCs w:val="20"/>
                <w:color w:val="auto"/>
              </w:rPr>
            </w:pPr>
            <w:r>
              <w:rPr>
                <w:rFonts w:ascii="Arial" w:cs="Arial" w:eastAsia="Arial" w:hAnsi="Arial"/>
                <w:sz w:val="16"/>
                <w:szCs w:val="16"/>
                <w:color w:val="auto"/>
              </w:rPr>
              <w:t>$</w:t>
            </w: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(0.02)</w:t>
            </w:r>
          </w:p>
        </w:tc>
        <w:tc>
          <w:tcPr>
            <w:tcW w:w="2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Net loss per share - basic and diluted:</w:t>
            </w:r>
          </w:p>
        </w:tc>
        <w:tc>
          <w:tcPr>
            <w:tcW w:w="540" w:type="dxa"/>
            <w:vAlign w:val="bottom"/>
            <w:gridSpan w:val="2"/>
          </w:tcPr>
          <w:p>
            <w:pPr>
              <w:jc w:val="right"/>
              <w:ind w:right="24"/>
              <w:spacing w:after="0"/>
              <w:rPr>
                <w:sz w:val="20"/>
                <w:szCs w:val="20"/>
                <w:color w:val="auto"/>
              </w:rPr>
            </w:pPr>
            <w:r>
              <w:rPr>
                <w:rFonts w:ascii="Arial" w:cs="Arial" w:eastAsia="Arial" w:hAnsi="Arial"/>
                <w:sz w:val="16"/>
                <w:szCs w:val="16"/>
                <w:color w:val="auto"/>
              </w:rPr>
              <w:t>$</w:t>
            </w:r>
          </w:p>
        </w:tc>
        <w:tc>
          <w:tcPr>
            <w:tcW w:w="1400" w:type="dxa"/>
            <w:vAlign w:val="bottom"/>
            <w:gridSpan w:val="2"/>
          </w:tcPr>
          <w:p>
            <w:pPr>
              <w:jc w:val="right"/>
              <w:ind w:right="80"/>
              <w:spacing w:after="0"/>
              <w:rPr>
                <w:sz w:val="20"/>
                <w:szCs w:val="20"/>
                <w:color w:val="auto"/>
              </w:rPr>
            </w:pPr>
            <w:r>
              <w:rPr>
                <w:rFonts w:ascii="Arial" w:cs="Arial" w:eastAsia="Arial" w:hAnsi="Arial"/>
                <w:sz w:val="16"/>
                <w:szCs w:val="16"/>
                <w:color w:val="auto"/>
              </w:rPr>
              <w:t>(0.02)</w:t>
            </w:r>
          </w:p>
        </w:tc>
        <w:tc>
          <w:tcPr>
            <w:tcW w:w="2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80"/>
              <w:spacing w:after="0"/>
              <w:rPr>
                <w:sz w:val="20"/>
                <w:szCs w:val="20"/>
                <w:color w:val="auto"/>
              </w:rPr>
            </w:pPr>
            <w:r>
              <w:rPr>
                <w:rFonts w:ascii="Arial" w:cs="Arial" w:eastAsia="Arial" w:hAnsi="Arial"/>
                <w:sz w:val="16"/>
                <w:szCs w:val="16"/>
                <w:color w:val="auto"/>
              </w:rPr>
              <w:t>(0.08)</w:t>
            </w:r>
          </w:p>
        </w:tc>
        <w:tc>
          <w:tcPr>
            <w:tcW w:w="2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80"/>
              <w:spacing w:after="0"/>
              <w:rPr>
                <w:sz w:val="20"/>
                <w:szCs w:val="20"/>
                <w:color w:val="auto"/>
              </w:rPr>
            </w:pPr>
            <w:r>
              <w:rPr>
                <w:rFonts w:ascii="Arial" w:cs="Arial" w:eastAsia="Arial" w:hAnsi="Arial"/>
                <w:sz w:val="16"/>
                <w:szCs w:val="16"/>
                <w:color w:val="auto"/>
              </w:rPr>
              <w:t>(0.03)</w:t>
            </w:r>
          </w:p>
        </w:tc>
        <w:tc>
          <w:tcPr>
            <w:tcW w:w="2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(0.16)</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7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w w:val="99"/>
              </w:rPr>
              <w:t>Weighted-average number of common shares outstanding:</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Basic</w:t>
            </w:r>
          </w:p>
        </w:tc>
        <w:tc>
          <w:tcPr>
            <w:tcW w:w="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49,081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48,743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49,050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48,699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00" w:type="dxa"/>
            <w:vAlign w:val="bottom"/>
          </w:tcPr>
          <w:p>
            <w:pPr>
              <w:ind w:left="240"/>
              <w:spacing w:after="0"/>
              <w:rPr>
                <w:sz w:val="20"/>
                <w:szCs w:val="20"/>
                <w:color w:val="auto"/>
              </w:rPr>
            </w:pPr>
            <w:r>
              <w:rPr>
                <w:rFonts w:ascii="Arial" w:cs="Arial" w:eastAsia="Arial" w:hAnsi="Arial"/>
                <w:sz w:val="18"/>
                <w:szCs w:val="18"/>
                <w:color w:val="auto"/>
              </w:rPr>
              <w:t>Diluted</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49,081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48,743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49,050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48,699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73" w:right="239" w:bottom="1440" w:gutter="0" w:footer="0" w:header="0"/>
        </w:sectPr>
      </w:pPr>
    </w:p>
    <w:bookmarkStart w:id="10" w:name="page11"/>
    <w:bookmarkEnd w:id="10"/>
    <w:p>
      <w:pPr>
        <w:jc w:val="center"/>
        <w:ind w:right="600"/>
        <w:spacing w:after="0"/>
        <w:rPr>
          <w:sz w:val="20"/>
          <w:szCs w:val="20"/>
          <w:color w:val="auto"/>
        </w:rPr>
      </w:pPr>
      <w:r>
        <w:rPr>
          <w:rFonts w:ascii="Arial" w:cs="Arial" w:eastAsia="Arial" w:hAnsi="Arial"/>
          <w:sz w:val="18"/>
          <w:szCs w:val="18"/>
          <w:color w:val="auto"/>
        </w:rPr>
        <w:t>DESTINATION XL GROUP, INC.</w:t>
      </w:r>
    </w:p>
    <w:p>
      <w:pPr>
        <w:spacing w:after="0" w:line="23" w:lineRule="exact"/>
        <w:rPr>
          <w:sz w:val="20"/>
          <w:szCs w:val="20"/>
          <w:color w:val="auto"/>
        </w:rPr>
      </w:pPr>
    </w:p>
    <w:p>
      <w:pPr>
        <w:jc w:val="center"/>
        <w:ind w:right="600"/>
        <w:spacing w:after="0"/>
        <w:rPr>
          <w:sz w:val="20"/>
          <w:szCs w:val="20"/>
          <w:color w:val="auto"/>
        </w:rPr>
      </w:pPr>
      <w:r>
        <w:rPr>
          <w:rFonts w:ascii="Arial" w:cs="Arial" w:eastAsia="Arial" w:hAnsi="Arial"/>
          <w:sz w:val="18"/>
          <w:szCs w:val="18"/>
          <w:color w:val="auto"/>
        </w:rPr>
        <w:t>CONSOLIDATED BALANCE SHEETS</w:t>
      </w:r>
    </w:p>
    <w:p>
      <w:pPr>
        <w:spacing w:after="0" w:line="23" w:lineRule="exact"/>
        <w:rPr>
          <w:sz w:val="20"/>
          <w:szCs w:val="20"/>
          <w:color w:val="auto"/>
        </w:rPr>
      </w:pPr>
    </w:p>
    <w:p>
      <w:pPr>
        <w:jc w:val="center"/>
        <w:ind w:right="600"/>
        <w:spacing w:after="0"/>
        <w:rPr>
          <w:sz w:val="20"/>
          <w:szCs w:val="20"/>
          <w:color w:val="auto"/>
        </w:rPr>
      </w:pPr>
      <w:r>
        <w:rPr>
          <w:rFonts w:ascii="Arial" w:cs="Arial" w:eastAsia="Arial" w:hAnsi="Arial"/>
          <w:sz w:val="18"/>
          <w:szCs w:val="18"/>
          <w:color w:val="auto"/>
        </w:rPr>
        <w:t>August 1, 2015, January 31, 2015 and August 2, 2014</w:t>
      </w:r>
    </w:p>
    <w:p>
      <w:pPr>
        <w:spacing w:after="0" w:line="23" w:lineRule="exact"/>
        <w:rPr>
          <w:sz w:val="20"/>
          <w:szCs w:val="20"/>
          <w:color w:val="auto"/>
        </w:rPr>
      </w:pPr>
    </w:p>
    <w:p>
      <w:pPr>
        <w:jc w:val="center"/>
        <w:ind w:right="600"/>
        <w:spacing w:after="0"/>
        <w:rPr>
          <w:sz w:val="20"/>
          <w:szCs w:val="20"/>
          <w:color w:val="auto"/>
        </w:rPr>
      </w:pPr>
      <w:r>
        <w:rPr>
          <w:rFonts w:ascii="Arial" w:cs="Arial" w:eastAsia="Arial" w:hAnsi="Arial"/>
          <w:sz w:val="18"/>
          <w:szCs w:val="18"/>
          <w:color w:val="auto"/>
        </w:rPr>
        <w:t>(In thousands)</w:t>
      </w:r>
    </w:p>
    <w:p>
      <w:pPr>
        <w:spacing w:after="0" w:line="23" w:lineRule="exact"/>
        <w:rPr>
          <w:sz w:val="20"/>
          <w:szCs w:val="20"/>
          <w:color w:val="auto"/>
        </w:rPr>
      </w:pPr>
    </w:p>
    <w:p>
      <w:pPr>
        <w:jc w:val="center"/>
        <w:ind w:right="60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right"/>
              <w:ind w:right="332"/>
              <w:spacing w:after="0"/>
              <w:rPr>
                <w:sz w:val="20"/>
                <w:szCs w:val="20"/>
                <w:color w:val="auto"/>
              </w:rPr>
            </w:pPr>
            <w:r>
              <w:rPr>
                <w:rFonts w:ascii="Arial" w:cs="Arial" w:eastAsia="Arial" w:hAnsi="Arial"/>
                <w:sz w:val="14"/>
                <w:szCs w:val="14"/>
                <w:color w:val="auto"/>
              </w:rPr>
              <w:t>August 1,</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gridSpan w:val="3"/>
          </w:tcPr>
          <w:p>
            <w:pPr>
              <w:ind w:left="240"/>
              <w:spacing w:after="0"/>
              <w:rPr>
                <w:sz w:val="20"/>
                <w:szCs w:val="20"/>
                <w:color w:val="auto"/>
              </w:rPr>
            </w:pPr>
            <w:r>
              <w:rPr>
                <w:rFonts w:ascii="Arial" w:cs="Arial" w:eastAsia="Arial" w:hAnsi="Arial"/>
                <w:sz w:val="14"/>
                <w:szCs w:val="14"/>
                <w:color w:val="auto"/>
              </w:rPr>
              <w:t>January 31,</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ind w:left="120"/>
              <w:spacing w:after="0"/>
              <w:rPr>
                <w:sz w:val="20"/>
                <w:szCs w:val="20"/>
                <w:color w:val="auto"/>
              </w:rPr>
            </w:pPr>
            <w:r>
              <w:rPr>
                <w:rFonts w:ascii="Arial" w:cs="Arial" w:eastAsia="Arial" w:hAnsi="Arial"/>
                <w:sz w:val="14"/>
                <w:szCs w:val="14"/>
                <w:color w:val="auto"/>
              </w:rPr>
              <w:t>August 2,</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780" w:type="dxa"/>
            <w:vAlign w:val="bottom"/>
            <w:tcBorders>
              <w:bottom w:val="single" w:sz="8" w:color="CFF0FC"/>
            </w:tcBorders>
          </w:tcPr>
          <w:p>
            <w:pPr>
              <w:spacing w:after="0"/>
              <w:rPr>
                <w:sz w:val="14"/>
                <w:szCs w:val="14"/>
                <w:color w:val="auto"/>
              </w:rPr>
            </w:pPr>
          </w:p>
        </w:tc>
        <w:tc>
          <w:tcPr>
            <w:tcW w:w="76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color w:val="auto"/>
              </w:rPr>
              <w:t>2015</w:t>
            </w:r>
          </w:p>
        </w:tc>
        <w:tc>
          <w:tcPr>
            <w:tcW w:w="3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color w:val="auto"/>
              </w:rPr>
              <w:t>2015</w:t>
            </w: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color w:val="auto"/>
              </w:rPr>
              <w:t>2014</w:t>
            </w:r>
          </w:p>
        </w:tc>
        <w:tc>
          <w:tcPr>
            <w:tcW w:w="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ASSETS</w:t>
            </w: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00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5,798</w:t>
            </w:r>
          </w:p>
        </w:tc>
        <w:tc>
          <w:tcPr>
            <w:tcW w:w="660" w:type="dxa"/>
            <w:vAlign w:val="bottom"/>
            <w:gridSpan w:val="3"/>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4,586</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gridSpan w:val="3"/>
            <w:shd w:val="clear" w:color="auto" w:fill="CFF0FC"/>
          </w:tcPr>
          <w:p>
            <w:pPr>
              <w:jc w:val="right"/>
              <w:ind w:right="140"/>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5,567</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Inventories</w:t>
            </w: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123,568</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115,220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116,028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Other current assets</w:t>
            </w: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14,888</w:t>
            </w:r>
          </w:p>
        </w:tc>
        <w:tc>
          <w:tcPr>
            <w:tcW w:w="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12,532</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15,217</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124,034</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120,328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111,866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w:t>
            </w: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2,966</w:t>
            </w:r>
          </w:p>
        </w:tc>
        <w:tc>
          <w:tcPr>
            <w:tcW w:w="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3,308</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3,778</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7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3,736</w:t>
            </w:r>
          </w:p>
        </w:tc>
        <w:tc>
          <w:tcPr>
            <w:tcW w:w="3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3,907</w:t>
            </w: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2,897</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8"/>
                <w:szCs w:val="18"/>
                <w:color w:val="auto"/>
              </w:rPr>
              <w:t>Total assets</w:t>
            </w:r>
          </w:p>
        </w:tc>
        <w:tc>
          <w:tcPr>
            <w:tcW w:w="7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274,990</w:t>
            </w:r>
          </w:p>
        </w:tc>
        <w:tc>
          <w:tcPr>
            <w:tcW w:w="3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259,881</w:t>
            </w:r>
          </w:p>
        </w:tc>
        <w:tc>
          <w:tcPr>
            <w:tcW w:w="1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255,353</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LIABILITIES AND STOCKHOLDERS' EQUITY</w:t>
            </w: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 accrued expenses and other liabilities</w:t>
            </w:r>
          </w:p>
        </w:tc>
        <w:tc>
          <w:tcPr>
            <w:tcW w:w="100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102,855</w:t>
            </w:r>
          </w:p>
        </w:tc>
        <w:tc>
          <w:tcPr>
            <w:tcW w:w="660" w:type="dxa"/>
            <w:vAlign w:val="bottom"/>
            <w:gridSpan w:val="3"/>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99,049</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gridSpan w:val="3"/>
            <w:shd w:val="clear" w:color="auto" w:fill="CFF0FC"/>
          </w:tcPr>
          <w:p>
            <w:pPr>
              <w:jc w:val="right"/>
              <w:ind w:right="140"/>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91,347</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Long-term debt</w:t>
            </w: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29,832</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33,506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22,446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Borrowings under credit facility</w:t>
            </w: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34,090</w:t>
            </w:r>
          </w:p>
        </w:tc>
        <w:tc>
          <w:tcPr>
            <w:tcW w:w="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18,817</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25,271</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Deferred gain on sale-leaseback</w:t>
            </w: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15,387</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16,119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16,852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7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92,826</w:t>
            </w:r>
          </w:p>
        </w:tc>
        <w:tc>
          <w:tcPr>
            <w:tcW w:w="3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92,390</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99,437</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tcPr>
          <w:p>
            <w:pPr>
              <w:ind w:left="220"/>
              <w:spacing w:after="0"/>
              <w:rPr>
                <w:sz w:val="20"/>
                <w:szCs w:val="20"/>
                <w:color w:val="auto"/>
              </w:rPr>
            </w:pPr>
            <w:r>
              <w:rPr>
                <w:rFonts w:ascii="Arial" w:cs="Arial" w:eastAsia="Arial" w:hAnsi="Arial"/>
                <w:sz w:val="18"/>
                <w:szCs w:val="18"/>
                <w:color w:val="auto"/>
              </w:rPr>
              <w:t>Total liabilities and stockholders' equity</w:t>
            </w:r>
          </w:p>
        </w:tc>
        <w:tc>
          <w:tcPr>
            <w:tcW w:w="760" w:type="dxa"/>
            <w:vAlign w:val="bottom"/>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274,990</w:t>
            </w:r>
          </w:p>
        </w:tc>
        <w:tc>
          <w:tcPr>
            <w:tcW w:w="320" w:type="dxa"/>
            <w:vAlign w:val="bottom"/>
          </w:tcPr>
          <w:p>
            <w:pPr>
              <w:spacing w:after="0"/>
              <w:rPr>
                <w:sz w:val="19"/>
                <w:szCs w:val="19"/>
                <w:color w:val="auto"/>
              </w:rPr>
            </w:pPr>
          </w:p>
        </w:tc>
        <w:tc>
          <w:tcPr>
            <w:tcW w:w="34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259,881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255,353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212090</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00"/>
          </w:cols>
          <w:pgMar w:left="680" w:top="139" w:right="719" w:bottom="1440" w:gutter="0" w:footer="0" w:header="0"/>
        </w:sectPr>
      </w:pPr>
    </w:p>
    <w:bookmarkStart w:id="11" w:name="page12"/>
    <w:bookmarkEnd w:id="11"/>
    <w:p>
      <w:pPr>
        <w:jc w:val="center"/>
        <w:spacing w:after="0"/>
        <w:rPr>
          <w:sz w:val="20"/>
          <w:szCs w:val="20"/>
          <w:color w:val="auto"/>
        </w:rPr>
      </w:pPr>
      <w:r>
        <w:rPr>
          <w:rFonts w:ascii="Arial" w:cs="Arial" w:eastAsia="Arial" w:hAnsi="Arial"/>
          <w:sz w:val="20"/>
          <w:szCs w:val="20"/>
          <w:i w:val="1"/>
          <w:iCs w:val="1"/>
          <w:color w:val="auto"/>
        </w:rPr>
        <w:t>CERTAIN COLUMNS IN THE FOLLOWING TABLES MAY NOT FOOT DUE TO ROUNDING.</w:t>
      </w:r>
    </w:p>
    <w:p>
      <w:pPr>
        <w:spacing w:after="0" w:line="166" w:lineRule="exact"/>
        <w:rPr>
          <w:sz w:val="20"/>
          <w:szCs w:val="20"/>
          <w:color w:val="auto"/>
        </w:rPr>
      </w:pPr>
    </w:p>
    <w:p>
      <w:pPr>
        <w:jc w:val="center"/>
        <w:ind w:right="120"/>
        <w:spacing w:after="0"/>
        <w:rPr>
          <w:sz w:val="20"/>
          <w:szCs w:val="20"/>
          <w:color w:val="auto"/>
        </w:rPr>
      </w:pPr>
      <w:r>
        <w:rPr>
          <w:rFonts w:ascii="Arial" w:cs="Arial" w:eastAsia="Arial" w:hAnsi="Arial"/>
          <w:sz w:val="16"/>
          <w:szCs w:val="16"/>
          <w:b w:val="1"/>
          <w:bCs w:val="1"/>
          <w:color w:val="auto"/>
        </w:rPr>
        <w:t>GAAP TO NON-GAAP RECONCILIATION OF EBITDA FROM CONTINUING OPERATIONS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0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3160" w:type="dxa"/>
            <w:vAlign w:val="bottom"/>
            <w:gridSpan w:val="4"/>
          </w:tcPr>
          <w:p>
            <w:pPr>
              <w:jc w:val="right"/>
              <w:ind w:right="546"/>
              <w:spacing w:after="0"/>
              <w:rPr>
                <w:sz w:val="20"/>
                <w:szCs w:val="20"/>
                <w:color w:val="auto"/>
              </w:rPr>
            </w:pPr>
            <w:r>
              <w:rPr>
                <w:rFonts w:ascii="Arial" w:cs="Arial" w:eastAsia="Arial" w:hAnsi="Arial"/>
                <w:sz w:val="14"/>
                <w:szCs w:val="14"/>
                <w:color w:val="auto"/>
              </w:rPr>
              <w:t>For the three months ended</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7"/>
        </w:trPr>
        <w:tc>
          <w:tcPr>
            <w:tcW w:w="80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August 1, 2015</w:t>
            </w:r>
          </w:p>
        </w:tc>
        <w:tc>
          <w:tcPr>
            <w:tcW w:w="3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August 2, 2014</w:t>
            </w:r>
          </w:p>
        </w:tc>
        <w:tc>
          <w:tcPr>
            <w:tcW w:w="3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69"/>
        </w:trPr>
        <w:tc>
          <w:tcPr>
            <w:tcW w:w="7800" w:type="dxa"/>
            <w:vAlign w:val="bottom"/>
            <w:gridSpan w:val="2"/>
          </w:tcPr>
          <w:p>
            <w:pPr>
              <w:spacing w:after="0" w:line="169" w:lineRule="exact"/>
              <w:rPr>
                <w:sz w:val="20"/>
                <w:szCs w:val="20"/>
                <w:color w:val="auto"/>
              </w:rPr>
            </w:pPr>
            <w:r>
              <w:rPr>
                <w:rFonts w:ascii="Arial" w:cs="Arial" w:eastAsia="Arial" w:hAnsi="Arial"/>
                <w:sz w:val="16"/>
                <w:szCs w:val="16"/>
                <w:i w:val="1"/>
                <w:iCs w:val="1"/>
                <w:color w:val="auto"/>
              </w:rPr>
              <w:t>(in millions)</w:t>
            </w:r>
          </w:p>
        </w:tc>
        <w:tc>
          <w:tcPr>
            <w:tcW w:w="1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0"/>
        </w:trPr>
        <w:tc>
          <w:tcPr>
            <w:tcW w:w="800" w:type="dxa"/>
            <w:vAlign w:val="bottom"/>
            <w:shd w:val="clear" w:color="auto" w:fill="000000"/>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r>
      <w:tr>
        <w:trPr>
          <w:trHeight w:val="250"/>
        </w:trPr>
        <w:tc>
          <w:tcPr>
            <w:tcW w:w="7800" w:type="dxa"/>
            <w:vAlign w:val="bottom"/>
            <w:gridSpan w:val="2"/>
          </w:tcPr>
          <w:p>
            <w:pPr>
              <w:spacing w:after="0"/>
              <w:rPr>
                <w:sz w:val="20"/>
                <w:szCs w:val="20"/>
                <w:color w:val="auto"/>
              </w:rPr>
            </w:pPr>
            <w:r>
              <w:rPr>
                <w:rFonts w:ascii="Arial" w:cs="Arial" w:eastAsia="Arial" w:hAnsi="Arial"/>
                <w:sz w:val="18"/>
                <w:szCs w:val="18"/>
                <w:color w:val="auto"/>
              </w:rPr>
              <w:t>Net loss, GAAP basis</w:t>
            </w:r>
          </w:p>
        </w:tc>
        <w:tc>
          <w:tcPr>
            <w:tcW w:w="1300" w:type="dxa"/>
            <w:vAlign w:val="bottom"/>
          </w:tcPr>
          <w:p>
            <w:pPr>
              <w:jc w:val="right"/>
              <w:ind w:right="1119"/>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1300" w:type="dxa"/>
            <w:vAlign w:val="bottom"/>
          </w:tcPr>
          <w:p>
            <w:pPr>
              <w:jc w:val="right"/>
              <w:ind w:right="1146"/>
              <w:spacing w:after="0"/>
              <w:rPr>
                <w:sz w:val="20"/>
                <w:szCs w:val="20"/>
                <w:color w:val="auto"/>
              </w:rPr>
            </w:pPr>
            <w:r>
              <w:rPr>
                <w:rFonts w:ascii="Arial" w:cs="Arial" w:eastAsia="Arial" w:hAnsi="Arial"/>
                <w:sz w:val="15"/>
                <w:szCs w:val="15"/>
                <w:color w:val="auto"/>
                <w:w w:val="71"/>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(4.0)</w:t>
            </w:r>
          </w:p>
        </w:tc>
      </w:tr>
      <w:tr>
        <w:trPr>
          <w:trHeight w:val="230"/>
        </w:trPr>
        <w:tc>
          <w:tcPr>
            <w:tcW w:w="78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Add back:</w:t>
            </w:r>
          </w:p>
        </w:tc>
        <w:tc>
          <w:tcPr>
            <w:tcW w:w="1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80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13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r>
      <w:tr>
        <w:trPr>
          <w:trHeight w:val="230"/>
        </w:trPr>
        <w:tc>
          <w:tcPr>
            <w:tcW w:w="78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30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FF0FC"/>
          </w:tcPr>
          <w:p>
            <w:pPr>
              <w:spacing w:after="0"/>
              <w:rPr>
                <w:sz w:val="19"/>
                <w:szCs w:val="19"/>
                <w:color w:val="auto"/>
              </w:rPr>
            </w:pPr>
          </w:p>
        </w:tc>
      </w:tr>
      <w:tr>
        <w:trPr>
          <w:trHeight w:val="230"/>
        </w:trPr>
        <w:tc>
          <w:tcPr>
            <w:tcW w:w="780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Depreciation and amortization</w:t>
            </w:r>
          </w:p>
        </w:tc>
        <w:tc>
          <w:tcPr>
            <w:tcW w:w="13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220" w:type="dxa"/>
            <w:vAlign w:val="bottom"/>
            <w:tcBorders>
              <w:bottom w:val="single" w:sz="8" w:color="CFF0FC"/>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FF0FC"/>
            </w:tcBorders>
          </w:tcPr>
          <w:p>
            <w:pPr>
              <w:spacing w:after="0"/>
              <w:rPr>
                <w:sz w:val="19"/>
                <w:szCs w:val="19"/>
                <w:color w:val="auto"/>
              </w:rPr>
            </w:pPr>
          </w:p>
        </w:tc>
      </w:tr>
      <w:tr>
        <w:trPr>
          <w:trHeight w:val="223"/>
        </w:trPr>
        <w:tc>
          <w:tcPr>
            <w:tcW w:w="78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EBITDA, GAAP basis</w:t>
            </w:r>
          </w:p>
        </w:tc>
        <w:tc>
          <w:tcPr>
            <w:tcW w:w="130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FF0FC"/>
          </w:tcPr>
          <w:p>
            <w:pPr>
              <w:spacing w:after="0"/>
              <w:rPr>
                <w:sz w:val="19"/>
                <w:szCs w:val="19"/>
                <w:color w:val="auto"/>
              </w:rPr>
            </w:pPr>
          </w:p>
        </w:tc>
      </w:tr>
      <w:tr>
        <w:trPr>
          <w:trHeight w:val="230"/>
        </w:trPr>
        <w:tc>
          <w:tcPr>
            <w:tcW w:w="7800" w:type="dxa"/>
            <w:vAlign w:val="bottom"/>
            <w:gridSpan w:val="2"/>
          </w:tcPr>
          <w:p>
            <w:pPr>
              <w:spacing w:after="0"/>
              <w:rPr>
                <w:sz w:val="20"/>
                <w:szCs w:val="20"/>
                <w:color w:val="auto"/>
              </w:rPr>
            </w:pPr>
            <w:r>
              <w:rPr>
                <w:rFonts w:ascii="Arial" w:cs="Arial" w:eastAsia="Arial" w:hAnsi="Arial"/>
                <w:sz w:val="18"/>
                <w:szCs w:val="18"/>
                <w:color w:val="auto"/>
              </w:rPr>
              <w:t>Loss from discontinued operations</w:t>
            </w:r>
          </w:p>
        </w:tc>
        <w:tc>
          <w:tcPr>
            <w:tcW w:w="1300" w:type="dxa"/>
            <w:vAlign w:val="bottom"/>
          </w:tcPr>
          <w:p>
            <w:pPr>
              <w:spacing w:after="0"/>
              <w:rPr>
                <w:sz w:val="19"/>
                <w:szCs w:val="19"/>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19"/>
                <w:szCs w:val="19"/>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r>
      <w:tr>
        <w:trPr>
          <w:trHeight w:val="223"/>
        </w:trPr>
        <w:tc>
          <w:tcPr>
            <w:tcW w:w="78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EBITDA from continuing operations, non-GAAP basis</w:t>
            </w:r>
          </w:p>
        </w:tc>
        <w:tc>
          <w:tcPr>
            <w:tcW w:w="1300" w:type="dxa"/>
            <w:vAlign w:val="bottom"/>
            <w:tcBorders>
              <w:top w:val="single" w:sz="8" w:color="auto"/>
              <w:bottom w:val="single" w:sz="8" w:color="auto"/>
            </w:tcBorders>
            <w:shd w:val="clear" w:color="auto" w:fill="CFF0FC"/>
          </w:tcPr>
          <w:p>
            <w:pPr>
              <w:jc w:val="right"/>
              <w:ind w:right="1119"/>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220" w:type="dxa"/>
            <w:vAlign w:val="bottom"/>
            <w:tcBorders>
              <w:top w:val="single" w:sz="8" w:color="CFF0FC"/>
            </w:tcBorders>
            <w:shd w:val="clear" w:color="auto" w:fill="CFF0FC"/>
          </w:tcPr>
          <w:p>
            <w:pPr>
              <w:spacing w:after="0"/>
              <w:rPr>
                <w:sz w:val="19"/>
                <w:szCs w:val="19"/>
                <w:color w:val="auto"/>
              </w:rPr>
            </w:pPr>
          </w:p>
        </w:tc>
        <w:tc>
          <w:tcPr>
            <w:tcW w:w="1300" w:type="dxa"/>
            <w:vAlign w:val="bottom"/>
            <w:tcBorders>
              <w:top w:val="single" w:sz="8" w:color="auto"/>
              <w:bottom w:val="single" w:sz="8" w:color="auto"/>
            </w:tcBorders>
            <w:shd w:val="clear" w:color="auto" w:fill="CFF0FC"/>
          </w:tcPr>
          <w:p>
            <w:pPr>
              <w:jc w:val="right"/>
              <w:ind w:right="1146"/>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top w:val="single" w:sz="8" w:color="CFF0FC"/>
            </w:tcBorders>
            <w:shd w:val="clear" w:color="auto" w:fill="CFF0FC"/>
          </w:tcPr>
          <w:p>
            <w:pPr>
              <w:spacing w:after="0"/>
              <w:rPr>
                <w:sz w:val="19"/>
                <w:szCs w:val="19"/>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540" w:type="dxa"/>
            <w:vAlign w:val="bottom"/>
            <w:gridSpan w:val="11"/>
          </w:tcPr>
          <w:p>
            <w:pPr>
              <w:jc w:val="right"/>
              <w:ind w:right="200"/>
              <w:spacing w:after="0"/>
              <w:rPr>
                <w:sz w:val="20"/>
                <w:szCs w:val="20"/>
                <w:color w:val="auto"/>
              </w:rPr>
            </w:pPr>
            <w:r>
              <w:rPr>
                <w:rFonts w:ascii="Arial" w:cs="Arial" w:eastAsia="Arial" w:hAnsi="Arial"/>
                <w:sz w:val="16"/>
                <w:szCs w:val="16"/>
                <w:b w:val="1"/>
                <w:bCs w:val="1"/>
                <w:color w:val="auto"/>
              </w:rPr>
              <w:t>GAAP TO NON-GAAP RECONCILIATION OF NET LOSS</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40" w:type="dxa"/>
            <w:vAlign w:val="bottom"/>
            <w:gridSpan w:val="5"/>
          </w:tcPr>
          <w:p>
            <w:pPr>
              <w:jc w:val="right"/>
              <w:ind w:right="440"/>
              <w:spacing w:after="0"/>
              <w:rPr>
                <w:sz w:val="20"/>
                <w:szCs w:val="20"/>
                <w:color w:val="auto"/>
              </w:rPr>
            </w:pPr>
            <w:r>
              <w:rPr>
                <w:rFonts w:ascii="Arial" w:cs="Arial" w:eastAsia="Arial" w:hAnsi="Arial"/>
                <w:sz w:val="16"/>
                <w:szCs w:val="16"/>
                <w:color w:val="auto"/>
                <w:w w:val="90"/>
              </w:rPr>
              <w:t>For the three months ended</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6"/>
          </w:tcPr>
          <w:p>
            <w:pPr>
              <w:jc w:val="right"/>
              <w:ind w:right="599"/>
              <w:spacing w:after="0"/>
              <w:rPr>
                <w:sz w:val="20"/>
                <w:szCs w:val="20"/>
                <w:color w:val="auto"/>
              </w:rPr>
            </w:pPr>
            <w:r>
              <w:rPr>
                <w:rFonts w:ascii="Arial" w:cs="Arial" w:eastAsia="Arial" w:hAnsi="Arial"/>
                <w:sz w:val="16"/>
                <w:szCs w:val="16"/>
                <w:color w:val="auto"/>
                <w:w w:val="92"/>
              </w:rPr>
              <w:t>August 1, 2015</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5"/>
          </w:tcPr>
          <w:p>
            <w:pPr>
              <w:jc w:val="right"/>
              <w:ind w:right="579"/>
              <w:spacing w:after="0"/>
              <w:rPr>
                <w:sz w:val="20"/>
                <w:szCs w:val="20"/>
                <w:color w:val="auto"/>
              </w:rPr>
            </w:pPr>
            <w:r>
              <w:rPr>
                <w:rFonts w:ascii="Arial" w:cs="Arial" w:eastAsia="Arial" w:hAnsi="Arial"/>
                <w:sz w:val="16"/>
                <w:szCs w:val="16"/>
                <w:color w:val="auto"/>
              </w:rPr>
              <w:t>August 2, 2014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6"/>
                <w:szCs w:val="16"/>
                <w:color w:val="auto"/>
                <w:w w:val="85"/>
              </w:rPr>
              <w:t>per share</w:t>
            </w:r>
          </w:p>
        </w:tc>
        <w:tc>
          <w:tcPr>
            <w:tcW w:w="160" w:type="dxa"/>
            <w:vAlign w:val="bottom"/>
          </w:tcPr>
          <w:p>
            <w:pPr>
              <w:spacing w:after="0"/>
              <w:rPr>
                <w:sz w:val="17"/>
                <w:szCs w:val="17"/>
                <w:color w:val="auto"/>
              </w:rPr>
            </w:pPr>
          </w:p>
        </w:tc>
        <w:tc>
          <w:tcPr>
            <w:tcW w:w="92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6"/>
                <w:szCs w:val="16"/>
                <w:color w:val="auto"/>
                <w:w w:val="91"/>
              </w:rPr>
              <w:t>per share</w:t>
            </w:r>
          </w:p>
        </w:tc>
        <w:tc>
          <w:tcPr>
            <w:tcW w:w="0" w:type="dxa"/>
            <w:vAlign w:val="bottom"/>
          </w:tcPr>
          <w:p>
            <w:pPr>
              <w:spacing w:after="0"/>
              <w:rPr>
                <w:sz w:val="1"/>
                <w:szCs w:val="1"/>
                <w:color w:val="auto"/>
              </w:rPr>
            </w:pPr>
          </w:p>
        </w:tc>
      </w:tr>
      <w:tr>
        <w:trPr>
          <w:trHeight w:val="175"/>
        </w:trPr>
        <w:tc>
          <w:tcPr>
            <w:tcW w:w="5100" w:type="dxa"/>
            <w:vAlign w:val="bottom"/>
            <w:gridSpan w:val="3"/>
          </w:tcPr>
          <w:p>
            <w:pPr>
              <w:spacing w:after="0" w:line="175" w:lineRule="exact"/>
              <w:rPr>
                <w:sz w:val="20"/>
                <w:szCs w:val="20"/>
                <w:color w:val="auto"/>
              </w:rPr>
            </w:pPr>
            <w:r>
              <w:rPr>
                <w:rFonts w:ascii="Arial" w:cs="Arial" w:eastAsia="Arial" w:hAnsi="Arial"/>
                <w:sz w:val="16"/>
                <w:szCs w:val="16"/>
                <w:i w:val="1"/>
                <w:iCs w:val="1"/>
                <w:color w:val="auto"/>
              </w:rPr>
              <w:t>(in thousands, except per share data)</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400" w:type="dxa"/>
            <w:vAlign w:val="bottom"/>
            <w:tcBorders>
              <w:top w:val="single" w:sz="8" w:color="auto"/>
            </w:tcBorders>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gridSpan w:val="2"/>
            <w:shd w:val="clear" w:color="auto" w:fill="CFF0FC"/>
          </w:tcPr>
          <w:p>
            <w:pPr>
              <w:spacing w:after="0"/>
              <w:rPr>
                <w:sz w:val="20"/>
                <w:szCs w:val="20"/>
                <w:color w:val="auto"/>
              </w:rPr>
            </w:pPr>
            <w:r>
              <w:rPr>
                <w:rFonts w:ascii="Arial" w:cs="Arial" w:eastAsia="Arial" w:hAnsi="Arial"/>
                <w:sz w:val="16"/>
                <w:szCs w:val="16"/>
                <w:b w:val="1"/>
                <w:bCs w:val="1"/>
                <w:color w:val="auto"/>
              </w:rPr>
              <w:t>Net loss, GAAP basis</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399"/>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48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(979)</w:t>
            </w:r>
          </w:p>
        </w:tc>
        <w:tc>
          <w:tcPr>
            <w:tcW w:w="3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06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(0.02)</w:t>
            </w: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(4,032)</w:t>
            </w:r>
          </w:p>
        </w:tc>
        <w:tc>
          <w:tcPr>
            <w:tcW w:w="2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(0.08)</w:t>
            </w:r>
          </w:p>
        </w:tc>
        <w:tc>
          <w:tcPr>
            <w:tcW w:w="0" w:type="dxa"/>
            <w:vAlign w:val="bottom"/>
          </w:tcPr>
          <w:p>
            <w:pPr>
              <w:spacing w:after="0"/>
              <w:rPr>
                <w:sz w:val="1"/>
                <w:szCs w:val="1"/>
                <w:color w:val="auto"/>
              </w:rPr>
            </w:pPr>
          </w:p>
        </w:tc>
      </w:tr>
      <w:tr>
        <w:trPr>
          <w:trHeight w:val="216"/>
        </w:trPr>
        <w:tc>
          <w:tcPr>
            <w:tcW w:w="2420" w:type="dxa"/>
            <w:vAlign w:val="bottom"/>
            <w:gridSpan w:val="2"/>
          </w:tcPr>
          <w:p>
            <w:pPr>
              <w:spacing w:after="0"/>
              <w:rPr>
                <w:sz w:val="18"/>
                <w:szCs w:val="18"/>
                <w:color w:val="auto"/>
              </w:rPr>
            </w:pPr>
          </w:p>
        </w:tc>
        <w:tc>
          <w:tcPr>
            <w:tcW w:w="2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Add back: Actual income tax provision</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67</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80" w:type="dxa"/>
            <w:vAlign w:val="bottom"/>
            <w:gridSpan w:val="2"/>
          </w:tcPr>
          <w:p>
            <w:pPr>
              <w:ind w:left="240"/>
              <w:spacing w:after="0"/>
              <w:rPr>
                <w:sz w:val="20"/>
                <w:szCs w:val="20"/>
                <w:color w:val="auto"/>
              </w:rPr>
            </w:pPr>
            <w:r>
              <w:rPr>
                <w:rFonts w:ascii="Arial" w:cs="Arial" w:eastAsia="Arial" w:hAnsi="Arial"/>
                <w:sz w:val="16"/>
                <w:szCs w:val="16"/>
                <w:color w:val="auto"/>
              </w:rPr>
              <w:t>Income tax benefit, assuming normal tax rate of 40%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6"/>
                <w:szCs w:val="16"/>
                <w:color w:val="auto"/>
              </w:rPr>
              <w:t>365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1,588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400" w:type="dxa"/>
            <w:vAlign w:val="bottom"/>
            <w:shd w:val="clear" w:color="auto" w:fill="CFF0FC"/>
          </w:tcPr>
          <w:p>
            <w:pPr>
              <w:spacing w:after="0"/>
              <w:rPr>
                <w:sz w:val="19"/>
                <w:szCs w:val="19"/>
                <w:color w:val="auto"/>
              </w:rPr>
            </w:pPr>
          </w:p>
        </w:tc>
        <w:tc>
          <w:tcPr>
            <w:tcW w:w="26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220" w:type="dxa"/>
            <w:vAlign w:val="bottom"/>
            <w:tcBorders>
              <w:right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100" w:type="dxa"/>
            <w:vAlign w:val="bottom"/>
            <w:gridSpan w:val="3"/>
          </w:tcPr>
          <w:p>
            <w:pPr>
              <w:spacing w:after="0"/>
              <w:rPr>
                <w:sz w:val="20"/>
                <w:szCs w:val="20"/>
                <w:color w:val="auto"/>
              </w:rPr>
            </w:pPr>
            <w:r>
              <w:rPr>
                <w:rFonts w:ascii="Arial" w:cs="Arial" w:eastAsia="Arial" w:hAnsi="Arial"/>
                <w:sz w:val="16"/>
                <w:szCs w:val="16"/>
                <w:b w:val="1"/>
                <w:bCs w:val="1"/>
                <w:color w:val="auto"/>
              </w:rPr>
              <w:t>Adjusted net loss, non-GAAP basis</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gridSpan w:val="2"/>
          </w:tcPr>
          <w:p>
            <w:pPr>
              <w:jc w:val="right"/>
              <w:ind w:right="39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480" w:type="dxa"/>
            <w:vAlign w:val="bottom"/>
            <w:gridSpan w:val="3"/>
          </w:tcPr>
          <w:p>
            <w:pPr>
              <w:jc w:val="right"/>
              <w:spacing w:after="0"/>
              <w:rPr>
                <w:sz w:val="20"/>
                <w:szCs w:val="20"/>
                <w:color w:val="auto"/>
              </w:rPr>
            </w:pPr>
            <w:r>
              <w:rPr>
                <w:rFonts w:ascii="Arial" w:cs="Arial" w:eastAsia="Arial" w:hAnsi="Arial"/>
                <w:sz w:val="16"/>
                <w:szCs w:val="16"/>
                <w:color w:val="auto"/>
              </w:rPr>
              <w:t>(547)</w:t>
            </w:r>
          </w:p>
        </w:tc>
        <w:tc>
          <w:tcPr>
            <w:tcW w:w="3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(0.01)</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40"/>
              <w:spacing w:after="0"/>
              <w:rPr>
                <w:sz w:val="20"/>
                <w:szCs w:val="20"/>
                <w:color w:val="auto"/>
              </w:rPr>
            </w:pPr>
            <w:r>
              <w:rPr>
                <w:rFonts w:ascii="Arial" w:cs="Arial" w:eastAsia="Arial" w:hAnsi="Arial"/>
                <w:sz w:val="16"/>
                <w:szCs w:val="16"/>
                <w:color w:val="auto"/>
              </w:rPr>
              <w:t>(2,381)</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(0.05)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400" w:type="dxa"/>
            <w:vAlign w:val="bottom"/>
            <w:shd w:val="clear" w:color="auto" w:fill="CFF0FC"/>
          </w:tcPr>
          <w:p>
            <w:pPr>
              <w:spacing w:after="0"/>
              <w:rPr>
                <w:sz w:val="19"/>
                <w:szCs w:val="19"/>
                <w:color w:val="auto"/>
              </w:rPr>
            </w:pPr>
          </w:p>
        </w:tc>
        <w:tc>
          <w:tcPr>
            <w:tcW w:w="26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100" w:type="dxa"/>
            <w:vAlign w:val="bottom"/>
            <w:gridSpan w:val="3"/>
          </w:tcPr>
          <w:p>
            <w:pPr>
              <w:spacing w:after="0"/>
              <w:rPr>
                <w:sz w:val="20"/>
                <w:szCs w:val="20"/>
                <w:color w:val="auto"/>
              </w:rPr>
            </w:pPr>
            <w:r>
              <w:rPr>
                <w:rFonts w:ascii="Arial" w:cs="Arial" w:eastAsia="Arial" w:hAnsi="Arial"/>
                <w:sz w:val="16"/>
                <w:szCs w:val="16"/>
                <w:color w:val="auto"/>
                <w:w w:val="93"/>
              </w:rPr>
              <w:t>Weighted average number of common shares outstanding on a diluted basis</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49,081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48,743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5540" w:type="dxa"/>
            <w:vAlign w:val="bottom"/>
            <w:gridSpan w:val="11"/>
          </w:tcPr>
          <w:p>
            <w:pPr>
              <w:jc w:val="right"/>
              <w:spacing w:after="0"/>
              <w:rPr>
                <w:sz w:val="20"/>
                <w:szCs w:val="20"/>
                <w:color w:val="auto"/>
              </w:rPr>
            </w:pPr>
            <w:r>
              <w:rPr>
                <w:rFonts w:ascii="Arial" w:cs="Arial" w:eastAsia="Arial" w:hAnsi="Arial"/>
                <w:sz w:val="16"/>
                <w:szCs w:val="16"/>
                <w:b w:val="1"/>
                <w:bCs w:val="1"/>
                <w:color w:val="auto"/>
              </w:rPr>
              <w:t>GAAP TO NON-GAAP FREE CASH FLOW RECONCILIATION</w:t>
            </w: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40" w:type="dxa"/>
            <w:vAlign w:val="bottom"/>
            <w:gridSpan w:val="8"/>
          </w:tcPr>
          <w:p>
            <w:pPr>
              <w:jc w:val="right"/>
              <w:ind w:right="20"/>
              <w:spacing w:after="0"/>
              <w:rPr>
                <w:sz w:val="20"/>
                <w:szCs w:val="20"/>
                <w:color w:val="auto"/>
              </w:rPr>
            </w:pPr>
            <w:r>
              <w:rPr>
                <w:rFonts w:ascii="Arial" w:cs="Arial" w:eastAsia="Arial" w:hAnsi="Arial"/>
                <w:sz w:val="16"/>
                <w:szCs w:val="16"/>
                <w:color w:val="auto"/>
              </w:rPr>
              <w:t>For the six months ended</w:t>
            </w: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40" w:type="dxa"/>
            <w:vAlign w:val="bottom"/>
            <w:gridSpan w:val="6"/>
          </w:tcPr>
          <w:p>
            <w:pPr>
              <w:jc w:val="right"/>
              <w:ind w:right="880"/>
              <w:spacing w:after="0"/>
              <w:rPr>
                <w:sz w:val="20"/>
                <w:szCs w:val="20"/>
                <w:color w:val="auto"/>
              </w:rPr>
            </w:pPr>
            <w:r>
              <w:rPr>
                <w:rFonts w:ascii="Arial" w:cs="Arial" w:eastAsia="Arial" w:hAnsi="Arial"/>
                <w:sz w:val="16"/>
                <w:szCs w:val="16"/>
                <w:color w:val="auto"/>
              </w:rPr>
              <w:t>Projected</w:t>
            </w:r>
          </w:p>
        </w:tc>
        <w:tc>
          <w:tcPr>
            <w:tcW w:w="0" w:type="dxa"/>
            <w:vAlign w:val="bottom"/>
          </w:tcPr>
          <w:p>
            <w:pPr>
              <w:spacing w:after="0"/>
              <w:rPr>
                <w:sz w:val="1"/>
                <w:szCs w:val="1"/>
                <w:color w:val="auto"/>
              </w:rPr>
            </w:pPr>
          </w:p>
        </w:tc>
      </w:tr>
      <w:tr>
        <w:trPr>
          <w:trHeight w:val="219"/>
        </w:trPr>
        <w:tc>
          <w:tcPr>
            <w:tcW w:w="5100" w:type="dxa"/>
            <w:vAlign w:val="bottom"/>
            <w:gridSpan w:val="3"/>
          </w:tcPr>
          <w:p>
            <w:pPr>
              <w:spacing w:after="0"/>
              <w:rPr>
                <w:sz w:val="20"/>
                <w:szCs w:val="20"/>
                <w:color w:val="auto"/>
              </w:rPr>
            </w:pPr>
            <w:r>
              <w:rPr>
                <w:rFonts w:ascii="Arial" w:cs="Arial" w:eastAsia="Arial" w:hAnsi="Arial"/>
                <w:sz w:val="16"/>
                <w:szCs w:val="16"/>
                <w:i w:val="1"/>
                <w:iCs w:val="1"/>
                <w:color w:val="auto"/>
              </w:rPr>
              <w:t>(in millions)</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gridSpan w:val="3"/>
          </w:tcPr>
          <w:p>
            <w:pPr>
              <w:jc w:val="right"/>
              <w:ind w:right="440"/>
              <w:spacing w:after="0"/>
              <w:rPr>
                <w:sz w:val="20"/>
                <w:szCs w:val="20"/>
                <w:color w:val="auto"/>
              </w:rPr>
            </w:pPr>
            <w:r>
              <w:rPr>
                <w:rFonts w:ascii="Arial" w:cs="Arial" w:eastAsia="Arial" w:hAnsi="Arial"/>
                <w:sz w:val="16"/>
                <w:szCs w:val="16"/>
                <w:color w:val="auto"/>
              </w:rPr>
              <w:t>August 1, 2015</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40" w:type="dxa"/>
            <w:vAlign w:val="bottom"/>
            <w:gridSpan w:val="4"/>
          </w:tcPr>
          <w:p>
            <w:pPr>
              <w:jc w:val="right"/>
              <w:ind w:right="440"/>
              <w:spacing w:after="0"/>
              <w:rPr>
                <w:sz w:val="20"/>
                <w:szCs w:val="20"/>
                <w:color w:val="auto"/>
              </w:rPr>
            </w:pPr>
            <w:r>
              <w:rPr>
                <w:rFonts w:ascii="Arial" w:cs="Arial" w:eastAsia="Arial" w:hAnsi="Arial"/>
                <w:sz w:val="16"/>
                <w:szCs w:val="16"/>
                <w:color w:val="auto"/>
                <w:w w:val="91"/>
              </w:rPr>
              <w:t>August 2, 2014</w:t>
            </w:r>
          </w:p>
        </w:tc>
        <w:tc>
          <w:tcPr>
            <w:tcW w:w="160" w:type="dxa"/>
            <w:vAlign w:val="bottom"/>
          </w:tcPr>
          <w:p>
            <w:pPr>
              <w:spacing w:after="0"/>
              <w:rPr>
                <w:sz w:val="19"/>
                <w:szCs w:val="19"/>
                <w:color w:val="auto"/>
              </w:rPr>
            </w:pPr>
          </w:p>
        </w:tc>
        <w:tc>
          <w:tcPr>
            <w:tcW w:w="2240" w:type="dxa"/>
            <w:vAlign w:val="bottom"/>
            <w:gridSpan w:val="6"/>
          </w:tcPr>
          <w:p>
            <w:pPr>
              <w:jc w:val="right"/>
              <w:ind w:right="820"/>
              <w:spacing w:after="0"/>
              <w:rPr>
                <w:sz w:val="20"/>
                <w:szCs w:val="20"/>
                <w:color w:val="auto"/>
              </w:rPr>
            </w:pPr>
            <w:r>
              <w:rPr>
                <w:rFonts w:ascii="Arial" w:cs="Arial" w:eastAsia="Arial" w:hAnsi="Arial"/>
                <w:sz w:val="16"/>
                <w:szCs w:val="16"/>
                <w:color w:val="auto"/>
              </w:rPr>
              <w:t>Fiscal 2015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gridSpan w:val="2"/>
            <w:vMerge w:val="restart"/>
            <w:shd w:val="clear" w:color="auto" w:fill="CFF0FC"/>
          </w:tcPr>
          <w:p>
            <w:pPr>
              <w:spacing w:after="0"/>
              <w:rPr>
                <w:sz w:val="20"/>
                <w:szCs w:val="20"/>
                <w:color w:val="auto"/>
              </w:rPr>
            </w:pPr>
            <w:r>
              <w:rPr>
                <w:rFonts w:ascii="Arial" w:cs="Arial" w:eastAsia="Arial" w:hAnsi="Arial"/>
                <w:sz w:val="16"/>
                <w:szCs w:val="16"/>
                <w:b w:val="1"/>
                <w:bCs w:val="1"/>
                <w:color w:val="auto"/>
              </w:rPr>
              <w:t>Cash flow from operating activities, GAAP basis</w:t>
            </w:r>
          </w:p>
        </w:tc>
        <w:tc>
          <w:tcPr>
            <w:tcW w:w="2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500" w:type="dxa"/>
            <w:vAlign w:val="bottom"/>
            <w:gridSpan w:val="2"/>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tcBorders>
              <w:right w:val="single" w:sz="8" w:color="CFF0FC"/>
            </w:tcBorders>
            <w:gridSpan w:val="2"/>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120" w:type="dxa"/>
            <w:vAlign w:val="bottom"/>
            <w:gridSpan w:val="5"/>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5080" w:type="dxa"/>
            <w:vAlign w:val="bottom"/>
            <w:gridSpan w:val="2"/>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6.7</w:t>
            </w:r>
          </w:p>
        </w:tc>
        <w:tc>
          <w:tcPr>
            <w:tcW w:w="8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(2.7)</w:t>
            </w:r>
          </w:p>
        </w:tc>
        <w:tc>
          <w:tcPr>
            <w:tcW w:w="160" w:type="dxa"/>
            <w:vAlign w:val="bottom"/>
            <w:shd w:val="clear" w:color="auto" w:fill="CFF0FC"/>
          </w:tcPr>
          <w:p>
            <w:pPr>
              <w:spacing w:after="0"/>
              <w:rPr>
                <w:sz w:val="18"/>
                <w:szCs w:val="18"/>
                <w:color w:val="auto"/>
              </w:rPr>
            </w:pPr>
          </w:p>
        </w:tc>
        <w:tc>
          <w:tcPr>
            <w:tcW w:w="2120" w:type="dxa"/>
            <w:vAlign w:val="bottom"/>
            <w:gridSpan w:val="5"/>
            <w:shd w:val="clear" w:color="auto" w:fill="CFF0FC"/>
          </w:tcPr>
          <w:p>
            <w:pPr>
              <w:jc w:val="center"/>
              <w:spacing w:after="0"/>
              <w:rPr>
                <w:sz w:val="20"/>
                <w:szCs w:val="20"/>
                <w:color w:val="auto"/>
              </w:rPr>
            </w:pPr>
            <w:r>
              <w:rPr>
                <w:rFonts w:ascii="Arial" w:cs="Arial" w:eastAsia="Arial" w:hAnsi="Arial"/>
                <w:sz w:val="16"/>
                <w:szCs w:val="16"/>
                <w:color w:val="auto"/>
                <w:w w:val="91"/>
              </w:rPr>
              <w:t>$16.5-$17.5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100" w:type="dxa"/>
            <w:vAlign w:val="bottom"/>
            <w:gridSpan w:val="3"/>
          </w:tcPr>
          <w:p>
            <w:pPr>
              <w:spacing w:after="0"/>
              <w:rPr>
                <w:sz w:val="20"/>
                <w:szCs w:val="20"/>
                <w:color w:val="auto"/>
              </w:rPr>
            </w:pPr>
            <w:r>
              <w:rPr>
                <w:rFonts w:ascii="Arial" w:cs="Arial" w:eastAsia="Arial" w:hAnsi="Arial"/>
                <w:sz w:val="16"/>
                <w:szCs w:val="16"/>
                <w:color w:val="auto"/>
              </w:rPr>
              <w:t>Less: Capital expenditures</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3"/>
          </w:tcPr>
          <w:p>
            <w:pPr>
              <w:jc w:val="right"/>
              <w:ind w:right="20"/>
              <w:spacing w:after="0"/>
              <w:rPr>
                <w:sz w:val="20"/>
                <w:szCs w:val="20"/>
                <w:color w:val="auto"/>
              </w:rPr>
            </w:pPr>
            <w:r>
              <w:rPr>
                <w:rFonts w:ascii="Arial" w:cs="Arial" w:eastAsia="Arial" w:hAnsi="Arial"/>
                <w:sz w:val="16"/>
                <w:szCs w:val="16"/>
                <w:color w:val="auto"/>
              </w:rPr>
              <w:t>(17.0)</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(18.9)</w:t>
            </w:r>
          </w:p>
        </w:tc>
        <w:tc>
          <w:tcPr>
            <w:tcW w:w="160" w:type="dxa"/>
            <w:vAlign w:val="bottom"/>
          </w:tcPr>
          <w:p>
            <w:pPr>
              <w:spacing w:after="0"/>
              <w:rPr>
                <w:sz w:val="18"/>
                <w:szCs w:val="18"/>
                <w:color w:val="auto"/>
              </w:rPr>
            </w:pPr>
          </w:p>
        </w:tc>
        <w:tc>
          <w:tcPr>
            <w:tcW w:w="2120" w:type="dxa"/>
            <w:vAlign w:val="bottom"/>
            <w:gridSpan w:val="5"/>
          </w:tcPr>
          <w:p>
            <w:pPr>
              <w:jc w:val="center"/>
              <w:spacing w:after="0"/>
              <w:rPr>
                <w:sz w:val="20"/>
                <w:szCs w:val="20"/>
                <w:color w:val="auto"/>
              </w:rPr>
            </w:pPr>
            <w:r>
              <w:rPr>
                <w:rFonts w:ascii="Arial" w:cs="Arial" w:eastAsia="Arial" w:hAnsi="Arial"/>
                <w:sz w:val="16"/>
                <w:szCs w:val="16"/>
                <w:color w:val="auto"/>
                <w:w w:val="94"/>
              </w:rPr>
              <w:t>(36.0)-(39.0)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0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Less: Store acquisitions, if applicable</w:t>
            </w:r>
          </w:p>
        </w:tc>
        <w:tc>
          <w:tcPr>
            <w:tcW w:w="2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right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100" w:type="dxa"/>
            <w:vAlign w:val="bottom"/>
            <w:gridSpan w:val="3"/>
          </w:tcPr>
          <w:p>
            <w:pPr>
              <w:spacing w:after="0"/>
              <w:rPr>
                <w:sz w:val="20"/>
                <w:szCs w:val="20"/>
                <w:color w:val="auto"/>
              </w:rPr>
            </w:pPr>
            <w:r>
              <w:rPr>
                <w:rFonts w:ascii="Arial" w:cs="Arial" w:eastAsia="Arial" w:hAnsi="Arial"/>
                <w:sz w:val="16"/>
                <w:szCs w:val="16"/>
                <w:b w:val="1"/>
                <w:bCs w:val="1"/>
                <w:color w:val="auto"/>
              </w:rPr>
              <w:t>Free Cash Flow, non-GAAP basis</w:t>
            </w:r>
          </w:p>
        </w:tc>
        <w:tc>
          <w:tcPr>
            <w:tcW w:w="420" w:type="dxa"/>
            <w:vAlign w:val="bottom"/>
            <w:gridSpan w:val="2"/>
          </w:tcPr>
          <w:p>
            <w:pPr>
              <w:jc w:val="right"/>
              <w:ind w:right="64"/>
              <w:spacing w:after="0"/>
              <w:rPr>
                <w:sz w:val="20"/>
                <w:szCs w:val="20"/>
                <w:color w:val="auto"/>
              </w:rPr>
            </w:pPr>
            <w:r>
              <w:rPr>
                <w:rFonts w:ascii="Arial" w:cs="Arial" w:eastAsia="Arial" w:hAnsi="Arial"/>
                <w:sz w:val="16"/>
                <w:szCs w:val="16"/>
                <w:color w:val="auto"/>
              </w:rPr>
              <w:t>$</w:t>
            </w:r>
          </w:p>
        </w:tc>
        <w:tc>
          <w:tcPr>
            <w:tcW w:w="1580" w:type="dxa"/>
            <w:vAlign w:val="bottom"/>
            <w:gridSpan w:val="3"/>
          </w:tcPr>
          <w:p>
            <w:pPr>
              <w:jc w:val="right"/>
              <w:ind w:right="20"/>
              <w:spacing w:after="0"/>
              <w:rPr>
                <w:sz w:val="20"/>
                <w:szCs w:val="20"/>
                <w:color w:val="auto"/>
              </w:rPr>
            </w:pPr>
            <w:r>
              <w:rPr>
                <w:rFonts w:ascii="Arial" w:cs="Arial" w:eastAsia="Arial" w:hAnsi="Arial"/>
                <w:sz w:val="16"/>
                <w:szCs w:val="16"/>
                <w:color w:val="auto"/>
              </w:rPr>
              <w:t>(10.3)</w:t>
            </w:r>
          </w:p>
        </w:tc>
        <w:tc>
          <w:tcPr>
            <w:tcW w:w="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(21.6)</w:t>
            </w:r>
          </w:p>
        </w:tc>
        <w:tc>
          <w:tcPr>
            <w:tcW w:w="160" w:type="dxa"/>
            <w:vAlign w:val="bottom"/>
          </w:tcPr>
          <w:p>
            <w:pPr>
              <w:spacing w:after="0"/>
              <w:rPr>
                <w:sz w:val="17"/>
                <w:szCs w:val="17"/>
                <w:color w:val="auto"/>
              </w:rPr>
            </w:pPr>
          </w:p>
        </w:tc>
        <w:tc>
          <w:tcPr>
            <w:tcW w:w="2120" w:type="dxa"/>
            <w:vAlign w:val="bottom"/>
            <w:gridSpan w:val="5"/>
          </w:tcPr>
          <w:p>
            <w:pPr>
              <w:jc w:val="center"/>
              <w:spacing w:after="0"/>
              <w:rPr>
                <w:sz w:val="20"/>
                <w:szCs w:val="20"/>
                <w:color w:val="auto"/>
              </w:rPr>
            </w:pPr>
            <w:r>
              <w:rPr>
                <w:rFonts w:ascii="Arial" w:cs="Arial" w:eastAsia="Arial" w:hAnsi="Arial"/>
                <w:sz w:val="16"/>
                <w:szCs w:val="16"/>
                <w:color w:val="auto"/>
                <w:w w:val="93"/>
              </w:rPr>
              <w:t>$(18.5)-$(22.5)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2019-12-06T01:56:38Z</dcterms:created>
  <dcterms:modified xsi:type="dcterms:W3CDTF">2019-12-06T01:56:38Z</dcterms:modified>
</cp:coreProperties>
</file>