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91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911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1"/>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HOLTZMAN SEYMOUR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3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vMerge w:val="restart"/>
          </w:tcPr>
          <w:p>
            <w:pPr>
              <w:ind w:left="80"/>
              <w:spacing w:after="0" w:line="162" w:lineRule="exact"/>
              <w:rPr>
                <w:sz w:val="20"/>
                <w:szCs w:val="20"/>
                <w:color w:val="auto"/>
              </w:rPr>
            </w:pPr>
            <w:r>
              <w:rPr>
                <w:rFonts w:ascii="Arial" w:cs="Arial" w:eastAsia="Arial" w:hAnsi="Arial"/>
                <w:sz w:val="18"/>
                <w:szCs w:val="18"/>
                <w:color w:val="0000FF"/>
                <w:w w:val="99"/>
              </w:rPr>
              <w:t>X</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500" w:type="dxa"/>
            <w:vAlign w:val="bottom"/>
            <w:vMerge w:val="restart"/>
          </w:tcPr>
          <w:p>
            <w:pPr>
              <w:ind w:left="180"/>
              <w:spacing w:after="0" w:line="162" w:lineRule="exact"/>
              <w:rPr>
                <w:sz w:val="20"/>
                <w:szCs w:val="20"/>
                <w:color w:val="auto"/>
              </w:rPr>
            </w:pPr>
            <w:r>
              <w:rPr>
                <w:rFonts w:ascii="Arial" w:cs="Arial" w:eastAsia="Arial" w:hAnsi="Arial"/>
                <w:sz w:val="18"/>
                <w:szCs w:val="18"/>
                <w:color w:val="0000FF"/>
              </w:rPr>
              <w:t>X</w:t>
            </w: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line="115" w:lineRule="exact"/>
              <w:rPr>
                <w:sz w:val="20"/>
                <w:szCs w:val="20"/>
                <w:color w:val="auto"/>
              </w:rPr>
            </w:pPr>
            <w:r>
              <w:rPr>
                <w:rFonts w:ascii="Arial" w:cs="Arial" w:eastAsia="Arial" w:hAnsi="Arial"/>
                <w:sz w:val="11"/>
                <w:szCs w:val="11"/>
                <w:color w:val="0000FF"/>
              </w:rPr>
              <w:t xml:space="preserve">CMRG </w:t>
            </w:r>
            <w:r>
              <w:rPr>
                <w:rFonts w:ascii="Arial" w:cs="Arial" w:eastAsia="Arial" w:hAnsi="Arial"/>
                <w:sz w:val="13"/>
                <w:szCs w:val="13"/>
                <w:color w:val="000000"/>
              </w:rPr>
              <w:t>]</w:t>
            </w: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500" w:type="dxa"/>
            <w:vAlign w:val="bottom"/>
          </w:tcPr>
          <w:p>
            <w:pPr>
              <w:spacing w:after="0"/>
              <w:rPr>
                <w:sz w:val="10"/>
                <w:szCs w:val="10"/>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6"/>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11/21/2011</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9"/>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11"/>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40" w:type="dxa"/>
            <w:vAlign w:val="bottom"/>
            <w:gridSpan w:val="9"/>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8"/>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26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1"/>
          </w:tcPr>
          <w:p>
            <w:pPr>
              <w:jc w:val="center"/>
              <w:ind w:left="3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(D) or Indirect</w:t>
            </w:r>
          </w:p>
        </w:tc>
        <w:tc>
          <w:tcPr>
            <w:tcW w:w="1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Jewelcor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420" w:type="dxa"/>
            <w:vAlign w:val="bottom"/>
            <w:gridSpan w:val="4"/>
          </w:tcPr>
          <w:p>
            <w:pPr>
              <w:ind w:left="620"/>
              <w:spacing w:after="0"/>
              <w:rPr>
                <w:sz w:val="20"/>
                <w:szCs w:val="20"/>
                <w:color w:val="auto"/>
              </w:rPr>
            </w:pPr>
            <w:r>
              <w:rPr>
                <w:rFonts w:ascii="Arial" w:cs="Arial" w:eastAsia="Arial" w:hAnsi="Arial"/>
                <w:sz w:val="18"/>
                <w:szCs w:val="18"/>
                <w:color w:val="0000FF"/>
                <w:w w:val="86"/>
              </w:rPr>
              <w:t>11/21/2011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P</w:t>
            </w:r>
          </w:p>
        </w:tc>
        <w:tc>
          <w:tcPr>
            <w:tcW w:w="780" w:type="dxa"/>
            <w:vAlign w:val="bottom"/>
          </w:tcPr>
          <w:p>
            <w:pPr>
              <w:ind w:left="120"/>
              <w:spacing w:after="0"/>
              <w:rPr>
                <w:sz w:val="20"/>
                <w:szCs w:val="20"/>
                <w:color w:val="auto"/>
              </w:rPr>
            </w:pPr>
            <w:r>
              <w:rPr>
                <w:rFonts w:ascii="Arial" w:cs="Arial" w:eastAsia="Arial" w:hAnsi="Arial"/>
                <w:sz w:val="18"/>
                <w:szCs w:val="18"/>
                <w:color w:val="0000FF"/>
              </w:rPr>
              <w:t>50,500</w:t>
            </w: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620" w:type="dxa"/>
            <w:vAlign w:val="bottom"/>
            <w:gridSpan w:val="4"/>
          </w:tcPr>
          <w:p>
            <w:pPr>
              <w:ind w:left="40"/>
              <w:spacing w:after="0" w:line="217" w:lineRule="exact"/>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3.06</w:t>
            </w:r>
            <w:r>
              <w:rPr>
                <w:rFonts w:ascii="Arial" w:cs="Arial" w:eastAsia="Arial" w:hAnsi="Arial"/>
                <w:sz w:val="22"/>
                <w:szCs w:val="22"/>
                <w:color w:val="008000"/>
                <w:w w:val="88"/>
                <w:vertAlign w:val="superscript"/>
              </w:rPr>
              <w:t>(1)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99"/>
              <w:spacing w:after="0"/>
              <w:rPr>
                <w:sz w:val="20"/>
                <w:szCs w:val="20"/>
                <w:color w:val="auto"/>
              </w:rPr>
            </w:pPr>
            <w:r>
              <w:rPr>
                <w:rFonts w:ascii="Arial" w:cs="Arial" w:eastAsia="Arial" w:hAnsi="Arial"/>
                <w:sz w:val="18"/>
                <w:szCs w:val="18"/>
                <w:color w:val="0000FF"/>
                <w:w w:val="98"/>
              </w:rPr>
              <w:t>128,300</w:t>
            </w:r>
          </w:p>
        </w:tc>
        <w:tc>
          <w:tcPr>
            <w:tcW w:w="300" w:type="dxa"/>
            <w:vAlign w:val="bottom"/>
          </w:tcPr>
          <w:p>
            <w:pPr>
              <w:spacing w:after="0"/>
              <w:rPr>
                <w:sz w:val="18"/>
                <w:szCs w:val="18"/>
                <w:color w:val="auto"/>
              </w:rPr>
            </w:pPr>
          </w:p>
        </w:tc>
        <w:tc>
          <w:tcPr>
            <w:tcW w:w="500" w:type="dxa"/>
            <w:vAlign w:val="bottom"/>
          </w:tcPr>
          <w:p>
            <w:pPr>
              <w:ind w:left="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(2)</w:t>
            </w:r>
          </w:p>
        </w:tc>
        <w:tc>
          <w:tcPr>
            <w:tcW w:w="10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0000FF"/>
                <w:w w:val="96"/>
              </w:rPr>
              <w:t>Inc.</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3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239"/>
              <w:spacing w:after="0"/>
              <w:rPr>
                <w:sz w:val="20"/>
                <w:szCs w:val="20"/>
                <w:color w:val="auto"/>
              </w:rPr>
            </w:pPr>
            <w:r>
              <w:rPr>
                <w:rFonts w:ascii="Arial" w:cs="Arial" w:eastAsia="Arial" w:hAnsi="Arial"/>
                <w:sz w:val="18"/>
                <w:szCs w:val="18"/>
                <w:color w:val="0000FF"/>
                <w:w w:val="87"/>
              </w:rPr>
              <w:t>4,054,815</w:t>
            </w:r>
          </w:p>
        </w:tc>
        <w:tc>
          <w:tcPr>
            <w:tcW w:w="30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0000FF"/>
              </w:rPr>
              <w:t>D</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2260" w:type="dxa"/>
            <w:vAlign w:val="bottom"/>
            <w:tcBorders>
              <w:bottom w:val="single" w:sz="8" w:color="2C2C2C"/>
            </w:tcBorders>
            <w:gridSpan w:val="5"/>
          </w:tcPr>
          <w:p>
            <w:pPr>
              <w:spacing w:after="0"/>
              <w:rPr>
                <w:sz w:val="8"/>
                <w:szCs w:val="8"/>
                <w:color w:val="auto"/>
              </w:rPr>
            </w:pPr>
          </w:p>
        </w:tc>
        <w:tc>
          <w:tcPr>
            <w:tcW w:w="54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gridSpan w:val="16"/>
          </w:tcPr>
          <w:p>
            <w:pPr>
              <w:jc w:val="center"/>
              <w:ind w:left="5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6"/>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purchased on this date. This transaction was executed in multiple trades ranging from $3.01 to $3.11. The Reporting Person hereby undertakes to provide upon request to the SEC, the Issuer of any stockholder of the Issuer, full information regarding the number of shares and prices which the transaction was effected.</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an indirect controlling shareholder of Jewelcor Management, Inc.</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0000FF"/>
                <w:w w:val="88"/>
              </w:rPr>
              <w:t>Seymour Holtzman</w:t>
            </w:r>
          </w:p>
        </w:tc>
        <w:tc>
          <w:tcPr>
            <w:tcW w:w="74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11/22/2011</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2019-12-16T05:19:57Z</dcterms:created>
  <dcterms:modified xsi:type="dcterms:W3CDTF">2019-12-16T05:19:57Z</dcterms:modified>
</cp:coreProperties>
</file>